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2D776" w14:textId="77777777" w:rsidR="00310DD8" w:rsidRPr="00310DD8" w:rsidRDefault="00310DD8" w:rsidP="003601F5">
      <w:pPr>
        <w:pStyle w:val="Heading1"/>
        <w:rPr>
          <w:rFonts w:eastAsia="Times New Roman"/>
          <w:lang w:eastAsia="en-GB"/>
        </w:rPr>
      </w:pPr>
      <w:r w:rsidRPr="00310DD8">
        <w:rPr>
          <w:rFonts w:eastAsia="Times New Roman"/>
          <w:lang w:eastAsia="en-GB"/>
        </w:rPr>
        <w:t>Hull College Provider Access Policy</w:t>
      </w:r>
    </w:p>
    <w:p w14:paraId="4F308655"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b/>
          <w:bCs/>
          <w:sz w:val="24"/>
          <w:szCs w:val="24"/>
          <w:lang w:eastAsia="en-GB"/>
        </w:rPr>
        <w:t>Introduction</w:t>
      </w:r>
    </w:p>
    <w:p w14:paraId="139E5B20"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This policy statement outlines Hull College's arrangements for managing provider access to students, ensuring they receive information about various educational or training opportunities. This complies with the college's legal obligations under Section 42B of the Education Act 1997.</w:t>
      </w:r>
    </w:p>
    <w:p w14:paraId="3D1A91D9"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b/>
          <w:bCs/>
          <w:sz w:val="24"/>
          <w:szCs w:val="24"/>
          <w:lang w:eastAsia="en-GB"/>
        </w:rPr>
        <w:t>Student Entitlement</w:t>
      </w:r>
    </w:p>
    <w:p w14:paraId="3F5A06A7"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All students at Hull College are entitled to:</w:t>
      </w:r>
    </w:p>
    <w:p w14:paraId="7BBDFFD1" w14:textId="77777777" w:rsidR="00310DD8" w:rsidRPr="00310DD8" w:rsidRDefault="00310DD8" w:rsidP="00310D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A comprehensive careers programme supported by a dedicated careers team.</w:t>
      </w:r>
    </w:p>
    <w:p w14:paraId="430BFC3F" w14:textId="77777777" w:rsidR="00310DD8" w:rsidRPr="00310DD8" w:rsidRDefault="00310DD8" w:rsidP="00310D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Personalized guidance from the careers team.</w:t>
      </w:r>
    </w:p>
    <w:p w14:paraId="3DD8D886" w14:textId="77777777" w:rsidR="00310DD8" w:rsidRPr="00310DD8" w:rsidRDefault="00310DD8" w:rsidP="00310D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One-on-one support for apprenticeship, employment, and training provider applications.</w:t>
      </w:r>
    </w:p>
    <w:p w14:paraId="42F76C23" w14:textId="77777777" w:rsidR="00310DD8" w:rsidRPr="00310DD8" w:rsidRDefault="00310DD8" w:rsidP="00310D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Skills to plan and manage personal development.</w:t>
      </w:r>
    </w:p>
    <w:p w14:paraId="28FC644A" w14:textId="77777777" w:rsidR="00310DD8" w:rsidRPr="00310DD8" w:rsidRDefault="00310DD8" w:rsidP="00310D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Student feedback on the quality of the careers programme.</w:t>
      </w:r>
    </w:p>
    <w:p w14:paraId="75A04219" w14:textId="77777777" w:rsidR="00310DD8" w:rsidRPr="00310DD8" w:rsidRDefault="00310DD8" w:rsidP="00310D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Understanding of key employability skills.</w:t>
      </w:r>
    </w:p>
    <w:p w14:paraId="2014A368" w14:textId="77777777" w:rsidR="00310DD8" w:rsidRPr="00310DD8" w:rsidRDefault="00310DD8" w:rsidP="00310D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Explanation of various entry routes into potential career paths.</w:t>
      </w:r>
    </w:p>
    <w:p w14:paraId="52CD9D07" w14:textId="77777777" w:rsidR="00310DD8" w:rsidRPr="00310DD8" w:rsidRDefault="00310DD8" w:rsidP="00310D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Direct access to employers, technical training providers, apprenticeship providers, and higher education institutions.</w:t>
      </w:r>
    </w:p>
    <w:p w14:paraId="350E03FD" w14:textId="77777777" w:rsidR="00310DD8" w:rsidRPr="00310DD8" w:rsidRDefault="00310DD8" w:rsidP="00310DD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Work placements, employer talks, and industry events to experience the world of work.</w:t>
      </w:r>
    </w:p>
    <w:p w14:paraId="75BBD0B5"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For learners in compulsory school age (years 10 to 11), there are mandatory provider encounters. In the ‘third key phase’ (years 12 to 13), particularly for those undecided about their next steps, there are two more optional provider encounters.</w:t>
      </w:r>
    </w:p>
    <w:p w14:paraId="41429AC0"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b/>
          <w:bCs/>
          <w:sz w:val="24"/>
          <w:szCs w:val="24"/>
          <w:lang w:eastAsia="en-GB"/>
        </w:rPr>
        <w:t>Opportunities for Access</w:t>
      </w:r>
    </w:p>
    <w:p w14:paraId="3337A047"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Hull College's careers programme is structured around a two-year cycle, including key opportunities for provider access. Providers can interact directly with students and, at times, their parents or carers. These interactions include options events, group discussions, provider talks, taster events, and work experience opportunities.</w:t>
      </w:r>
    </w:p>
    <w:p w14:paraId="780C862D"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b/>
          <w:bCs/>
          <w:sz w:val="24"/>
          <w:szCs w:val="24"/>
          <w:lang w:eastAsia="en-GB"/>
        </w:rPr>
        <w:t>Management of Provider Requests</w:t>
      </w:r>
    </w:p>
    <w:p w14:paraId="3EEC455A" w14:textId="5EAFC3BA"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Providers wishing to request access should contact:</w:t>
      </w:r>
    </w:p>
    <w:p w14:paraId="092D5E79" w14:textId="77777777" w:rsidR="00310DD8" w:rsidRPr="00310DD8" w:rsidRDefault="00310DD8" w:rsidP="00310DD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Matthew Thomson, Careers Advisor</w:t>
      </w:r>
    </w:p>
    <w:p w14:paraId="2C8DF417" w14:textId="77777777" w:rsidR="00310DD8" w:rsidRPr="00310DD8" w:rsidRDefault="00310DD8" w:rsidP="00310DD8">
      <w:pPr>
        <w:numPr>
          <w:ilvl w:val="1"/>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Telephone: 01482 598890</w:t>
      </w:r>
    </w:p>
    <w:p w14:paraId="2435CB29" w14:textId="406BB60A" w:rsidR="00310DD8" w:rsidRDefault="00310DD8" w:rsidP="00310DD8">
      <w:pPr>
        <w:numPr>
          <w:ilvl w:val="1"/>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 xml:space="preserve">Email: </w:t>
      </w:r>
      <w:r>
        <w:rPr>
          <w:rFonts w:ascii="Times New Roman" w:eastAsia="Times New Roman" w:hAnsi="Times New Roman" w:cs="Times New Roman"/>
          <w:sz w:val="24"/>
          <w:szCs w:val="24"/>
          <w:lang w:eastAsia="en-GB"/>
        </w:rPr>
        <w:t>CareersAdvice@Hull-College.ac.uk</w:t>
      </w:r>
    </w:p>
    <w:p w14:paraId="144EA703"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p>
    <w:p w14:paraId="306F9E8E" w14:textId="33A04C65" w:rsidR="067EF7F0" w:rsidRDefault="067EF7F0" w:rsidP="067EF7F0">
      <w:pPr>
        <w:spacing w:beforeAutospacing="1" w:afterAutospacing="1" w:line="240" w:lineRule="auto"/>
        <w:rPr>
          <w:rFonts w:ascii="Times New Roman" w:eastAsia="Times New Roman" w:hAnsi="Times New Roman" w:cs="Times New Roman"/>
          <w:b/>
          <w:bCs/>
          <w:sz w:val="24"/>
          <w:szCs w:val="24"/>
          <w:lang w:eastAsia="en-GB"/>
        </w:rPr>
      </w:pPr>
    </w:p>
    <w:p w14:paraId="5B84B886" w14:textId="19FC3648" w:rsidR="067EF7F0" w:rsidRDefault="067EF7F0" w:rsidP="067EF7F0">
      <w:pPr>
        <w:spacing w:beforeAutospacing="1" w:afterAutospacing="1" w:line="240" w:lineRule="auto"/>
        <w:rPr>
          <w:rFonts w:ascii="Times New Roman" w:eastAsia="Times New Roman" w:hAnsi="Times New Roman" w:cs="Times New Roman"/>
          <w:b/>
          <w:bCs/>
          <w:sz w:val="24"/>
          <w:szCs w:val="24"/>
          <w:lang w:eastAsia="en-GB"/>
        </w:rPr>
      </w:pPr>
    </w:p>
    <w:p w14:paraId="3EBFA1F0"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b/>
          <w:bCs/>
          <w:sz w:val="24"/>
          <w:szCs w:val="24"/>
          <w:lang w:eastAsia="en-GB"/>
        </w:rPr>
        <w:t>Premises and Facilities</w:t>
      </w:r>
    </w:p>
    <w:p w14:paraId="58B436F3"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Hull College provides suitable facilities such as the multi-purpose sports hall, theatre, classrooms, or private meeting rooms for discussions between providers and students. AV and other specialist equipment will also be available to support presentations, as agreed in advance. Providers may also engage with students through online platforms offering live sessions. Providers can leave copies of their prospectuses or other relevant course literature at the Careers Resource Centre or Main Reception, accessible to all students during lunch and break times.</w:t>
      </w:r>
    </w:p>
    <w:p w14:paraId="14ACDC0D"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b/>
          <w:bCs/>
          <w:sz w:val="24"/>
          <w:szCs w:val="24"/>
          <w:lang w:eastAsia="en-GB"/>
        </w:rPr>
        <w:t>Meaningful Provider Encounters</w:t>
      </w:r>
    </w:p>
    <w:p w14:paraId="4682950C"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A meaningful encounter is defined as one meeting/session between learners and one provider. Hull College is committed to providing meaningful encounters to all students using the Making it meaningful checklist. Online engagements are also an option.</w:t>
      </w:r>
    </w:p>
    <w:p w14:paraId="1A9CBB4A"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b/>
          <w:bCs/>
          <w:sz w:val="24"/>
          <w:szCs w:val="24"/>
          <w:lang w:eastAsia="en-GB"/>
        </w:rPr>
        <w:t>Complaints</w:t>
      </w:r>
    </w:p>
    <w:p w14:paraId="09C9B5C4" w14:textId="7CE035AC"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 xml:space="preserve">Any complaints regarding provider access can be raised following the school complaints procedure or directly with The Careers &amp; Enterprise Company via </w:t>
      </w:r>
      <w:hyperlink r:id="rId8" w:history="1">
        <w:r w:rsidRPr="00310DD8">
          <w:rPr>
            <w:rStyle w:val="Hyperlink"/>
            <w:rFonts w:ascii="Times New Roman" w:eastAsia="Times New Roman" w:hAnsi="Times New Roman" w:cs="Times New Roman"/>
            <w:sz w:val="24"/>
            <w:szCs w:val="24"/>
            <w:lang w:eastAsia="en-GB"/>
          </w:rPr>
          <w:t>provideraccess@careersandenterprise.co.uk</w:t>
        </w:r>
      </w:hyperlink>
      <w:r>
        <w:rPr>
          <w:rFonts w:ascii="Times New Roman" w:eastAsia="Times New Roman" w:hAnsi="Times New Roman" w:cs="Times New Roman"/>
          <w:sz w:val="24"/>
          <w:szCs w:val="24"/>
          <w:lang w:eastAsia="en-GB"/>
        </w:rPr>
        <w:t xml:space="preserve"> </w:t>
      </w:r>
    </w:p>
    <w:p w14:paraId="1A4ED64E"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b/>
          <w:bCs/>
          <w:sz w:val="24"/>
          <w:szCs w:val="24"/>
          <w:lang w:eastAsia="en-GB"/>
        </w:rPr>
        <w:t>Approval and Review</w:t>
      </w:r>
    </w:p>
    <w:p w14:paraId="5D80275B" w14:textId="77777777" w:rsidR="00310DD8" w:rsidRPr="00310DD8" w:rsidRDefault="00310DD8" w:rsidP="00310DD8">
      <w:pPr>
        <w:spacing w:before="100" w:beforeAutospacing="1" w:after="100" w:afterAutospacing="1" w:line="240" w:lineRule="auto"/>
        <w:rPr>
          <w:rFonts w:ascii="Times New Roman" w:eastAsia="Times New Roman" w:hAnsi="Times New Roman" w:cs="Times New Roman"/>
          <w:sz w:val="24"/>
          <w:szCs w:val="24"/>
          <w:lang w:eastAsia="en-GB"/>
        </w:rPr>
      </w:pPr>
      <w:r w:rsidRPr="00310DD8">
        <w:rPr>
          <w:rFonts w:ascii="Times New Roman" w:eastAsia="Times New Roman" w:hAnsi="Times New Roman" w:cs="Times New Roman"/>
          <w:sz w:val="24"/>
          <w:szCs w:val="24"/>
          <w:lang w:eastAsia="en-GB"/>
        </w:rPr>
        <w:t>This policy will be reviewed annually by the senior leadership team. Each review will be approved by the Vice Principal and the Local Governing Body.</w:t>
      </w:r>
    </w:p>
    <w:p w14:paraId="1872B0AB" w14:textId="44D76374" w:rsidR="00310DD8" w:rsidRPr="00310DD8" w:rsidRDefault="6B739A88" w:rsidP="067EF7F0">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67EF7F0">
        <w:rPr>
          <w:rFonts w:ascii="Times New Roman" w:eastAsia="Times New Roman" w:hAnsi="Times New Roman" w:cs="Times New Roman"/>
          <w:sz w:val="24"/>
          <w:szCs w:val="24"/>
          <w:lang w:eastAsia="en-GB"/>
        </w:rPr>
        <w:t xml:space="preserve">Last review: </w:t>
      </w:r>
      <w:r w:rsidR="63F0E7DC" w:rsidRPr="067EF7F0">
        <w:rPr>
          <w:rFonts w:ascii="Times New Roman" w:eastAsia="Times New Roman" w:hAnsi="Times New Roman" w:cs="Times New Roman"/>
          <w:sz w:val="24"/>
          <w:szCs w:val="24"/>
          <w:lang w:eastAsia="en-GB"/>
        </w:rPr>
        <w:t>September</w:t>
      </w:r>
      <w:r w:rsidR="6F33FE27" w:rsidRPr="067EF7F0">
        <w:rPr>
          <w:rFonts w:ascii="Times New Roman" w:eastAsia="Times New Roman" w:hAnsi="Times New Roman" w:cs="Times New Roman"/>
          <w:sz w:val="24"/>
          <w:szCs w:val="24"/>
          <w:lang w:eastAsia="en-GB"/>
        </w:rPr>
        <w:t xml:space="preserve"> 2026</w:t>
      </w:r>
    </w:p>
    <w:p w14:paraId="02F04519" w14:textId="29CF438C" w:rsidR="00310DD8" w:rsidRPr="00310DD8" w:rsidRDefault="6B739A88" w:rsidP="067EF7F0">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67EF7F0">
        <w:rPr>
          <w:rFonts w:ascii="Times New Roman" w:eastAsia="Times New Roman" w:hAnsi="Times New Roman" w:cs="Times New Roman"/>
          <w:sz w:val="24"/>
          <w:szCs w:val="24"/>
          <w:lang w:eastAsia="en-GB"/>
        </w:rPr>
        <w:t>Next review:</w:t>
      </w:r>
      <w:r w:rsidR="4C5AB2A4" w:rsidRPr="067EF7F0">
        <w:rPr>
          <w:rFonts w:ascii="Times New Roman" w:eastAsia="Times New Roman" w:hAnsi="Times New Roman" w:cs="Times New Roman"/>
          <w:sz w:val="24"/>
          <w:szCs w:val="24"/>
          <w:lang w:eastAsia="en-GB"/>
        </w:rPr>
        <w:t xml:space="preserve"> September 2027</w:t>
      </w:r>
    </w:p>
    <w:p w14:paraId="0CD9EABF" w14:textId="77777777" w:rsidR="008D2498" w:rsidRDefault="008D2498"/>
    <w:sectPr w:rsidR="008D24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75514"/>
    <w:multiLevelType w:val="multilevel"/>
    <w:tmpl w:val="423C8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562946"/>
    <w:multiLevelType w:val="multilevel"/>
    <w:tmpl w:val="5B4E3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7A5260"/>
    <w:multiLevelType w:val="multilevel"/>
    <w:tmpl w:val="FB7ED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266F58"/>
    <w:multiLevelType w:val="multilevel"/>
    <w:tmpl w:val="8B72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167693">
    <w:abstractNumId w:val="3"/>
  </w:num>
  <w:num w:numId="2" w16cid:durableId="624846082">
    <w:abstractNumId w:val="2"/>
  </w:num>
  <w:num w:numId="3" w16cid:durableId="117795632">
    <w:abstractNumId w:val="0"/>
  </w:num>
  <w:num w:numId="4" w16cid:durableId="1350642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DD8"/>
    <w:rsid w:val="00310DD8"/>
    <w:rsid w:val="003601F5"/>
    <w:rsid w:val="004505EF"/>
    <w:rsid w:val="008D2498"/>
    <w:rsid w:val="008F3AA8"/>
    <w:rsid w:val="00901225"/>
    <w:rsid w:val="067EF7F0"/>
    <w:rsid w:val="4C5AB2A4"/>
    <w:rsid w:val="63F0E7DC"/>
    <w:rsid w:val="6B739A88"/>
    <w:rsid w:val="6F33F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08AE6"/>
  <w15:chartTrackingRefBased/>
  <w15:docId w15:val="{0AAD4864-E44C-45AF-B264-5F4D0C84D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1F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0D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10DD8"/>
    <w:rPr>
      <w:b/>
      <w:bCs/>
    </w:rPr>
  </w:style>
  <w:style w:type="character" w:styleId="Hyperlink">
    <w:name w:val="Hyperlink"/>
    <w:basedOn w:val="DefaultParagraphFont"/>
    <w:uiPriority w:val="99"/>
    <w:unhideWhenUsed/>
    <w:rsid w:val="00310DD8"/>
    <w:rPr>
      <w:color w:val="0563C1" w:themeColor="hyperlink"/>
      <w:u w:val="single"/>
    </w:rPr>
  </w:style>
  <w:style w:type="character" w:styleId="UnresolvedMention">
    <w:name w:val="Unresolved Mention"/>
    <w:basedOn w:val="DefaultParagraphFont"/>
    <w:uiPriority w:val="99"/>
    <w:semiHidden/>
    <w:unhideWhenUsed/>
    <w:rsid w:val="00310DD8"/>
    <w:rPr>
      <w:color w:val="605E5C"/>
      <w:shd w:val="clear" w:color="auto" w:fill="E1DFDD"/>
    </w:rPr>
  </w:style>
  <w:style w:type="character" w:customStyle="1" w:styleId="Heading1Char">
    <w:name w:val="Heading 1 Char"/>
    <w:basedOn w:val="DefaultParagraphFont"/>
    <w:link w:val="Heading1"/>
    <w:uiPriority w:val="9"/>
    <w:rsid w:val="003601F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18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videraccess@careersandenterprise.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b175476-592c-426d-b3db-414a39ce80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710418CF4EB146A5A5172509DC120C" ma:contentTypeVersion="13" ma:contentTypeDescription="Create a new document." ma:contentTypeScope="" ma:versionID="727ad91fa796c62fed16d5c9b562f275">
  <xsd:schema xmlns:xsd="http://www.w3.org/2001/XMLSchema" xmlns:xs="http://www.w3.org/2001/XMLSchema" xmlns:p="http://schemas.microsoft.com/office/2006/metadata/properties" xmlns:ns3="9b175476-592c-426d-b3db-414a39ce80b5" xmlns:ns4="ef79ee2a-4af0-4188-91bc-337da512799d" targetNamespace="http://schemas.microsoft.com/office/2006/metadata/properties" ma:root="true" ma:fieldsID="5a3c6df96776eafb3bd27113308d7be6" ns3:_="" ns4:_="">
    <xsd:import namespace="9b175476-592c-426d-b3db-414a39ce80b5"/>
    <xsd:import namespace="ef79ee2a-4af0-4188-91bc-337da512799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75476-592c-426d-b3db-414a39ce8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9ee2a-4af0-4188-91bc-337da51279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CEF771-DB67-422B-8C9B-0097F7D08FD5}">
  <ds:schemaRefs>
    <ds:schemaRef ds:uri="http://schemas.microsoft.com/office/2006/metadata/properties"/>
    <ds:schemaRef ds:uri="http://schemas.microsoft.com/office/infopath/2007/PartnerControls"/>
    <ds:schemaRef ds:uri="9b175476-592c-426d-b3db-414a39ce80b5"/>
  </ds:schemaRefs>
</ds:datastoreItem>
</file>

<file path=customXml/itemProps2.xml><?xml version="1.0" encoding="utf-8"?>
<ds:datastoreItem xmlns:ds="http://schemas.openxmlformats.org/officeDocument/2006/customXml" ds:itemID="{BDF9A5EB-54C2-46D4-9959-492A62151083}">
  <ds:schemaRefs>
    <ds:schemaRef ds:uri="http://schemas.microsoft.com/sharepoint/v3/contenttype/forms"/>
  </ds:schemaRefs>
</ds:datastoreItem>
</file>

<file path=customXml/itemProps3.xml><?xml version="1.0" encoding="utf-8"?>
<ds:datastoreItem xmlns:ds="http://schemas.openxmlformats.org/officeDocument/2006/customXml" ds:itemID="{C69472AD-9F76-46F8-86C6-038F3CCB4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75476-592c-426d-b3db-414a39ce80b5"/>
    <ds:schemaRef ds:uri="ef79ee2a-4af0-4188-91bc-337da51279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473</Words>
  <Characters>2702</Characters>
  <Application>Microsoft Office Word</Application>
  <DocSecurity>4</DocSecurity>
  <Lines>22</Lines>
  <Paragraphs>6</Paragraphs>
  <ScaleCrop>false</ScaleCrop>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Thomson</dc:creator>
  <cp:keywords/>
  <dc:description/>
  <cp:lastModifiedBy>Craig Ellyard</cp:lastModifiedBy>
  <cp:revision>2</cp:revision>
  <dcterms:created xsi:type="dcterms:W3CDTF">2026-10-06T08:46:00Z</dcterms:created>
  <dcterms:modified xsi:type="dcterms:W3CDTF">2026-10-06T08:46:00Z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0x01010097710418CF4EB146A5A5172509DC120C</vt:lpwstr>
  </property>
</Properties>
</file>