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6437" w14:textId="5787D3A8" w:rsidR="005C38D1" w:rsidRDefault="0022657A" w:rsidP="009A663A">
      <w:pPr>
        <w:pStyle w:val="Headings"/>
      </w:pPr>
      <w:r>
        <w:t>Gender Pay Gap Report</w:t>
      </w:r>
      <w:r w:rsidR="005671D2">
        <w:t xml:space="preserve"> 31 March 202</w:t>
      </w:r>
      <w:r w:rsidR="004E4949">
        <w:t>5</w:t>
      </w:r>
    </w:p>
    <w:p w14:paraId="04262964" w14:textId="04F13AA3" w:rsidR="0022657A" w:rsidRPr="005C38D1" w:rsidRDefault="0022657A" w:rsidP="005C38D1">
      <w:pPr>
        <w:tabs>
          <w:tab w:val="left" w:pos="3240"/>
        </w:tabs>
        <w:spacing w:before="0" w:line="240" w:lineRule="auto"/>
        <w:ind w:left="0" w:right="0" w:firstLine="0"/>
        <w:contextualSpacing/>
        <w:jc w:val="left"/>
        <w:rPr>
          <w:rFonts w:ascii="Tahoma" w:hAnsi="Tahoma" w:cs="Tahoma"/>
          <w:b/>
          <w:bCs/>
        </w:rPr>
      </w:pPr>
      <w:r w:rsidRPr="0022657A">
        <w:rPr>
          <w:rFonts w:ascii="Tahoma" w:hAnsi="Tahoma" w:cs="Tahoma"/>
        </w:rPr>
        <w:t xml:space="preserve">Our calculations are based on pay data for </w:t>
      </w:r>
      <w:r w:rsidR="004E4949">
        <w:rPr>
          <w:rFonts w:ascii="Tahoma" w:hAnsi="Tahoma" w:cs="Tahoma"/>
        </w:rPr>
        <w:t>537</w:t>
      </w:r>
      <w:r w:rsidRPr="0022657A">
        <w:rPr>
          <w:rFonts w:ascii="Tahoma" w:hAnsi="Tahoma" w:cs="Tahoma"/>
        </w:rPr>
        <w:t xml:space="preserve"> members of staff on 31 March 202</w:t>
      </w:r>
      <w:r w:rsidR="004E4949">
        <w:rPr>
          <w:rFonts w:ascii="Tahoma" w:hAnsi="Tahoma" w:cs="Tahoma"/>
        </w:rPr>
        <w:t>5</w:t>
      </w:r>
      <w:r w:rsidRPr="0022657A">
        <w:rPr>
          <w:rFonts w:ascii="Tahoma" w:hAnsi="Tahoma" w:cs="Tahoma"/>
        </w:rPr>
        <w:t xml:space="preserve"> as required by the mandatory gender pay gap reporting regulations. The data includes many different roles and levels within the College that have a variety of pay rates.</w:t>
      </w:r>
    </w:p>
    <w:p w14:paraId="56AB7A37" w14:textId="77777777" w:rsidR="0022657A" w:rsidRDefault="0022657A" w:rsidP="005C38D1">
      <w:pPr>
        <w:spacing w:before="0" w:line="240" w:lineRule="auto"/>
        <w:ind w:left="0" w:firstLine="0"/>
        <w:contextualSpacing/>
        <w:rPr>
          <w:rFonts w:ascii="Tahoma" w:hAnsi="Tahoma" w:cs="Tahoma"/>
        </w:rPr>
      </w:pPr>
    </w:p>
    <w:p w14:paraId="470EA42A" w14:textId="28C98978" w:rsidR="0022657A" w:rsidRPr="0022657A" w:rsidRDefault="0022657A" w:rsidP="005C38D1">
      <w:pPr>
        <w:spacing w:before="0" w:line="240" w:lineRule="auto"/>
        <w:ind w:left="0" w:firstLine="0"/>
        <w:contextualSpacing/>
        <w:rPr>
          <w:rFonts w:ascii="Tahoma" w:hAnsi="Tahoma" w:cs="Tahoma"/>
        </w:rPr>
      </w:pPr>
      <w:r w:rsidRPr="0022657A">
        <w:rPr>
          <w:rFonts w:ascii="Tahoma" w:hAnsi="Tahoma" w:cs="Tahoma"/>
        </w:rPr>
        <w:t>A pay gap is a measure of the difference between the average earnings between two groups.</w:t>
      </w:r>
    </w:p>
    <w:p w14:paraId="3ED92027" w14:textId="77777777" w:rsidR="0022657A" w:rsidRDefault="0022657A" w:rsidP="005C38D1">
      <w:pPr>
        <w:spacing w:before="0" w:line="240" w:lineRule="auto"/>
        <w:ind w:left="0" w:firstLine="0"/>
        <w:contextualSpacing/>
        <w:rPr>
          <w:rFonts w:ascii="Tahoma" w:hAnsi="Tahoma" w:cs="Tahoma"/>
        </w:rPr>
      </w:pPr>
    </w:p>
    <w:p w14:paraId="17BCBA00" w14:textId="0B7C691C" w:rsidR="0022657A" w:rsidRPr="0022657A" w:rsidRDefault="0022657A" w:rsidP="005C38D1">
      <w:pPr>
        <w:spacing w:before="0" w:line="240" w:lineRule="auto"/>
        <w:ind w:left="0" w:firstLine="0"/>
        <w:contextualSpacing/>
        <w:rPr>
          <w:rFonts w:ascii="Tahoma" w:hAnsi="Tahoma" w:cs="Tahoma"/>
        </w:rPr>
      </w:pPr>
      <w:r w:rsidRPr="0022657A">
        <w:rPr>
          <w:rFonts w:ascii="Tahoma" w:hAnsi="Tahoma" w:cs="Tahoma"/>
        </w:rPr>
        <w:t xml:space="preserve">The </w:t>
      </w:r>
      <w:r w:rsidRPr="0022657A">
        <w:rPr>
          <w:rFonts w:ascii="Tahoma" w:hAnsi="Tahoma" w:cs="Tahoma"/>
          <w:u w:val="single"/>
        </w:rPr>
        <w:t>mean pay gap</w:t>
      </w:r>
      <w:r w:rsidRPr="0022657A">
        <w:rPr>
          <w:rFonts w:ascii="Tahoma" w:hAnsi="Tahoma" w:cs="Tahoma"/>
        </w:rPr>
        <w:t xml:space="preserve"> is the difference in the arithmetic average hourly pay for one group compared to the other (in this case men vs women), within our organisation.</w:t>
      </w:r>
    </w:p>
    <w:p w14:paraId="3BE52DD5" w14:textId="77777777" w:rsidR="0022657A" w:rsidRDefault="0022657A" w:rsidP="005C38D1">
      <w:pPr>
        <w:spacing w:before="0" w:line="240" w:lineRule="auto"/>
        <w:ind w:left="0" w:firstLine="0"/>
        <w:contextualSpacing/>
        <w:rPr>
          <w:rFonts w:ascii="Tahoma" w:hAnsi="Tahoma" w:cs="Tahoma"/>
        </w:rPr>
      </w:pPr>
    </w:p>
    <w:p w14:paraId="3E384434" w14:textId="2AB34EDD" w:rsidR="0022657A" w:rsidRPr="0022657A" w:rsidRDefault="0022657A" w:rsidP="005C38D1">
      <w:pPr>
        <w:spacing w:before="0" w:line="240" w:lineRule="auto"/>
        <w:ind w:left="0" w:firstLine="0"/>
        <w:contextualSpacing/>
        <w:rPr>
          <w:rFonts w:ascii="Tahoma" w:hAnsi="Tahoma" w:cs="Tahoma"/>
        </w:rPr>
      </w:pPr>
      <w:r w:rsidRPr="0022657A">
        <w:rPr>
          <w:rFonts w:ascii="Tahoma" w:hAnsi="Tahoma" w:cs="Tahoma"/>
        </w:rPr>
        <w:t xml:space="preserve">The </w:t>
      </w:r>
      <w:r w:rsidRPr="0022657A">
        <w:rPr>
          <w:rFonts w:ascii="Tahoma" w:hAnsi="Tahoma" w:cs="Tahoma"/>
          <w:u w:val="single"/>
        </w:rPr>
        <w:t>median pay gap</w:t>
      </w:r>
      <w:r w:rsidRPr="0022657A">
        <w:rPr>
          <w:rFonts w:ascii="Tahoma" w:hAnsi="Tahoma" w:cs="Tahoma"/>
        </w:rPr>
        <w:t xml:space="preserve"> represents the middle point of a population. If you lined up all our women and all our men in order of the hourly rate at which they are paid, the median pay gap is the difference between the hourly rate for the middle woman compared to that of the middle man.</w:t>
      </w:r>
    </w:p>
    <w:p w14:paraId="68E03D1F" w14:textId="77777777" w:rsidR="0022657A" w:rsidRDefault="0022657A" w:rsidP="005C38D1">
      <w:pPr>
        <w:spacing w:before="0" w:line="240" w:lineRule="auto"/>
        <w:ind w:left="0" w:firstLine="0"/>
        <w:contextualSpacing/>
        <w:rPr>
          <w:rFonts w:ascii="Tahoma" w:hAnsi="Tahoma" w:cs="Tahoma"/>
        </w:rPr>
      </w:pPr>
    </w:p>
    <w:p w14:paraId="0F9D4D32" w14:textId="75B60E45" w:rsidR="0022657A" w:rsidRDefault="0022657A" w:rsidP="005C38D1">
      <w:pPr>
        <w:spacing w:before="0" w:line="240" w:lineRule="auto"/>
        <w:ind w:left="0" w:firstLine="0"/>
        <w:contextualSpacing/>
        <w:rPr>
          <w:rFonts w:ascii="Tahoma" w:hAnsi="Tahoma" w:cs="Tahoma"/>
        </w:rPr>
      </w:pPr>
      <w:r w:rsidRPr="0022657A">
        <w:rPr>
          <w:rFonts w:ascii="Tahoma" w:hAnsi="Tahoma" w:cs="Tahoma"/>
        </w:rPr>
        <w:t>Our Pay Gap is not an indicator of Equal Pay issues. Equal pay means that there should be no difference in the contractual terms of a woman and a man doing equal work, who both work for the same employer. This is addressed at source through fair recruitment and promotion practices along with clear salary scales for each job role.</w:t>
      </w:r>
    </w:p>
    <w:p w14:paraId="644E76DC" w14:textId="77777777" w:rsidR="0007292D" w:rsidRPr="0022657A" w:rsidRDefault="0007292D" w:rsidP="005C38D1">
      <w:pPr>
        <w:spacing w:before="0" w:line="240" w:lineRule="auto"/>
        <w:ind w:left="0" w:firstLine="0"/>
        <w:contextualSpacing/>
        <w:rPr>
          <w:rFonts w:ascii="Tahoma" w:hAnsi="Tahoma" w:cs="Tahoma"/>
        </w:rPr>
      </w:pPr>
    </w:p>
    <w:p w14:paraId="20A72386" w14:textId="77777777" w:rsidR="0022657A" w:rsidRPr="0022657A" w:rsidRDefault="0022657A" w:rsidP="005C38D1">
      <w:pPr>
        <w:spacing w:before="0" w:line="240" w:lineRule="auto"/>
        <w:ind w:left="0" w:firstLine="0"/>
        <w:contextualSpacing/>
        <w:rPr>
          <w:rFonts w:ascii="Tahoma" w:hAnsi="Tahoma" w:cs="Tahoma"/>
        </w:rPr>
      </w:pPr>
    </w:p>
    <w:p w14:paraId="470A9389" w14:textId="3BA1EAB2" w:rsidR="0022657A" w:rsidRPr="0007292D" w:rsidRDefault="0022657A" w:rsidP="009A663A">
      <w:pPr>
        <w:pStyle w:val="Headings"/>
      </w:pPr>
      <w:r w:rsidRPr="0007292D">
        <w:t>Our Results 202</w:t>
      </w:r>
      <w:r w:rsidR="004E4949">
        <w:t>5</w:t>
      </w:r>
      <w:r w:rsidR="0007292D" w:rsidRPr="0007292D">
        <w:t>:</w:t>
      </w:r>
    </w:p>
    <w:p w14:paraId="7BCAD006" w14:textId="4642E58E" w:rsidR="0022657A" w:rsidRDefault="0022657A" w:rsidP="005C38D1">
      <w:pPr>
        <w:spacing w:before="0" w:line="240" w:lineRule="auto"/>
        <w:ind w:left="0" w:firstLine="0"/>
        <w:contextualSpacing/>
        <w:rPr>
          <w:rFonts w:ascii="Tahoma" w:hAnsi="Tahoma" w:cs="Tahoma"/>
        </w:rPr>
      </w:pPr>
      <w:r w:rsidRPr="0022657A">
        <w:rPr>
          <w:rFonts w:ascii="Tahoma" w:hAnsi="Tahoma" w:cs="Tahoma"/>
        </w:rPr>
        <w:t xml:space="preserve">Our pay data as </w:t>
      </w:r>
      <w:proofErr w:type="gramStart"/>
      <w:r w:rsidRPr="0022657A">
        <w:rPr>
          <w:rFonts w:ascii="Tahoma" w:hAnsi="Tahoma" w:cs="Tahoma"/>
        </w:rPr>
        <w:t>at</w:t>
      </w:r>
      <w:proofErr w:type="gramEnd"/>
      <w:r w:rsidRPr="0022657A">
        <w:rPr>
          <w:rFonts w:ascii="Tahoma" w:hAnsi="Tahoma" w:cs="Tahoma"/>
        </w:rPr>
        <w:t xml:space="preserve"> 31 March 202</w:t>
      </w:r>
      <w:r w:rsidR="004E4949">
        <w:rPr>
          <w:rFonts w:ascii="Tahoma" w:hAnsi="Tahoma" w:cs="Tahoma"/>
        </w:rPr>
        <w:t>5</w:t>
      </w:r>
      <w:r w:rsidRPr="0022657A">
        <w:rPr>
          <w:rFonts w:ascii="Tahoma" w:hAnsi="Tahoma" w:cs="Tahoma"/>
        </w:rPr>
        <w:t xml:space="preserve"> shows the overall difference between men and </w:t>
      </w:r>
      <w:proofErr w:type="gramStart"/>
      <w:r w:rsidRPr="0022657A">
        <w:rPr>
          <w:rFonts w:ascii="Tahoma" w:hAnsi="Tahoma" w:cs="Tahoma"/>
        </w:rPr>
        <w:t>women;</w:t>
      </w:r>
      <w:proofErr w:type="gramEnd"/>
    </w:p>
    <w:p w14:paraId="4AF2AF8B" w14:textId="08CA168B" w:rsidR="00DD7198" w:rsidRDefault="00DD7198" w:rsidP="00DD7198">
      <w:pPr>
        <w:spacing w:before="0" w:line="240" w:lineRule="auto"/>
        <w:ind w:left="0" w:firstLine="0"/>
        <w:contextualSpacing/>
        <w:rPr>
          <w:rFonts w:ascii="Tahoma" w:hAnsi="Tahoma" w:cs="Tahoma"/>
        </w:rPr>
      </w:pPr>
    </w:p>
    <w:p w14:paraId="711D2C9A" w14:textId="70A0EA06" w:rsidR="00DD7198" w:rsidRPr="00DD7198" w:rsidRDefault="00DD7198" w:rsidP="00DD7198">
      <w:pPr>
        <w:pStyle w:val="ListParagraph"/>
        <w:numPr>
          <w:ilvl w:val="0"/>
          <w:numId w:val="7"/>
        </w:numPr>
        <w:spacing w:before="0" w:line="240" w:lineRule="auto"/>
        <w:ind w:right="0"/>
        <w:rPr>
          <w:rFonts w:ascii="Tahoma" w:hAnsi="Tahoma" w:cs="Tahoma"/>
        </w:rPr>
      </w:pPr>
      <w:r w:rsidRPr="00DD7198">
        <w:rPr>
          <w:rFonts w:ascii="Tahoma" w:hAnsi="Tahoma" w:cs="Tahoma"/>
        </w:rPr>
        <w:t xml:space="preserve">Mean gender pay gap = </w:t>
      </w:r>
      <w:r>
        <w:rPr>
          <w:rFonts w:ascii="Tahoma" w:hAnsi="Tahoma" w:cs="Tahoma"/>
        </w:rPr>
        <w:t>6.</w:t>
      </w:r>
      <w:r w:rsidR="004E4949">
        <w:rPr>
          <w:rFonts w:ascii="Tahoma" w:hAnsi="Tahoma" w:cs="Tahoma"/>
        </w:rPr>
        <w:t>2</w:t>
      </w:r>
      <w:r w:rsidRPr="00DD7198">
        <w:rPr>
          <w:rFonts w:ascii="Tahoma" w:hAnsi="Tahoma" w:cs="Tahoma"/>
        </w:rPr>
        <w:t>%</w:t>
      </w:r>
    </w:p>
    <w:p w14:paraId="074515EC" w14:textId="77E63E68" w:rsidR="00DD7198" w:rsidRPr="00DD7198" w:rsidRDefault="00DD7198" w:rsidP="00DD7198">
      <w:pPr>
        <w:pStyle w:val="ListParagraph"/>
        <w:numPr>
          <w:ilvl w:val="0"/>
          <w:numId w:val="7"/>
        </w:numPr>
        <w:spacing w:before="0" w:line="240" w:lineRule="auto"/>
        <w:ind w:right="0"/>
        <w:rPr>
          <w:rFonts w:ascii="Tahoma" w:hAnsi="Tahoma" w:cs="Tahoma"/>
        </w:rPr>
      </w:pPr>
      <w:r w:rsidRPr="00DD7198">
        <w:rPr>
          <w:rFonts w:ascii="Tahoma" w:hAnsi="Tahoma" w:cs="Tahoma"/>
        </w:rPr>
        <w:t xml:space="preserve">Median gender pay gap = </w:t>
      </w:r>
      <w:r>
        <w:rPr>
          <w:rFonts w:ascii="Tahoma" w:hAnsi="Tahoma" w:cs="Tahoma"/>
        </w:rPr>
        <w:t>1</w:t>
      </w:r>
      <w:r w:rsidR="004E4949">
        <w:rPr>
          <w:rFonts w:ascii="Tahoma" w:hAnsi="Tahoma" w:cs="Tahoma"/>
        </w:rPr>
        <w:t>2.3</w:t>
      </w:r>
      <w:r w:rsidRPr="00DD7198">
        <w:rPr>
          <w:rFonts w:ascii="Tahoma" w:hAnsi="Tahoma" w:cs="Tahoma"/>
        </w:rPr>
        <w:t>%</w:t>
      </w:r>
    </w:p>
    <w:p w14:paraId="5F0BEA46" w14:textId="77777777" w:rsidR="00F55694" w:rsidRPr="0022657A" w:rsidRDefault="00F55694" w:rsidP="005C38D1">
      <w:pPr>
        <w:spacing w:before="0" w:line="240" w:lineRule="auto"/>
        <w:ind w:left="0" w:firstLine="0"/>
        <w:contextualSpacing/>
        <w:rPr>
          <w:rFonts w:ascii="Tahoma" w:hAnsi="Tahoma" w:cs="Tahoma"/>
        </w:rPr>
      </w:pPr>
    </w:p>
    <w:p w14:paraId="6F24D4DE" w14:textId="77777777" w:rsidR="00F55694" w:rsidRPr="0007292D" w:rsidRDefault="0022657A" w:rsidP="005C38D1">
      <w:pPr>
        <w:spacing w:before="0" w:line="240" w:lineRule="auto"/>
        <w:ind w:left="0" w:firstLine="0"/>
        <w:contextualSpacing/>
        <w:rPr>
          <w:rFonts w:ascii="Tahoma" w:hAnsi="Tahoma" w:cs="Tahoma"/>
        </w:rPr>
      </w:pPr>
      <w:r w:rsidRPr="0007292D">
        <w:rPr>
          <w:rFonts w:ascii="Tahoma" w:hAnsi="Tahoma" w:cs="Tahoma"/>
        </w:rPr>
        <w:t xml:space="preserve">This means that, on average, female staff were paid less than male staff. </w:t>
      </w:r>
    </w:p>
    <w:p w14:paraId="79C1E218" w14:textId="77777777" w:rsidR="00F55694" w:rsidRPr="0007292D" w:rsidRDefault="00F55694" w:rsidP="005C38D1">
      <w:pPr>
        <w:spacing w:before="0" w:line="240" w:lineRule="auto"/>
        <w:ind w:left="0" w:firstLine="0"/>
        <w:contextualSpacing/>
        <w:rPr>
          <w:rFonts w:ascii="Tahoma" w:hAnsi="Tahoma" w:cs="Tahoma"/>
        </w:rPr>
      </w:pPr>
    </w:p>
    <w:p w14:paraId="622289DE" w14:textId="6C20EBEC" w:rsidR="00C062B1" w:rsidRPr="0007292D" w:rsidRDefault="00C062B1" w:rsidP="005C38D1">
      <w:pPr>
        <w:spacing w:before="0" w:line="240" w:lineRule="auto"/>
        <w:ind w:left="0" w:firstLine="0"/>
        <w:contextualSpacing/>
        <w:rPr>
          <w:rFonts w:ascii="Tahoma" w:hAnsi="Tahoma" w:cs="Tahoma"/>
        </w:rPr>
      </w:pPr>
      <w:r w:rsidRPr="0007292D">
        <w:rPr>
          <w:rFonts w:ascii="Tahoma" w:hAnsi="Tahoma" w:cs="Tahoma"/>
        </w:rPr>
        <w:t xml:space="preserve">The median gender </w:t>
      </w:r>
      <w:proofErr w:type="gramStart"/>
      <w:r w:rsidRPr="0007292D">
        <w:rPr>
          <w:rFonts w:ascii="Tahoma" w:hAnsi="Tahoma" w:cs="Tahoma"/>
        </w:rPr>
        <w:t>pay</w:t>
      </w:r>
      <w:proofErr w:type="gramEnd"/>
      <w:r w:rsidRPr="0007292D">
        <w:rPr>
          <w:rFonts w:ascii="Tahoma" w:hAnsi="Tahoma" w:cs="Tahoma"/>
        </w:rPr>
        <w:t xml:space="preserve"> gap shows that hourly pay for men is, on average, 6.</w:t>
      </w:r>
      <w:r w:rsidR="004E4949">
        <w:rPr>
          <w:rFonts w:ascii="Tahoma" w:hAnsi="Tahoma" w:cs="Tahoma"/>
        </w:rPr>
        <w:t>2</w:t>
      </w:r>
      <w:r w:rsidRPr="0007292D">
        <w:rPr>
          <w:rFonts w:ascii="Tahoma" w:hAnsi="Tahoma" w:cs="Tahoma"/>
        </w:rPr>
        <w:t xml:space="preserve">% higher than for women. </w:t>
      </w:r>
      <w:r w:rsidR="0022657A" w:rsidRPr="0007292D">
        <w:rPr>
          <w:rFonts w:ascii="Tahoma" w:hAnsi="Tahoma" w:cs="Tahoma"/>
        </w:rPr>
        <w:t xml:space="preserve">The main reason for this is that the lowest paid quartiles contain a higher % of women thus bringing down the average. </w:t>
      </w:r>
    </w:p>
    <w:p w14:paraId="1A2EDAB3" w14:textId="77777777" w:rsidR="00C062B1" w:rsidRPr="0007292D" w:rsidRDefault="00C062B1" w:rsidP="005C38D1">
      <w:pPr>
        <w:spacing w:before="0" w:line="240" w:lineRule="auto"/>
        <w:ind w:left="0" w:firstLine="0"/>
        <w:contextualSpacing/>
        <w:rPr>
          <w:rFonts w:ascii="Tahoma" w:hAnsi="Tahoma" w:cs="Tahoma"/>
        </w:rPr>
      </w:pPr>
    </w:p>
    <w:p w14:paraId="25A195EE" w14:textId="0FB6934F" w:rsidR="00C062B1" w:rsidRDefault="00C062B1" w:rsidP="005C38D1">
      <w:pPr>
        <w:spacing w:before="0" w:line="240" w:lineRule="auto"/>
        <w:ind w:left="0" w:firstLine="0"/>
        <w:contextualSpacing/>
        <w:rPr>
          <w:rFonts w:ascii="Tahoma" w:hAnsi="Tahoma" w:cs="Tahoma"/>
        </w:rPr>
      </w:pPr>
      <w:r w:rsidRPr="0007292D">
        <w:rPr>
          <w:rFonts w:ascii="Tahoma" w:hAnsi="Tahoma" w:cs="Tahoma"/>
        </w:rPr>
        <w:t xml:space="preserve">The median gender </w:t>
      </w:r>
      <w:proofErr w:type="gramStart"/>
      <w:r w:rsidRPr="0007292D">
        <w:rPr>
          <w:rFonts w:ascii="Tahoma" w:hAnsi="Tahoma" w:cs="Tahoma"/>
        </w:rPr>
        <w:t>pay</w:t>
      </w:r>
      <w:proofErr w:type="gramEnd"/>
      <w:r w:rsidRPr="0007292D">
        <w:rPr>
          <w:rFonts w:ascii="Tahoma" w:hAnsi="Tahoma" w:cs="Tahoma"/>
        </w:rPr>
        <w:t xml:space="preserve"> gap shows that the ‘middle’ man in the organisation, is paid </w:t>
      </w:r>
      <w:r w:rsidR="00327EDC">
        <w:rPr>
          <w:rFonts w:ascii="Tahoma" w:hAnsi="Tahoma" w:cs="Tahoma"/>
        </w:rPr>
        <w:t>12.3</w:t>
      </w:r>
      <w:r w:rsidRPr="0007292D">
        <w:rPr>
          <w:rFonts w:ascii="Tahoma" w:hAnsi="Tahoma" w:cs="Tahoma"/>
        </w:rPr>
        <w:t xml:space="preserve">% higher than the </w:t>
      </w:r>
      <w:r w:rsidR="0007292D">
        <w:rPr>
          <w:rFonts w:ascii="Tahoma" w:hAnsi="Tahoma" w:cs="Tahoma"/>
        </w:rPr>
        <w:t>‘</w:t>
      </w:r>
      <w:r w:rsidRPr="0007292D">
        <w:rPr>
          <w:rFonts w:ascii="Tahoma" w:hAnsi="Tahoma" w:cs="Tahoma"/>
        </w:rPr>
        <w:t>middle</w:t>
      </w:r>
      <w:r w:rsidR="0007292D">
        <w:rPr>
          <w:rFonts w:ascii="Tahoma" w:hAnsi="Tahoma" w:cs="Tahoma"/>
        </w:rPr>
        <w:t>’</w:t>
      </w:r>
      <w:r w:rsidRPr="0007292D">
        <w:rPr>
          <w:rFonts w:ascii="Tahoma" w:hAnsi="Tahoma" w:cs="Tahoma"/>
        </w:rPr>
        <w:t xml:space="preserve"> woman. Again, this is influenced by the high</w:t>
      </w:r>
      <w:r w:rsidR="0007292D">
        <w:rPr>
          <w:rFonts w:ascii="Tahoma" w:hAnsi="Tahoma" w:cs="Tahoma"/>
        </w:rPr>
        <w:t>e</w:t>
      </w:r>
      <w:r w:rsidRPr="0007292D">
        <w:rPr>
          <w:rFonts w:ascii="Tahoma" w:hAnsi="Tahoma" w:cs="Tahoma"/>
        </w:rPr>
        <w:t>r concentration of women sitting in the lowest paid quartile.</w:t>
      </w:r>
    </w:p>
    <w:p w14:paraId="3E061BAC" w14:textId="0B6063F0" w:rsidR="008223D7" w:rsidRDefault="008223D7" w:rsidP="005C38D1">
      <w:pPr>
        <w:spacing w:before="0" w:line="240" w:lineRule="auto"/>
        <w:ind w:left="0" w:firstLine="0"/>
        <w:contextualSpacing/>
        <w:rPr>
          <w:rFonts w:ascii="Tahoma" w:hAnsi="Tahoma" w:cs="Tahoma"/>
        </w:rPr>
      </w:pPr>
    </w:p>
    <w:p w14:paraId="0BE6A87C" w14:textId="346B8FC8" w:rsidR="008223D7" w:rsidRPr="0007292D" w:rsidRDefault="008223D7" w:rsidP="005C38D1">
      <w:pPr>
        <w:spacing w:before="0" w:line="240" w:lineRule="auto"/>
        <w:ind w:left="0" w:firstLine="0"/>
        <w:contextualSpacing/>
        <w:rPr>
          <w:rFonts w:ascii="Tahoma" w:hAnsi="Tahoma" w:cs="Tahoma"/>
        </w:rPr>
      </w:pPr>
      <w:r>
        <w:rPr>
          <w:rFonts w:ascii="Tahoma" w:hAnsi="Tahoma" w:cs="Tahoma"/>
        </w:rPr>
        <w:t>The table below shows the trend for Hull College over time. The</w:t>
      </w:r>
      <w:r w:rsidR="00327EDC">
        <w:rPr>
          <w:rFonts w:ascii="Tahoma" w:hAnsi="Tahoma" w:cs="Tahoma"/>
        </w:rPr>
        <w:t>re is a clear trend in a reduction in the gender pay gap at Hull College over time.</w:t>
      </w:r>
    </w:p>
    <w:p w14:paraId="1CC77FBD" w14:textId="7ECE533B" w:rsidR="00D361FF" w:rsidRDefault="00D361FF" w:rsidP="005C38D1">
      <w:pPr>
        <w:spacing w:before="0" w:line="240" w:lineRule="auto"/>
        <w:ind w:left="0" w:firstLine="0"/>
        <w:contextualSpacing/>
        <w:rPr>
          <w:rFonts w:ascii="Tahoma" w:hAnsi="Tahoma" w:cs="Tahoma"/>
        </w:rPr>
      </w:pPr>
    </w:p>
    <w:tbl>
      <w:tblPr>
        <w:tblStyle w:val="TableGrid"/>
        <w:tblW w:w="0" w:type="auto"/>
        <w:tblLook w:val="04A0" w:firstRow="1" w:lastRow="0" w:firstColumn="1" w:lastColumn="0" w:noHBand="0" w:noVBand="1"/>
      </w:tblPr>
      <w:tblGrid>
        <w:gridCol w:w="1271"/>
        <w:gridCol w:w="5215"/>
        <w:gridCol w:w="3244"/>
      </w:tblGrid>
      <w:tr w:rsidR="00D361FF" w14:paraId="147CEE2C" w14:textId="77777777" w:rsidTr="00D361FF">
        <w:tc>
          <w:tcPr>
            <w:tcW w:w="1271" w:type="dxa"/>
          </w:tcPr>
          <w:p w14:paraId="7880BD81" w14:textId="7FDE77FA" w:rsidR="00D361FF" w:rsidRPr="00D361FF" w:rsidRDefault="00D361FF" w:rsidP="005C38D1">
            <w:pPr>
              <w:spacing w:before="0"/>
              <w:ind w:left="0" w:firstLine="0"/>
              <w:contextualSpacing/>
              <w:rPr>
                <w:rFonts w:ascii="Tahoma" w:hAnsi="Tahoma" w:cs="Tahoma"/>
                <w:b/>
                <w:bCs/>
              </w:rPr>
            </w:pPr>
            <w:r w:rsidRPr="00D361FF">
              <w:rPr>
                <w:rFonts w:ascii="Tahoma" w:hAnsi="Tahoma" w:cs="Tahoma"/>
                <w:b/>
                <w:bCs/>
              </w:rPr>
              <w:t>Year</w:t>
            </w:r>
          </w:p>
        </w:tc>
        <w:tc>
          <w:tcPr>
            <w:tcW w:w="5215" w:type="dxa"/>
          </w:tcPr>
          <w:p w14:paraId="7DF302DC" w14:textId="576058BB" w:rsidR="00D361FF" w:rsidRPr="00D361FF" w:rsidRDefault="00D361FF" w:rsidP="005C38D1">
            <w:pPr>
              <w:spacing w:before="0"/>
              <w:ind w:left="0" w:firstLine="0"/>
              <w:contextualSpacing/>
              <w:rPr>
                <w:rFonts w:ascii="Tahoma" w:hAnsi="Tahoma" w:cs="Tahoma"/>
                <w:b/>
                <w:bCs/>
              </w:rPr>
            </w:pPr>
            <w:r w:rsidRPr="00D361FF">
              <w:rPr>
                <w:rFonts w:ascii="Tahoma" w:hAnsi="Tahoma" w:cs="Tahoma"/>
                <w:b/>
                <w:bCs/>
              </w:rPr>
              <w:t>Mean Gender Pay Gap</w:t>
            </w:r>
          </w:p>
        </w:tc>
        <w:tc>
          <w:tcPr>
            <w:tcW w:w="3244" w:type="dxa"/>
          </w:tcPr>
          <w:p w14:paraId="6EC19BA5" w14:textId="7C4C3808" w:rsidR="00D361FF" w:rsidRPr="00D361FF" w:rsidRDefault="00D361FF" w:rsidP="005C38D1">
            <w:pPr>
              <w:spacing w:before="0"/>
              <w:ind w:left="0" w:firstLine="0"/>
              <w:contextualSpacing/>
              <w:rPr>
                <w:rFonts w:ascii="Tahoma" w:hAnsi="Tahoma" w:cs="Tahoma"/>
                <w:b/>
                <w:bCs/>
              </w:rPr>
            </w:pPr>
            <w:r w:rsidRPr="00D361FF">
              <w:rPr>
                <w:rFonts w:ascii="Tahoma" w:hAnsi="Tahoma" w:cs="Tahoma"/>
                <w:b/>
                <w:bCs/>
              </w:rPr>
              <w:t>Median Gender Pay Gap</w:t>
            </w:r>
          </w:p>
        </w:tc>
      </w:tr>
      <w:tr w:rsidR="00327EDC" w14:paraId="5D3A1738" w14:textId="77777777" w:rsidTr="00D361FF">
        <w:tc>
          <w:tcPr>
            <w:tcW w:w="1271" w:type="dxa"/>
          </w:tcPr>
          <w:p w14:paraId="5495AA91" w14:textId="41138844" w:rsidR="00327EDC" w:rsidRDefault="00327EDC" w:rsidP="005C38D1">
            <w:pPr>
              <w:spacing w:before="0"/>
              <w:ind w:left="0" w:firstLine="0"/>
              <w:contextualSpacing/>
              <w:rPr>
                <w:rFonts w:ascii="Tahoma" w:hAnsi="Tahoma" w:cs="Tahoma"/>
              </w:rPr>
            </w:pPr>
            <w:r>
              <w:rPr>
                <w:rFonts w:ascii="Tahoma" w:hAnsi="Tahoma" w:cs="Tahoma"/>
              </w:rPr>
              <w:t>2025</w:t>
            </w:r>
          </w:p>
        </w:tc>
        <w:tc>
          <w:tcPr>
            <w:tcW w:w="5215" w:type="dxa"/>
          </w:tcPr>
          <w:p w14:paraId="0CBD5CE3" w14:textId="0DD7A081" w:rsidR="00327EDC" w:rsidRDefault="00327EDC" w:rsidP="005C38D1">
            <w:pPr>
              <w:spacing w:before="0"/>
              <w:ind w:left="0" w:firstLine="0"/>
              <w:contextualSpacing/>
              <w:rPr>
                <w:rFonts w:ascii="Tahoma" w:hAnsi="Tahoma" w:cs="Tahoma"/>
              </w:rPr>
            </w:pPr>
            <w:r>
              <w:rPr>
                <w:rFonts w:ascii="Tahoma" w:hAnsi="Tahoma" w:cs="Tahoma"/>
              </w:rPr>
              <w:t>6.2%</w:t>
            </w:r>
          </w:p>
        </w:tc>
        <w:tc>
          <w:tcPr>
            <w:tcW w:w="3244" w:type="dxa"/>
          </w:tcPr>
          <w:p w14:paraId="57A12CA2" w14:textId="3866185F" w:rsidR="00327EDC" w:rsidRDefault="00327EDC" w:rsidP="005C38D1">
            <w:pPr>
              <w:spacing w:before="0"/>
              <w:ind w:left="0" w:firstLine="0"/>
              <w:contextualSpacing/>
              <w:rPr>
                <w:rFonts w:ascii="Tahoma" w:hAnsi="Tahoma" w:cs="Tahoma"/>
              </w:rPr>
            </w:pPr>
            <w:r>
              <w:rPr>
                <w:rFonts w:ascii="Tahoma" w:hAnsi="Tahoma" w:cs="Tahoma"/>
              </w:rPr>
              <w:t>12.3%</w:t>
            </w:r>
          </w:p>
        </w:tc>
      </w:tr>
      <w:tr w:rsidR="00D361FF" w14:paraId="44AE7755" w14:textId="77777777" w:rsidTr="00D361FF">
        <w:tc>
          <w:tcPr>
            <w:tcW w:w="1271" w:type="dxa"/>
          </w:tcPr>
          <w:p w14:paraId="29C4D1CA" w14:textId="0E079442" w:rsidR="00D361FF" w:rsidRDefault="00D361FF" w:rsidP="005C38D1">
            <w:pPr>
              <w:spacing w:before="0"/>
              <w:ind w:left="0" w:firstLine="0"/>
              <w:contextualSpacing/>
              <w:rPr>
                <w:rFonts w:ascii="Tahoma" w:hAnsi="Tahoma" w:cs="Tahoma"/>
              </w:rPr>
            </w:pPr>
            <w:r>
              <w:rPr>
                <w:rFonts w:ascii="Tahoma" w:hAnsi="Tahoma" w:cs="Tahoma"/>
              </w:rPr>
              <w:t>2024</w:t>
            </w:r>
          </w:p>
        </w:tc>
        <w:tc>
          <w:tcPr>
            <w:tcW w:w="5215" w:type="dxa"/>
          </w:tcPr>
          <w:p w14:paraId="7EB0FE22" w14:textId="55F380E1" w:rsidR="00D361FF" w:rsidRDefault="00D361FF" w:rsidP="005C38D1">
            <w:pPr>
              <w:spacing w:before="0"/>
              <w:ind w:left="0" w:firstLine="0"/>
              <w:contextualSpacing/>
              <w:rPr>
                <w:rFonts w:ascii="Tahoma" w:hAnsi="Tahoma" w:cs="Tahoma"/>
              </w:rPr>
            </w:pPr>
            <w:r>
              <w:rPr>
                <w:rFonts w:ascii="Tahoma" w:hAnsi="Tahoma" w:cs="Tahoma"/>
              </w:rPr>
              <w:t>6.9%</w:t>
            </w:r>
          </w:p>
        </w:tc>
        <w:tc>
          <w:tcPr>
            <w:tcW w:w="3244" w:type="dxa"/>
          </w:tcPr>
          <w:p w14:paraId="671250B1" w14:textId="17C14553" w:rsidR="00D361FF" w:rsidRDefault="00D361FF" w:rsidP="005C38D1">
            <w:pPr>
              <w:spacing w:before="0"/>
              <w:ind w:left="0" w:firstLine="0"/>
              <w:contextualSpacing/>
              <w:rPr>
                <w:rFonts w:ascii="Tahoma" w:hAnsi="Tahoma" w:cs="Tahoma"/>
              </w:rPr>
            </w:pPr>
            <w:r>
              <w:rPr>
                <w:rFonts w:ascii="Tahoma" w:hAnsi="Tahoma" w:cs="Tahoma"/>
              </w:rPr>
              <w:t>17.1%</w:t>
            </w:r>
          </w:p>
        </w:tc>
      </w:tr>
      <w:tr w:rsidR="00D361FF" w14:paraId="09541C46" w14:textId="77777777" w:rsidTr="00D361FF">
        <w:tc>
          <w:tcPr>
            <w:tcW w:w="1271" w:type="dxa"/>
          </w:tcPr>
          <w:p w14:paraId="17C9D0C0" w14:textId="339E1BED" w:rsidR="00D361FF" w:rsidRDefault="00D361FF" w:rsidP="005C38D1">
            <w:pPr>
              <w:spacing w:before="0"/>
              <w:ind w:left="0" w:firstLine="0"/>
              <w:contextualSpacing/>
              <w:rPr>
                <w:rFonts w:ascii="Tahoma" w:hAnsi="Tahoma" w:cs="Tahoma"/>
              </w:rPr>
            </w:pPr>
            <w:r>
              <w:rPr>
                <w:rFonts w:ascii="Tahoma" w:hAnsi="Tahoma" w:cs="Tahoma"/>
              </w:rPr>
              <w:t>2023</w:t>
            </w:r>
          </w:p>
        </w:tc>
        <w:tc>
          <w:tcPr>
            <w:tcW w:w="5215" w:type="dxa"/>
          </w:tcPr>
          <w:p w14:paraId="345A0328" w14:textId="7F201D67" w:rsidR="00D361FF" w:rsidRDefault="00D361FF" w:rsidP="005C38D1">
            <w:pPr>
              <w:spacing w:before="0"/>
              <w:ind w:left="0" w:firstLine="0"/>
              <w:contextualSpacing/>
              <w:rPr>
                <w:rFonts w:ascii="Tahoma" w:hAnsi="Tahoma" w:cs="Tahoma"/>
              </w:rPr>
            </w:pPr>
            <w:r>
              <w:rPr>
                <w:rFonts w:ascii="Tahoma" w:hAnsi="Tahoma" w:cs="Tahoma"/>
              </w:rPr>
              <w:t>9.5%</w:t>
            </w:r>
          </w:p>
        </w:tc>
        <w:tc>
          <w:tcPr>
            <w:tcW w:w="3244" w:type="dxa"/>
          </w:tcPr>
          <w:p w14:paraId="7C37F237" w14:textId="1B2F0D2E" w:rsidR="00D361FF" w:rsidRDefault="00D361FF" w:rsidP="005C38D1">
            <w:pPr>
              <w:spacing w:before="0"/>
              <w:ind w:left="0" w:firstLine="0"/>
              <w:contextualSpacing/>
              <w:rPr>
                <w:rFonts w:ascii="Tahoma" w:hAnsi="Tahoma" w:cs="Tahoma"/>
              </w:rPr>
            </w:pPr>
            <w:r>
              <w:rPr>
                <w:rFonts w:ascii="Tahoma" w:hAnsi="Tahoma" w:cs="Tahoma"/>
              </w:rPr>
              <w:t>20.7%</w:t>
            </w:r>
          </w:p>
        </w:tc>
      </w:tr>
      <w:tr w:rsidR="00D361FF" w14:paraId="01B40225" w14:textId="77777777" w:rsidTr="00D361FF">
        <w:tc>
          <w:tcPr>
            <w:tcW w:w="1271" w:type="dxa"/>
          </w:tcPr>
          <w:p w14:paraId="7ACD594E" w14:textId="74A36460" w:rsidR="00D361FF" w:rsidRDefault="00D361FF" w:rsidP="005C38D1">
            <w:pPr>
              <w:spacing w:before="0"/>
              <w:ind w:left="0" w:firstLine="0"/>
              <w:contextualSpacing/>
              <w:rPr>
                <w:rFonts w:ascii="Tahoma" w:hAnsi="Tahoma" w:cs="Tahoma"/>
              </w:rPr>
            </w:pPr>
            <w:r>
              <w:rPr>
                <w:rFonts w:ascii="Tahoma" w:hAnsi="Tahoma" w:cs="Tahoma"/>
              </w:rPr>
              <w:t>2022</w:t>
            </w:r>
          </w:p>
        </w:tc>
        <w:tc>
          <w:tcPr>
            <w:tcW w:w="5215" w:type="dxa"/>
          </w:tcPr>
          <w:p w14:paraId="32E80829" w14:textId="2A73390A" w:rsidR="00D361FF" w:rsidRDefault="00D361FF" w:rsidP="005C38D1">
            <w:pPr>
              <w:spacing w:before="0"/>
              <w:ind w:left="0" w:firstLine="0"/>
              <w:contextualSpacing/>
              <w:rPr>
                <w:rFonts w:ascii="Tahoma" w:hAnsi="Tahoma" w:cs="Tahoma"/>
              </w:rPr>
            </w:pPr>
            <w:r>
              <w:rPr>
                <w:rFonts w:ascii="Tahoma" w:hAnsi="Tahoma" w:cs="Tahoma"/>
              </w:rPr>
              <w:t>10.8%</w:t>
            </w:r>
          </w:p>
        </w:tc>
        <w:tc>
          <w:tcPr>
            <w:tcW w:w="3244" w:type="dxa"/>
          </w:tcPr>
          <w:p w14:paraId="0A8DEC6F" w14:textId="660F6C4C" w:rsidR="00D361FF" w:rsidRDefault="00D361FF" w:rsidP="005C38D1">
            <w:pPr>
              <w:spacing w:before="0"/>
              <w:ind w:left="0" w:firstLine="0"/>
              <w:contextualSpacing/>
              <w:rPr>
                <w:rFonts w:ascii="Tahoma" w:hAnsi="Tahoma" w:cs="Tahoma"/>
              </w:rPr>
            </w:pPr>
            <w:r>
              <w:rPr>
                <w:rFonts w:ascii="Tahoma" w:hAnsi="Tahoma" w:cs="Tahoma"/>
              </w:rPr>
              <w:t>21%</w:t>
            </w:r>
          </w:p>
        </w:tc>
      </w:tr>
      <w:tr w:rsidR="00D361FF" w14:paraId="69C5D61B" w14:textId="77777777" w:rsidTr="00D361FF">
        <w:tc>
          <w:tcPr>
            <w:tcW w:w="1271" w:type="dxa"/>
          </w:tcPr>
          <w:p w14:paraId="71C2F22C" w14:textId="3AB89518" w:rsidR="00D361FF" w:rsidRDefault="00D361FF" w:rsidP="005C38D1">
            <w:pPr>
              <w:spacing w:before="0"/>
              <w:ind w:left="0" w:firstLine="0"/>
              <w:contextualSpacing/>
              <w:rPr>
                <w:rFonts w:ascii="Tahoma" w:hAnsi="Tahoma" w:cs="Tahoma"/>
              </w:rPr>
            </w:pPr>
            <w:r>
              <w:rPr>
                <w:rFonts w:ascii="Tahoma" w:hAnsi="Tahoma" w:cs="Tahoma"/>
              </w:rPr>
              <w:t>2021</w:t>
            </w:r>
          </w:p>
        </w:tc>
        <w:tc>
          <w:tcPr>
            <w:tcW w:w="5215" w:type="dxa"/>
          </w:tcPr>
          <w:p w14:paraId="5ED16CAF" w14:textId="36FC992D" w:rsidR="00D361FF" w:rsidRDefault="00D361FF" w:rsidP="005C38D1">
            <w:pPr>
              <w:spacing w:before="0"/>
              <w:ind w:left="0" w:firstLine="0"/>
              <w:contextualSpacing/>
              <w:rPr>
                <w:rFonts w:ascii="Tahoma" w:hAnsi="Tahoma" w:cs="Tahoma"/>
              </w:rPr>
            </w:pPr>
            <w:r>
              <w:rPr>
                <w:rFonts w:ascii="Tahoma" w:hAnsi="Tahoma" w:cs="Tahoma"/>
              </w:rPr>
              <w:t>9.17%</w:t>
            </w:r>
          </w:p>
        </w:tc>
        <w:tc>
          <w:tcPr>
            <w:tcW w:w="3244" w:type="dxa"/>
          </w:tcPr>
          <w:p w14:paraId="2343594E" w14:textId="1836C1BA" w:rsidR="00D361FF" w:rsidRDefault="00D361FF" w:rsidP="005C38D1">
            <w:pPr>
              <w:spacing w:before="0"/>
              <w:ind w:left="0" w:firstLine="0"/>
              <w:contextualSpacing/>
              <w:rPr>
                <w:rFonts w:ascii="Tahoma" w:hAnsi="Tahoma" w:cs="Tahoma"/>
              </w:rPr>
            </w:pPr>
            <w:r>
              <w:rPr>
                <w:rFonts w:ascii="Tahoma" w:hAnsi="Tahoma" w:cs="Tahoma"/>
              </w:rPr>
              <w:t>21.28%</w:t>
            </w:r>
          </w:p>
        </w:tc>
      </w:tr>
    </w:tbl>
    <w:p w14:paraId="30FB8FC6" w14:textId="07B2ADCD" w:rsidR="009F3512" w:rsidRDefault="009F3512" w:rsidP="005C38D1">
      <w:pPr>
        <w:spacing w:before="0" w:line="240" w:lineRule="auto"/>
        <w:ind w:left="0" w:firstLine="0"/>
        <w:contextualSpacing/>
        <w:rPr>
          <w:rFonts w:ascii="Tahoma" w:hAnsi="Tahoma" w:cs="Tahoma"/>
        </w:rPr>
      </w:pPr>
    </w:p>
    <w:p w14:paraId="6CC251E9" w14:textId="75CD3993" w:rsidR="00D361FF" w:rsidRDefault="00D361FF" w:rsidP="005C38D1">
      <w:pPr>
        <w:spacing w:before="0" w:line="240" w:lineRule="auto"/>
        <w:ind w:left="0" w:firstLine="0"/>
        <w:contextualSpacing/>
        <w:rPr>
          <w:rFonts w:ascii="Tahoma" w:hAnsi="Tahoma" w:cs="Tahoma"/>
        </w:rPr>
      </w:pPr>
    </w:p>
    <w:p w14:paraId="5D26A5D3" w14:textId="2EB47F5F" w:rsidR="00D361FF" w:rsidRDefault="00D361FF" w:rsidP="005C38D1">
      <w:pPr>
        <w:spacing w:before="0" w:line="240" w:lineRule="auto"/>
        <w:ind w:left="0" w:firstLine="0"/>
        <w:contextualSpacing/>
        <w:rPr>
          <w:rFonts w:ascii="Tahoma" w:hAnsi="Tahoma" w:cs="Tahoma"/>
        </w:rPr>
      </w:pPr>
    </w:p>
    <w:p w14:paraId="5D8732AE" w14:textId="26B02EE1" w:rsidR="00D361FF" w:rsidRDefault="00D361FF" w:rsidP="005C38D1">
      <w:pPr>
        <w:spacing w:before="0" w:line="240" w:lineRule="auto"/>
        <w:ind w:left="0" w:firstLine="0"/>
        <w:contextualSpacing/>
        <w:rPr>
          <w:rFonts w:ascii="Tahoma" w:hAnsi="Tahoma" w:cs="Tahoma"/>
        </w:rPr>
      </w:pPr>
    </w:p>
    <w:p w14:paraId="50033645" w14:textId="2645C850" w:rsidR="00D361FF" w:rsidRDefault="00D361FF" w:rsidP="005C38D1">
      <w:pPr>
        <w:spacing w:before="0" w:line="240" w:lineRule="auto"/>
        <w:ind w:left="0" w:firstLine="0"/>
        <w:contextualSpacing/>
        <w:rPr>
          <w:rFonts w:ascii="Tahoma" w:hAnsi="Tahoma" w:cs="Tahoma"/>
        </w:rPr>
      </w:pPr>
    </w:p>
    <w:p w14:paraId="12359767" w14:textId="137EFD26" w:rsidR="005C38D1" w:rsidRDefault="005C38D1" w:rsidP="005C38D1">
      <w:pPr>
        <w:spacing w:before="0" w:line="240" w:lineRule="auto"/>
        <w:ind w:left="0" w:right="0" w:firstLine="0"/>
        <w:rPr>
          <w:rFonts w:ascii="Tahoma" w:hAnsi="Tahoma" w:cs="Tahoma"/>
        </w:rPr>
      </w:pPr>
      <w:r w:rsidRPr="0022657A">
        <w:rPr>
          <w:rFonts w:ascii="Tahoma" w:hAnsi="Tahoma" w:cs="Tahoma"/>
        </w:rPr>
        <w:lastRenderedPageBreak/>
        <w:t>The percentage of male and female staff employed across 4 equally sized quartiles are shown below</w:t>
      </w:r>
      <w:r w:rsidR="009142FB">
        <w:rPr>
          <w:rFonts w:ascii="Tahoma" w:hAnsi="Tahoma" w:cs="Tahoma"/>
        </w:rPr>
        <w:t xml:space="preserve"> for 2023</w:t>
      </w:r>
      <w:r w:rsidR="00327EDC">
        <w:rPr>
          <w:rFonts w:ascii="Tahoma" w:hAnsi="Tahoma" w:cs="Tahoma"/>
        </w:rPr>
        <w:t xml:space="preserve">, </w:t>
      </w:r>
      <w:r w:rsidR="009142FB">
        <w:rPr>
          <w:rFonts w:ascii="Tahoma" w:hAnsi="Tahoma" w:cs="Tahoma"/>
        </w:rPr>
        <w:t>2024</w:t>
      </w:r>
      <w:r w:rsidR="00327EDC">
        <w:rPr>
          <w:rFonts w:ascii="Tahoma" w:hAnsi="Tahoma" w:cs="Tahoma"/>
        </w:rPr>
        <w:t xml:space="preserve"> and 2025.</w:t>
      </w:r>
    </w:p>
    <w:p w14:paraId="730CCE99" w14:textId="4D5EBB64" w:rsidR="008223D7" w:rsidRDefault="008223D7" w:rsidP="005C38D1">
      <w:pPr>
        <w:spacing w:before="0" w:line="240" w:lineRule="auto"/>
        <w:ind w:left="0" w:right="0" w:firstLine="0"/>
        <w:rPr>
          <w:rFonts w:ascii="Tahoma" w:hAnsi="Tahoma" w:cs="Tahoma"/>
        </w:rPr>
      </w:pPr>
    </w:p>
    <w:p w14:paraId="4CF336CE" w14:textId="77777777" w:rsidR="008223D7" w:rsidRDefault="008223D7" w:rsidP="008223D7">
      <w:pPr>
        <w:spacing w:before="0" w:line="240" w:lineRule="auto"/>
        <w:ind w:left="0" w:firstLine="0"/>
        <w:contextualSpacing/>
        <w:rPr>
          <w:rFonts w:ascii="Tahoma" w:hAnsi="Tahoma" w:cs="Tahoma"/>
        </w:rPr>
      </w:pPr>
      <w:r w:rsidRPr="0007292D">
        <w:rPr>
          <w:rFonts w:ascii="Tahoma" w:hAnsi="Tahoma" w:cs="Tahoma"/>
        </w:rPr>
        <w:t>The headcount in the highest paid quartile shows an almost equal gender split indicating that opportunities for appointment and progression are afforded equally to men and women at Hull College.</w:t>
      </w:r>
    </w:p>
    <w:p w14:paraId="7ED48B3B" w14:textId="77777777" w:rsidR="00327EDC" w:rsidRDefault="00327EDC" w:rsidP="008223D7">
      <w:pPr>
        <w:spacing w:before="0" w:line="240" w:lineRule="auto"/>
        <w:ind w:left="0" w:firstLine="0"/>
        <w:contextualSpacing/>
        <w:rPr>
          <w:rFonts w:ascii="Tahoma" w:hAnsi="Tahoma" w:cs="Tahoma"/>
        </w:rPr>
      </w:pPr>
    </w:p>
    <w:p w14:paraId="61ACFD59" w14:textId="15A4E138" w:rsidR="00327EDC" w:rsidRPr="00327EDC" w:rsidRDefault="00327EDC" w:rsidP="00327EDC">
      <w:pPr>
        <w:spacing w:before="0" w:line="240" w:lineRule="auto"/>
        <w:ind w:left="0" w:firstLine="0"/>
        <w:contextualSpacing/>
        <w:jc w:val="center"/>
        <w:rPr>
          <w:rFonts w:ascii="Tahoma" w:hAnsi="Tahoma" w:cs="Tahoma"/>
          <w:b/>
          <w:bCs/>
        </w:rPr>
      </w:pPr>
      <w:r>
        <w:rPr>
          <w:rFonts w:ascii="Tahoma" w:hAnsi="Tahoma" w:cs="Tahoma"/>
          <w:b/>
          <w:bCs/>
        </w:rPr>
        <w:t xml:space="preserve">    </w:t>
      </w:r>
      <w:r w:rsidRPr="00327EDC">
        <w:rPr>
          <w:rFonts w:ascii="Tahoma" w:hAnsi="Tahoma" w:cs="Tahoma"/>
          <w:b/>
          <w:bCs/>
        </w:rPr>
        <w:t>2025</w:t>
      </w:r>
    </w:p>
    <w:p w14:paraId="010AA1E5" w14:textId="77777777" w:rsidR="00327EDC" w:rsidRDefault="00327EDC" w:rsidP="008223D7">
      <w:pPr>
        <w:spacing w:before="0" w:line="240" w:lineRule="auto"/>
        <w:ind w:left="0" w:firstLine="0"/>
        <w:contextualSpacing/>
        <w:rPr>
          <w:rFonts w:ascii="Tahoma" w:hAnsi="Tahoma" w:cs="Tahoma"/>
        </w:rPr>
      </w:pPr>
    </w:p>
    <w:p w14:paraId="2B8665D1" w14:textId="2B6FEE17" w:rsidR="00327EDC" w:rsidRDefault="00327EDC" w:rsidP="008223D7">
      <w:pPr>
        <w:spacing w:before="0" w:line="240" w:lineRule="auto"/>
        <w:ind w:left="0" w:firstLine="0"/>
        <w:contextualSpacing/>
        <w:rPr>
          <w:rFonts w:ascii="Tahoma" w:hAnsi="Tahoma" w:cs="Tahoma"/>
        </w:rPr>
      </w:pPr>
      <w:r w:rsidRPr="00327EDC">
        <w:rPr>
          <w:rFonts w:ascii="Tahoma" w:hAnsi="Tahoma" w:cs="Tahoma"/>
          <w:noProof/>
        </w:rPr>
        <w:drawing>
          <wp:inline distT="0" distB="0" distL="0" distR="0" wp14:anchorId="000DB829" wp14:editId="323C25C7">
            <wp:extent cx="6184900" cy="2291715"/>
            <wp:effectExtent l="0" t="0" r="6350" b="0"/>
            <wp:docPr id="2076863406" name="Picture 1" descr="A table with numbers and percen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63406" name="Picture 1" descr="A table with numbers and percentages"/>
                    <pic:cNvPicPr/>
                  </pic:nvPicPr>
                  <pic:blipFill>
                    <a:blip r:embed="rId11"/>
                    <a:stretch>
                      <a:fillRect/>
                    </a:stretch>
                  </pic:blipFill>
                  <pic:spPr>
                    <a:xfrm>
                      <a:off x="0" y="0"/>
                      <a:ext cx="6184900" cy="2291715"/>
                    </a:xfrm>
                    <a:prstGeom prst="rect">
                      <a:avLst/>
                    </a:prstGeom>
                  </pic:spPr>
                </pic:pic>
              </a:graphicData>
            </a:graphic>
          </wp:inline>
        </w:drawing>
      </w:r>
    </w:p>
    <w:p w14:paraId="3D284464" w14:textId="77777777" w:rsidR="00327EDC" w:rsidRDefault="00327EDC" w:rsidP="008223D7">
      <w:pPr>
        <w:spacing w:before="0" w:line="240" w:lineRule="auto"/>
        <w:ind w:left="0" w:firstLine="0"/>
        <w:contextualSpacing/>
        <w:rPr>
          <w:rFonts w:ascii="Tahoma" w:hAnsi="Tahoma" w:cs="Tahoma"/>
        </w:rPr>
      </w:pPr>
    </w:p>
    <w:p w14:paraId="12144631" w14:textId="77777777" w:rsidR="00327EDC" w:rsidRPr="0007292D" w:rsidRDefault="00327EDC" w:rsidP="008223D7">
      <w:pPr>
        <w:spacing w:before="0" w:line="240" w:lineRule="auto"/>
        <w:ind w:left="0" w:firstLine="0"/>
        <w:contextualSpacing/>
        <w:rPr>
          <w:rFonts w:ascii="Tahoma" w:hAnsi="Tahoma" w:cs="Tahoma"/>
        </w:rPr>
      </w:pPr>
    </w:p>
    <w:p w14:paraId="2CFE11FA" w14:textId="00C847C0" w:rsidR="005C38D1" w:rsidRDefault="005C38D1" w:rsidP="009F3512">
      <w:pPr>
        <w:tabs>
          <w:tab w:val="left" w:pos="3276"/>
          <w:tab w:val="center" w:pos="4590"/>
        </w:tabs>
        <w:spacing w:before="0" w:line="240" w:lineRule="auto"/>
        <w:ind w:left="0" w:right="0" w:firstLine="0"/>
        <w:jc w:val="center"/>
        <w:rPr>
          <w:rFonts w:ascii="Tahoma" w:eastAsia="Calibri Light" w:hAnsi="Tahoma" w:cs="Tahoma"/>
          <w:b/>
          <w:bCs/>
        </w:rPr>
      </w:pPr>
      <w:r w:rsidRPr="0063406B">
        <w:rPr>
          <w:rFonts w:ascii="Tahoma" w:eastAsia="Calibri Light" w:hAnsi="Tahoma" w:cs="Tahoma"/>
          <w:b/>
          <w:bCs/>
        </w:rPr>
        <w:t>202</w:t>
      </w:r>
      <w:r w:rsidR="006C463B">
        <w:rPr>
          <w:rFonts w:ascii="Tahoma" w:eastAsia="Calibri Light" w:hAnsi="Tahoma" w:cs="Tahoma"/>
          <w:b/>
          <w:bCs/>
        </w:rPr>
        <w:t>4</w:t>
      </w:r>
    </w:p>
    <w:p w14:paraId="46E1D2B2" w14:textId="605CE482" w:rsidR="009F3512" w:rsidRDefault="009F3512" w:rsidP="005C38D1">
      <w:pPr>
        <w:tabs>
          <w:tab w:val="left" w:pos="3276"/>
          <w:tab w:val="center" w:pos="4590"/>
        </w:tabs>
        <w:spacing w:before="0" w:line="240" w:lineRule="auto"/>
        <w:ind w:left="0" w:right="0" w:firstLine="0"/>
        <w:jc w:val="left"/>
        <w:rPr>
          <w:rFonts w:ascii="Tahoma" w:eastAsia="Calibri Light" w:hAnsi="Tahoma" w:cs="Tahoma"/>
          <w:b/>
          <w:bCs/>
        </w:rPr>
      </w:pPr>
    </w:p>
    <w:p w14:paraId="66B73401" w14:textId="0B1B4AFA" w:rsidR="009F3512" w:rsidRDefault="0072191D" w:rsidP="005C38D1">
      <w:pPr>
        <w:tabs>
          <w:tab w:val="left" w:pos="3276"/>
          <w:tab w:val="center" w:pos="4590"/>
        </w:tabs>
        <w:spacing w:before="0" w:line="240" w:lineRule="auto"/>
        <w:ind w:left="0" w:right="0" w:firstLine="0"/>
        <w:jc w:val="left"/>
        <w:rPr>
          <w:rFonts w:ascii="Tahoma" w:eastAsia="Calibri Light" w:hAnsi="Tahoma" w:cs="Tahoma"/>
          <w:b/>
          <w:bCs/>
        </w:rPr>
      </w:pPr>
      <w:r w:rsidRPr="0072191D">
        <w:rPr>
          <w:rFonts w:ascii="Tahoma" w:eastAsia="Calibri Light" w:hAnsi="Tahoma" w:cs="Tahoma"/>
          <w:b/>
          <w:bCs/>
          <w:noProof/>
        </w:rPr>
        <w:drawing>
          <wp:inline distT="0" distB="0" distL="0" distR="0" wp14:anchorId="3118033B" wp14:editId="2FDE49C7">
            <wp:extent cx="6184900" cy="1731645"/>
            <wp:effectExtent l="0" t="0" r="6350" b="1905"/>
            <wp:docPr id="3" name="Picture 3" descr="Table detailing the average hourly rate by sex and pay band for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 detailing the average hourly rate by sex and pay band for 2024&#10;"/>
                    <pic:cNvPicPr/>
                  </pic:nvPicPr>
                  <pic:blipFill>
                    <a:blip r:embed="rId12"/>
                    <a:stretch>
                      <a:fillRect/>
                    </a:stretch>
                  </pic:blipFill>
                  <pic:spPr>
                    <a:xfrm>
                      <a:off x="0" y="0"/>
                      <a:ext cx="6184900" cy="1731645"/>
                    </a:xfrm>
                    <a:prstGeom prst="rect">
                      <a:avLst/>
                    </a:prstGeom>
                  </pic:spPr>
                </pic:pic>
              </a:graphicData>
            </a:graphic>
          </wp:inline>
        </w:drawing>
      </w:r>
    </w:p>
    <w:p w14:paraId="30C8B5C4" w14:textId="77777777" w:rsidR="009F3512" w:rsidRDefault="009F3512" w:rsidP="005C38D1">
      <w:pPr>
        <w:tabs>
          <w:tab w:val="left" w:pos="3276"/>
          <w:tab w:val="center" w:pos="4590"/>
        </w:tabs>
        <w:spacing w:before="0" w:line="240" w:lineRule="auto"/>
        <w:ind w:left="0" w:right="0" w:firstLine="0"/>
        <w:jc w:val="left"/>
        <w:rPr>
          <w:rFonts w:ascii="Tahoma" w:eastAsia="Calibri Light" w:hAnsi="Tahoma" w:cs="Tahoma"/>
          <w:b/>
          <w:bCs/>
        </w:rPr>
      </w:pPr>
    </w:p>
    <w:p w14:paraId="37BD8073" w14:textId="42EFB38F" w:rsidR="009F3512" w:rsidRDefault="009F3512" w:rsidP="009F3512">
      <w:pPr>
        <w:tabs>
          <w:tab w:val="left" w:pos="3276"/>
          <w:tab w:val="center" w:pos="4590"/>
        </w:tabs>
        <w:spacing w:before="0" w:line="240" w:lineRule="auto"/>
        <w:ind w:left="0" w:right="0" w:firstLine="0"/>
        <w:jc w:val="center"/>
        <w:rPr>
          <w:rFonts w:ascii="Tahoma" w:eastAsia="Calibri Light" w:hAnsi="Tahoma" w:cs="Tahoma"/>
          <w:b/>
          <w:bCs/>
        </w:rPr>
      </w:pPr>
      <w:r>
        <w:rPr>
          <w:rFonts w:ascii="Tahoma" w:eastAsia="Calibri Light" w:hAnsi="Tahoma" w:cs="Tahoma"/>
          <w:b/>
          <w:bCs/>
        </w:rPr>
        <w:t>2023</w:t>
      </w:r>
    </w:p>
    <w:p w14:paraId="18C15154" w14:textId="4B59D377" w:rsidR="009F3512" w:rsidRDefault="009F3512" w:rsidP="005C38D1">
      <w:pPr>
        <w:tabs>
          <w:tab w:val="left" w:pos="3276"/>
          <w:tab w:val="center" w:pos="4590"/>
        </w:tabs>
        <w:spacing w:before="0" w:line="240" w:lineRule="auto"/>
        <w:ind w:left="0" w:right="0" w:firstLine="0"/>
        <w:jc w:val="left"/>
        <w:rPr>
          <w:rFonts w:ascii="Tahoma" w:eastAsia="Calibri Light" w:hAnsi="Tahoma" w:cs="Tahoma"/>
          <w:b/>
          <w:bCs/>
        </w:rPr>
      </w:pPr>
    </w:p>
    <w:p w14:paraId="50124ECD" w14:textId="06FD2834" w:rsidR="009F3512" w:rsidRDefault="009F3512" w:rsidP="005C38D1">
      <w:pPr>
        <w:tabs>
          <w:tab w:val="left" w:pos="3276"/>
          <w:tab w:val="center" w:pos="4590"/>
        </w:tabs>
        <w:spacing w:before="0" w:line="240" w:lineRule="auto"/>
        <w:ind w:left="0" w:right="0" w:firstLine="0"/>
        <w:jc w:val="left"/>
        <w:rPr>
          <w:rFonts w:ascii="Tahoma" w:eastAsia="Calibri Light" w:hAnsi="Tahoma" w:cs="Tahoma"/>
          <w:b/>
          <w:bCs/>
        </w:rPr>
      </w:pPr>
      <w:r w:rsidRPr="009F3512">
        <w:rPr>
          <w:rFonts w:ascii="Tahoma" w:eastAsia="Calibri Light" w:hAnsi="Tahoma" w:cs="Tahoma"/>
          <w:b/>
          <w:bCs/>
          <w:noProof/>
        </w:rPr>
        <w:drawing>
          <wp:inline distT="0" distB="0" distL="0" distR="0" wp14:anchorId="38FBFCED" wp14:editId="1AF6D1E2">
            <wp:extent cx="5601185" cy="1607959"/>
            <wp:effectExtent l="0" t="0" r="0" b="0"/>
            <wp:docPr id="1" name="Picture 1" descr="Table detailing the average hourly rate by sex and pay band fo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detailing the average hourly rate by sex and pay band for 2023"/>
                    <pic:cNvPicPr/>
                  </pic:nvPicPr>
                  <pic:blipFill>
                    <a:blip r:embed="rId13"/>
                    <a:stretch>
                      <a:fillRect/>
                    </a:stretch>
                  </pic:blipFill>
                  <pic:spPr>
                    <a:xfrm>
                      <a:off x="0" y="0"/>
                      <a:ext cx="5601185" cy="1607959"/>
                    </a:xfrm>
                    <a:prstGeom prst="rect">
                      <a:avLst/>
                    </a:prstGeom>
                  </pic:spPr>
                </pic:pic>
              </a:graphicData>
            </a:graphic>
          </wp:inline>
        </w:drawing>
      </w:r>
    </w:p>
    <w:p w14:paraId="254863B7" w14:textId="77777777" w:rsidR="009A663A" w:rsidRDefault="009A663A" w:rsidP="009A663A">
      <w:pPr>
        <w:pStyle w:val="Headings"/>
      </w:pPr>
    </w:p>
    <w:p w14:paraId="55B9CF88" w14:textId="3A172738" w:rsidR="0022657A" w:rsidRPr="0007292D" w:rsidRDefault="0022657A" w:rsidP="009A663A">
      <w:pPr>
        <w:pStyle w:val="Headings"/>
        <w:rPr>
          <w:rFonts w:eastAsia="Calibri Light"/>
        </w:rPr>
      </w:pPr>
      <w:r w:rsidRPr="0022657A">
        <w:t>Bonus Payments</w:t>
      </w:r>
    </w:p>
    <w:p w14:paraId="545B7E5B" w14:textId="77777777" w:rsidR="0022657A" w:rsidRPr="0022657A" w:rsidRDefault="0022657A" w:rsidP="005C38D1">
      <w:pPr>
        <w:spacing w:before="0" w:line="240" w:lineRule="auto"/>
        <w:ind w:left="0" w:firstLine="0"/>
        <w:contextualSpacing/>
        <w:rPr>
          <w:rFonts w:ascii="Tahoma" w:hAnsi="Tahoma" w:cs="Tahoma"/>
        </w:rPr>
      </w:pPr>
      <w:r w:rsidRPr="0022657A">
        <w:rPr>
          <w:rFonts w:ascii="Tahoma" w:hAnsi="Tahoma" w:cs="Tahoma"/>
        </w:rPr>
        <w:t>The college has not made any bonus payments in the course of the years being reported.</w:t>
      </w:r>
    </w:p>
    <w:p w14:paraId="550B3CC1" w14:textId="77777777" w:rsidR="0022657A" w:rsidRPr="0022657A" w:rsidRDefault="0022657A" w:rsidP="005C38D1">
      <w:pPr>
        <w:spacing w:before="0" w:line="240" w:lineRule="auto"/>
        <w:ind w:left="0" w:firstLine="0"/>
        <w:contextualSpacing/>
        <w:rPr>
          <w:rFonts w:ascii="Tahoma" w:hAnsi="Tahoma" w:cs="Tahoma"/>
        </w:rPr>
      </w:pPr>
    </w:p>
    <w:p w14:paraId="1A95D181" w14:textId="4BDE7F6B" w:rsidR="007701C5" w:rsidRPr="007701C5" w:rsidRDefault="007701C5" w:rsidP="005C38D1">
      <w:pPr>
        <w:spacing w:before="0" w:line="240" w:lineRule="auto"/>
        <w:ind w:left="0" w:firstLine="0"/>
        <w:contextualSpacing/>
        <w:rPr>
          <w:rFonts w:ascii="Tahoma" w:hAnsi="Tahoma" w:cs="Tahoma"/>
        </w:rPr>
      </w:pPr>
    </w:p>
    <w:sectPr w:rsidR="007701C5" w:rsidRPr="007701C5" w:rsidSect="005C38D1">
      <w:footerReference w:type="default" r:id="rId14"/>
      <w:headerReference w:type="first" r:id="rId15"/>
      <w:footerReference w:type="first" r:id="rId16"/>
      <w:pgSz w:w="11900" w:h="16840" w:code="9"/>
      <w:pgMar w:top="1080" w:right="1080" w:bottom="1080" w:left="1080" w:header="144"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87FD" w14:textId="77777777" w:rsidR="00B851E5" w:rsidRDefault="00B851E5" w:rsidP="00CF09DE">
      <w:pPr>
        <w:spacing w:line="240" w:lineRule="auto"/>
      </w:pPr>
      <w:r>
        <w:separator/>
      </w:r>
    </w:p>
  </w:endnote>
  <w:endnote w:type="continuationSeparator" w:id="0">
    <w:p w14:paraId="2F7ED923" w14:textId="77777777" w:rsidR="00B851E5" w:rsidRDefault="00B851E5" w:rsidP="00CF09DE">
      <w:pPr>
        <w:spacing w:line="240" w:lineRule="auto"/>
      </w:pPr>
      <w:r>
        <w:continuationSeparator/>
      </w:r>
    </w:p>
  </w:endnote>
  <w:endnote w:type="continuationNotice" w:id="1">
    <w:p w14:paraId="740760D0" w14:textId="77777777" w:rsidR="00B851E5" w:rsidRDefault="00B851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353346"/>
      <w:docPartObj>
        <w:docPartGallery w:val="Page Numbers (Bottom of Page)"/>
        <w:docPartUnique/>
      </w:docPartObj>
    </w:sdtPr>
    <w:sdtEndPr/>
    <w:sdtContent>
      <w:sdt>
        <w:sdtPr>
          <w:id w:val="-1705238520"/>
          <w:docPartObj>
            <w:docPartGallery w:val="Page Numbers (Top of Page)"/>
            <w:docPartUnique/>
          </w:docPartObj>
        </w:sdtPr>
        <w:sdtEndPr/>
        <w:sdtContent>
          <w:p w14:paraId="2B98C30D" w14:textId="211A43D7" w:rsidR="00BC5E90" w:rsidRDefault="00BC5E90" w:rsidP="0020439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C9D776" w14:textId="49DC82F5" w:rsidR="006E538F" w:rsidRDefault="006E538F" w:rsidP="006E538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2"/>
        <w:szCs w:val="22"/>
      </w:rPr>
      <w:id w:val="-1566404172"/>
      <w:docPartObj>
        <w:docPartGallery w:val="Page Numbers (Bottom of Page)"/>
        <w:docPartUnique/>
      </w:docPartObj>
    </w:sdtPr>
    <w:sdtEndPr/>
    <w:sdtContent>
      <w:sdt>
        <w:sdtPr>
          <w:rPr>
            <w:rFonts w:asciiTheme="minorHAnsi" w:eastAsiaTheme="minorHAnsi" w:hAnsiTheme="minorHAnsi" w:cstheme="minorBidi"/>
            <w:sz w:val="22"/>
            <w:szCs w:val="22"/>
          </w:rPr>
          <w:id w:val="1728636285"/>
          <w:docPartObj>
            <w:docPartGallery w:val="Page Numbers (Top of Page)"/>
            <w:docPartUnique/>
          </w:docPartObj>
        </w:sdtPr>
        <w:sdtEndPr/>
        <w:sdtContent>
          <w:p w14:paraId="1414A7BA" w14:textId="475991E2" w:rsidR="000F36DD" w:rsidRDefault="000F36DD" w:rsidP="00204392">
            <w:pPr>
              <w:pStyle w:val="BodyText"/>
              <w:spacing w:before="129" w:line="230" w:lineRule="auto"/>
              <w:ind w:left="8001" w:right="-426" w:firstLine="36"/>
              <w:jc w:val="right"/>
              <w:rPr>
                <w:rFonts w:asciiTheme="minorHAnsi" w:hAnsiTheme="minorHAnsi" w:cstheme="minorHAnsi"/>
                <w:color w:val="4C4D4F"/>
              </w:rPr>
            </w:pPr>
          </w:p>
          <w:p w14:paraId="26AA13AE" w14:textId="475991E2" w:rsidR="00826C80" w:rsidRPr="00826C80" w:rsidRDefault="00826C80" w:rsidP="00826C80">
            <w:pPr>
              <w:pStyle w:val="Footer"/>
              <w:jc w:val="center"/>
              <w:rPr>
                <w:b/>
                <w:bCs/>
                <w:sz w:val="24"/>
                <w:szCs w:val="24"/>
              </w:rPr>
            </w:pPr>
            <w:r w:rsidRPr="006E2F1B">
              <w:rPr>
                <w:rFonts w:ascii="Tahoma" w:hAnsi="Tahoma" w:cs="Tahoma"/>
                <w:sz w:val="16"/>
                <w:szCs w:val="16"/>
              </w:rPr>
              <w:t xml:space="preserve">Page </w:t>
            </w:r>
            <w:r w:rsidRPr="006E2F1B">
              <w:rPr>
                <w:rFonts w:ascii="Tahoma" w:hAnsi="Tahoma" w:cs="Tahoma"/>
                <w:b/>
                <w:bCs/>
                <w:sz w:val="16"/>
                <w:szCs w:val="16"/>
              </w:rPr>
              <w:fldChar w:fldCharType="begin"/>
            </w:r>
            <w:r w:rsidRPr="006E2F1B">
              <w:rPr>
                <w:rFonts w:ascii="Tahoma" w:hAnsi="Tahoma" w:cs="Tahoma"/>
                <w:b/>
                <w:bCs/>
                <w:sz w:val="16"/>
                <w:szCs w:val="16"/>
              </w:rPr>
              <w:instrText xml:space="preserve"> PAGE </w:instrText>
            </w:r>
            <w:r w:rsidRPr="006E2F1B">
              <w:rPr>
                <w:rFonts w:ascii="Tahoma" w:hAnsi="Tahoma" w:cs="Tahoma"/>
                <w:b/>
                <w:bCs/>
                <w:sz w:val="16"/>
                <w:szCs w:val="16"/>
              </w:rPr>
              <w:fldChar w:fldCharType="separate"/>
            </w:r>
            <w:r w:rsidRPr="006E2F1B">
              <w:rPr>
                <w:rFonts w:ascii="Tahoma" w:hAnsi="Tahoma" w:cs="Tahoma"/>
                <w:b/>
                <w:bCs/>
                <w:noProof/>
                <w:sz w:val="16"/>
                <w:szCs w:val="16"/>
              </w:rPr>
              <w:t>1</w:t>
            </w:r>
            <w:r w:rsidRPr="006E2F1B">
              <w:rPr>
                <w:rFonts w:ascii="Tahoma" w:hAnsi="Tahoma" w:cs="Tahoma"/>
                <w:b/>
                <w:bCs/>
                <w:sz w:val="16"/>
                <w:szCs w:val="16"/>
              </w:rPr>
              <w:fldChar w:fldCharType="end"/>
            </w:r>
            <w:r w:rsidRPr="006E2F1B">
              <w:rPr>
                <w:rFonts w:ascii="Tahoma" w:hAnsi="Tahoma" w:cs="Tahoma"/>
                <w:sz w:val="16"/>
                <w:szCs w:val="16"/>
              </w:rPr>
              <w:t xml:space="preserve"> of </w:t>
            </w:r>
            <w:r w:rsidRPr="006E2F1B">
              <w:rPr>
                <w:rFonts w:ascii="Tahoma" w:hAnsi="Tahoma" w:cs="Tahoma"/>
                <w:b/>
                <w:bCs/>
                <w:sz w:val="16"/>
                <w:szCs w:val="16"/>
              </w:rPr>
              <w:fldChar w:fldCharType="begin"/>
            </w:r>
            <w:r w:rsidRPr="006E2F1B">
              <w:rPr>
                <w:rFonts w:ascii="Tahoma" w:hAnsi="Tahoma" w:cs="Tahoma"/>
                <w:b/>
                <w:bCs/>
                <w:sz w:val="16"/>
                <w:szCs w:val="16"/>
              </w:rPr>
              <w:instrText xml:space="preserve"> NUMPAGES  </w:instrText>
            </w:r>
            <w:r w:rsidRPr="006E2F1B">
              <w:rPr>
                <w:rFonts w:ascii="Tahoma" w:hAnsi="Tahoma" w:cs="Tahoma"/>
                <w:b/>
                <w:bCs/>
                <w:sz w:val="16"/>
                <w:szCs w:val="16"/>
              </w:rPr>
              <w:fldChar w:fldCharType="separate"/>
            </w:r>
            <w:r w:rsidR="00C15CDD" w:rsidRPr="006E2F1B">
              <w:rPr>
                <w:rFonts w:ascii="Tahoma" w:hAnsi="Tahoma" w:cs="Tahoma"/>
                <w:b/>
                <w:bCs/>
                <w:noProof/>
                <w:sz w:val="16"/>
                <w:szCs w:val="16"/>
              </w:rPr>
              <w:t>10</w:t>
            </w:r>
            <w:r w:rsidRPr="006E2F1B">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7BC11" w14:textId="77777777" w:rsidR="00B851E5" w:rsidRDefault="00B851E5" w:rsidP="00CF09DE">
      <w:pPr>
        <w:spacing w:line="240" w:lineRule="auto"/>
      </w:pPr>
      <w:r>
        <w:separator/>
      </w:r>
    </w:p>
  </w:footnote>
  <w:footnote w:type="continuationSeparator" w:id="0">
    <w:p w14:paraId="15B861BF" w14:textId="77777777" w:rsidR="00B851E5" w:rsidRDefault="00B851E5" w:rsidP="00CF09DE">
      <w:pPr>
        <w:spacing w:line="240" w:lineRule="auto"/>
      </w:pPr>
      <w:r>
        <w:continuationSeparator/>
      </w:r>
    </w:p>
  </w:footnote>
  <w:footnote w:type="continuationNotice" w:id="1">
    <w:p w14:paraId="2805BFBA" w14:textId="77777777" w:rsidR="00B851E5" w:rsidRDefault="00B851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2602" w14:textId="55D0C393" w:rsidR="00F14946" w:rsidRDefault="005C38D1" w:rsidP="005C38D1">
    <w:pPr>
      <w:pStyle w:val="Header"/>
      <w:ind w:right="-700"/>
      <w:jc w:val="right"/>
    </w:pPr>
    <w:r>
      <w:rPr>
        <w:rFonts w:ascii="Arial" w:hAnsi="Arial" w:cs="Arial"/>
        <w:noProof/>
        <w:sz w:val="20"/>
        <w:szCs w:val="20"/>
      </w:rPr>
      <w:drawing>
        <wp:inline distT="0" distB="0" distL="0" distR="0" wp14:anchorId="44EBB000" wp14:editId="20CBC26C">
          <wp:extent cx="1056746" cy="1058174"/>
          <wp:effectExtent l="0" t="0" r="0" b="8890"/>
          <wp:docPr id="8466803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8125" cy="1059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D81"/>
    <w:multiLevelType w:val="hybridMultilevel"/>
    <w:tmpl w:val="D80039E6"/>
    <w:lvl w:ilvl="0" w:tplc="08090001">
      <w:start w:val="1"/>
      <w:numFmt w:val="bullet"/>
      <w:lvlText w:val=""/>
      <w:lvlJc w:val="left"/>
      <w:pPr>
        <w:ind w:left="720" w:hanging="360"/>
      </w:pPr>
      <w:rPr>
        <w:rFonts w:ascii="Symbol" w:hAnsi="Symbol" w:hint="default"/>
      </w:rPr>
    </w:lvl>
    <w:lvl w:ilvl="1" w:tplc="8DE6545E">
      <w:numFmt w:val="bullet"/>
      <w:lvlText w:val="•"/>
      <w:lvlJc w:val="left"/>
      <w:pPr>
        <w:ind w:left="1440" w:hanging="360"/>
      </w:pPr>
      <w:rPr>
        <w:rFonts w:ascii="Tahoma" w:eastAsiaTheme="minorHAnsi"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559EE"/>
    <w:multiLevelType w:val="hybridMultilevel"/>
    <w:tmpl w:val="91DC36C0"/>
    <w:lvl w:ilvl="0" w:tplc="08090001">
      <w:start w:val="1"/>
      <w:numFmt w:val="bullet"/>
      <w:lvlText w:val=""/>
      <w:lvlJc w:val="left"/>
      <w:pPr>
        <w:ind w:left="1223" w:hanging="360"/>
      </w:pPr>
      <w:rPr>
        <w:rFonts w:ascii="Symbol" w:hAnsi="Symbol" w:hint="default"/>
      </w:rPr>
    </w:lvl>
    <w:lvl w:ilvl="1" w:tplc="08090003" w:tentative="1">
      <w:start w:val="1"/>
      <w:numFmt w:val="bullet"/>
      <w:lvlText w:val="o"/>
      <w:lvlJc w:val="left"/>
      <w:pPr>
        <w:ind w:left="1943" w:hanging="360"/>
      </w:pPr>
      <w:rPr>
        <w:rFonts w:ascii="Courier New" w:hAnsi="Courier New" w:cs="Courier New" w:hint="default"/>
      </w:rPr>
    </w:lvl>
    <w:lvl w:ilvl="2" w:tplc="08090005" w:tentative="1">
      <w:start w:val="1"/>
      <w:numFmt w:val="bullet"/>
      <w:lvlText w:val=""/>
      <w:lvlJc w:val="left"/>
      <w:pPr>
        <w:ind w:left="2663" w:hanging="360"/>
      </w:pPr>
      <w:rPr>
        <w:rFonts w:ascii="Wingdings" w:hAnsi="Wingdings" w:hint="default"/>
      </w:rPr>
    </w:lvl>
    <w:lvl w:ilvl="3" w:tplc="08090001" w:tentative="1">
      <w:start w:val="1"/>
      <w:numFmt w:val="bullet"/>
      <w:lvlText w:val=""/>
      <w:lvlJc w:val="left"/>
      <w:pPr>
        <w:ind w:left="3383" w:hanging="360"/>
      </w:pPr>
      <w:rPr>
        <w:rFonts w:ascii="Symbol" w:hAnsi="Symbol" w:hint="default"/>
      </w:rPr>
    </w:lvl>
    <w:lvl w:ilvl="4" w:tplc="08090003" w:tentative="1">
      <w:start w:val="1"/>
      <w:numFmt w:val="bullet"/>
      <w:lvlText w:val="o"/>
      <w:lvlJc w:val="left"/>
      <w:pPr>
        <w:ind w:left="4103" w:hanging="360"/>
      </w:pPr>
      <w:rPr>
        <w:rFonts w:ascii="Courier New" w:hAnsi="Courier New" w:cs="Courier New" w:hint="default"/>
      </w:rPr>
    </w:lvl>
    <w:lvl w:ilvl="5" w:tplc="08090005" w:tentative="1">
      <w:start w:val="1"/>
      <w:numFmt w:val="bullet"/>
      <w:lvlText w:val=""/>
      <w:lvlJc w:val="left"/>
      <w:pPr>
        <w:ind w:left="4823" w:hanging="360"/>
      </w:pPr>
      <w:rPr>
        <w:rFonts w:ascii="Wingdings" w:hAnsi="Wingdings" w:hint="default"/>
      </w:rPr>
    </w:lvl>
    <w:lvl w:ilvl="6" w:tplc="08090001" w:tentative="1">
      <w:start w:val="1"/>
      <w:numFmt w:val="bullet"/>
      <w:lvlText w:val=""/>
      <w:lvlJc w:val="left"/>
      <w:pPr>
        <w:ind w:left="5543" w:hanging="360"/>
      </w:pPr>
      <w:rPr>
        <w:rFonts w:ascii="Symbol" w:hAnsi="Symbol" w:hint="default"/>
      </w:rPr>
    </w:lvl>
    <w:lvl w:ilvl="7" w:tplc="08090003" w:tentative="1">
      <w:start w:val="1"/>
      <w:numFmt w:val="bullet"/>
      <w:lvlText w:val="o"/>
      <w:lvlJc w:val="left"/>
      <w:pPr>
        <w:ind w:left="6263" w:hanging="360"/>
      </w:pPr>
      <w:rPr>
        <w:rFonts w:ascii="Courier New" w:hAnsi="Courier New" w:cs="Courier New" w:hint="default"/>
      </w:rPr>
    </w:lvl>
    <w:lvl w:ilvl="8" w:tplc="08090005" w:tentative="1">
      <w:start w:val="1"/>
      <w:numFmt w:val="bullet"/>
      <w:lvlText w:val=""/>
      <w:lvlJc w:val="left"/>
      <w:pPr>
        <w:ind w:left="6983" w:hanging="360"/>
      </w:pPr>
      <w:rPr>
        <w:rFonts w:ascii="Wingdings" w:hAnsi="Wingdings" w:hint="default"/>
      </w:rPr>
    </w:lvl>
  </w:abstractNum>
  <w:abstractNum w:abstractNumId="2"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2B1A22"/>
    <w:multiLevelType w:val="hybridMultilevel"/>
    <w:tmpl w:val="677EA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116611"/>
    <w:multiLevelType w:val="hybridMultilevel"/>
    <w:tmpl w:val="BED8F1F4"/>
    <w:lvl w:ilvl="0" w:tplc="08090001">
      <w:start w:val="1"/>
      <w:numFmt w:val="bullet"/>
      <w:lvlText w:val=""/>
      <w:lvlJc w:val="left"/>
      <w:pPr>
        <w:ind w:left="1223" w:hanging="360"/>
      </w:pPr>
      <w:rPr>
        <w:rFonts w:ascii="Symbol" w:hAnsi="Symbol" w:hint="default"/>
      </w:rPr>
    </w:lvl>
    <w:lvl w:ilvl="1" w:tplc="08090003" w:tentative="1">
      <w:start w:val="1"/>
      <w:numFmt w:val="bullet"/>
      <w:lvlText w:val="o"/>
      <w:lvlJc w:val="left"/>
      <w:pPr>
        <w:ind w:left="1943" w:hanging="360"/>
      </w:pPr>
      <w:rPr>
        <w:rFonts w:ascii="Courier New" w:hAnsi="Courier New" w:cs="Courier New" w:hint="default"/>
      </w:rPr>
    </w:lvl>
    <w:lvl w:ilvl="2" w:tplc="08090005" w:tentative="1">
      <w:start w:val="1"/>
      <w:numFmt w:val="bullet"/>
      <w:lvlText w:val=""/>
      <w:lvlJc w:val="left"/>
      <w:pPr>
        <w:ind w:left="2663" w:hanging="360"/>
      </w:pPr>
      <w:rPr>
        <w:rFonts w:ascii="Wingdings" w:hAnsi="Wingdings" w:hint="default"/>
      </w:rPr>
    </w:lvl>
    <w:lvl w:ilvl="3" w:tplc="08090001" w:tentative="1">
      <w:start w:val="1"/>
      <w:numFmt w:val="bullet"/>
      <w:lvlText w:val=""/>
      <w:lvlJc w:val="left"/>
      <w:pPr>
        <w:ind w:left="3383" w:hanging="360"/>
      </w:pPr>
      <w:rPr>
        <w:rFonts w:ascii="Symbol" w:hAnsi="Symbol" w:hint="default"/>
      </w:rPr>
    </w:lvl>
    <w:lvl w:ilvl="4" w:tplc="08090003" w:tentative="1">
      <w:start w:val="1"/>
      <w:numFmt w:val="bullet"/>
      <w:lvlText w:val="o"/>
      <w:lvlJc w:val="left"/>
      <w:pPr>
        <w:ind w:left="4103" w:hanging="360"/>
      </w:pPr>
      <w:rPr>
        <w:rFonts w:ascii="Courier New" w:hAnsi="Courier New" w:cs="Courier New" w:hint="default"/>
      </w:rPr>
    </w:lvl>
    <w:lvl w:ilvl="5" w:tplc="08090005" w:tentative="1">
      <w:start w:val="1"/>
      <w:numFmt w:val="bullet"/>
      <w:lvlText w:val=""/>
      <w:lvlJc w:val="left"/>
      <w:pPr>
        <w:ind w:left="4823" w:hanging="360"/>
      </w:pPr>
      <w:rPr>
        <w:rFonts w:ascii="Wingdings" w:hAnsi="Wingdings" w:hint="default"/>
      </w:rPr>
    </w:lvl>
    <w:lvl w:ilvl="6" w:tplc="08090001" w:tentative="1">
      <w:start w:val="1"/>
      <w:numFmt w:val="bullet"/>
      <w:lvlText w:val=""/>
      <w:lvlJc w:val="left"/>
      <w:pPr>
        <w:ind w:left="5543" w:hanging="360"/>
      </w:pPr>
      <w:rPr>
        <w:rFonts w:ascii="Symbol" w:hAnsi="Symbol" w:hint="default"/>
      </w:rPr>
    </w:lvl>
    <w:lvl w:ilvl="7" w:tplc="08090003" w:tentative="1">
      <w:start w:val="1"/>
      <w:numFmt w:val="bullet"/>
      <w:lvlText w:val="o"/>
      <w:lvlJc w:val="left"/>
      <w:pPr>
        <w:ind w:left="6263" w:hanging="360"/>
      </w:pPr>
      <w:rPr>
        <w:rFonts w:ascii="Courier New" w:hAnsi="Courier New" w:cs="Courier New" w:hint="default"/>
      </w:rPr>
    </w:lvl>
    <w:lvl w:ilvl="8" w:tplc="08090005" w:tentative="1">
      <w:start w:val="1"/>
      <w:numFmt w:val="bullet"/>
      <w:lvlText w:val=""/>
      <w:lvlJc w:val="left"/>
      <w:pPr>
        <w:ind w:left="6983" w:hanging="360"/>
      </w:pPr>
      <w:rPr>
        <w:rFonts w:ascii="Wingdings" w:hAnsi="Wingdings" w:hint="default"/>
      </w:rPr>
    </w:lvl>
  </w:abstractNum>
  <w:abstractNum w:abstractNumId="5" w15:restartNumberingAfterBreak="0">
    <w:nsid w:val="644A3CF8"/>
    <w:multiLevelType w:val="hybridMultilevel"/>
    <w:tmpl w:val="75CEFA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A8505F7"/>
    <w:multiLevelType w:val="multilevel"/>
    <w:tmpl w:val="6C96147E"/>
    <w:lvl w:ilvl="0">
      <w:start w:val="1"/>
      <w:numFmt w:val="decimal"/>
      <w:lvlText w:val="%1."/>
      <w:lvlJc w:val="left"/>
      <w:pPr>
        <w:ind w:left="473" w:hanging="360"/>
      </w:pPr>
      <w:rPr>
        <w:rFonts w:hint="default"/>
      </w:rPr>
    </w:lvl>
    <w:lvl w:ilvl="1">
      <w:start w:val="1"/>
      <w:numFmt w:val="decimal"/>
      <w:isLgl/>
      <w:lvlText w:val="%1.%2"/>
      <w:lvlJc w:val="left"/>
      <w:pPr>
        <w:ind w:left="503" w:hanging="390"/>
      </w:pPr>
      <w:rPr>
        <w:rFonts w:hint="default"/>
        <w:b w:val="0"/>
        <w:bCs/>
      </w:rPr>
    </w:lvl>
    <w:lvl w:ilvl="2">
      <w:start w:val="1"/>
      <w:numFmt w:val="decimal"/>
      <w:isLgl/>
      <w:lvlText w:val="%1.%2.%3"/>
      <w:lvlJc w:val="left"/>
      <w:pPr>
        <w:ind w:left="833" w:hanging="720"/>
      </w:pPr>
      <w:rPr>
        <w:rFonts w:hint="default"/>
        <w:b/>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num w:numId="1" w16cid:durableId="1725641177">
    <w:abstractNumId w:val="2"/>
  </w:num>
  <w:num w:numId="2" w16cid:durableId="2064868652">
    <w:abstractNumId w:val="6"/>
  </w:num>
  <w:num w:numId="3" w16cid:durableId="1958830668">
    <w:abstractNumId w:val="5"/>
  </w:num>
  <w:num w:numId="4" w16cid:durableId="100684681">
    <w:abstractNumId w:val="1"/>
  </w:num>
  <w:num w:numId="5" w16cid:durableId="313995616">
    <w:abstractNumId w:val="4"/>
  </w:num>
  <w:num w:numId="6" w16cid:durableId="624119577">
    <w:abstractNumId w:val="0"/>
  </w:num>
  <w:num w:numId="7" w16cid:durableId="186590487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380A"/>
    <w:rsid w:val="000059C4"/>
    <w:rsid w:val="00005EB9"/>
    <w:rsid w:val="00013F45"/>
    <w:rsid w:val="00017236"/>
    <w:rsid w:val="00017D1E"/>
    <w:rsid w:val="00022361"/>
    <w:rsid w:val="00033355"/>
    <w:rsid w:val="00033C2E"/>
    <w:rsid w:val="00034C3B"/>
    <w:rsid w:val="00035510"/>
    <w:rsid w:val="00040969"/>
    <w:rsid w:val="000425E3"/>
    <w:rsid w:val="00043873"/>
    <w:rsid w:val="000449D2"/>
    <w:rsid w:val="00053079"/>
    <w:rsid w:val="00057B9E"/>
    <w:rsid w:val="00066929"/>
    <w:rsid w:val="00071CED"/>
    <w:rsid w:val="0007292D"/>
    <w:rsid w:val="0007447A"/>
    <w:rsid w:val="00080D54"/>
    <w:rsid w:val="00080DEA"/>
    <w:rsid w:val="000812B3"/>
    <w:rsid w:val="00082FD0"/>
    <w:rsid w:val="000832B6"/>
    <w:rsid w:val="00083FA5"/>
    <w:rsid w:val="00090CF3"/>
    <w:rsid w:val="00091F54"/>
    <w:rsid w:val="00093C25"/>
    <w:rsid w:val="00095C42"/>
    <w:rsid w:val="000966D3"/>
    <w:rsid w:val="000A0095"/>
    <w:rsid w:val="000A1B43"/>
    <w:rsid w:val="000A1B77"/>
    <w:rsid w:val="000A1FB7"/>
    <w:rsid w:val="000A3476"/>
    <w:rsid w:val="000A5638"/>
    <w:rsid w:val="000B4537"/>
    <w:rsid w:val="000B638E"/>
    <w:rsid w:val="000C30AC"/>
    <w:rsid w:val="000C3105"/>
    <w:rsid w:val="000C3CE5"/>
    <w:rsid w:val="000C3D76"/>
    <w:rsid w:val="000D644B"/>
    <w:rsid w:val="000E0408"/>
    <w:rsid w:val="000E41D3"/>
    <w:rsid w:val="000E6A9E"/>
    <w:rsid w:val="000F1FF8"/>
    <w:rsid w:val="000F2845"/>
    <w:rsid w:val="000F36DD"/>
    <w:rsid w:val="000F44FB"/>
    <w:rsid w:val="000F6A48"/>
    <w:rsid w:val="001003D5"/>
    <w:rsid w:val="001012D5"/>
    <w:rsid w:val="00103437"/>
    <w:rsid w:val="001071F6"/>
    <w:rsid w:val="001121AD"/>
    <w:rsid w:val="00113B12"/>
    <w:rsid w:val="00114111"/>
    <w:rsid w:val="001171C4"/>
    <w:rsid w:val="00124715"/>
    <w:rsid w:val="00126B1D"/>
    <w:rsid w:val="00127690"/>
    <w:rsid w:val="0013028C"/>
    <w:rsid w:val="00130411"/>
    <w:rsid w:val="0013440A"/>
    <w:rsid w:val="0013624D"/>
    <w:rsid w:val="001402F9"/>
    <w:rsid w:val="001423DC"/>
    <w:rsid w:val="00146462"/>
    <w:rsid w:val="00146AD5"/>
    <w:rsid w:val="001477C3"/>
    <w:rsid w:val="0015002D"/>
    <w:rsid w:val="00155A6B"/>
    <w:rsid w:val="00157F78"/>
    <w:rsid w:val="00165DC3"/>
    <w:rsid w:val="00171274"/>
    <w:rsid w:val="00173E10"/>
    <w:rsid w:val="00176AB8"/>
    <w:rsid w:val="00177C82"/>
    <w:rsid w:val="00181B12"/>
    <w:rsid w:val="001830A9"/>
    <w:rsid w:val="001839D2"/>
    <w:rsid w:val="00183F23"/>
    <w:rsid w:val="00184FC8"/>
    <w:rsid w:val="0018535D"/>
    <w:rsid w:val="00186EC5"/>
    <w:rsid w:val="00187A79"/>
    <w:rsid w:val="001963BB"/>
    <w:rsid w:val="001A24B9"/>
    <w:rsid w:val="001A7422"/>
    <w:rsid w:val="001B720F"/>
    <w:rsid w:val="001C74DD"/>
    <w:rsid w:val="001D156A"/>
    <w:rsid w:val="001D440B"/>
    <w:rsid w:val="001D45FA"/>
    <w:rsid w:val="001D4BB7"/>
    <w:rsid w:val="001D4F7D"/>
    <w:rsid w:val="001D501C"/>
    <w:rsid w:val="001F05B4"/>
    <w:rsid w:val="001F15F2"/>
    <w:rsid w:val="001F1E26"/>
    <w:rsid w:val="001F642E"/>
    <w:rsid w:val="00200FEA"/>
    <w:rsid w:val="00201933"/>
    <w:rsid w:val="00201C22"/>
    <w:rsid w:val="00201F67"/>
    <w:rsid w:val="00202190"/>
    <w:rsid w:val="00204392"/>
    <w:rsid w:val="0020454D"/>
    <w:rsid w:val="002046F7"/>
    <w:rsid w:val="00205C4A"/>
    <w:rsid w:val="002065DE"/>
    <w:rsid w:val="002109D9"/>
    <w:rsid w:val="0021254A"/>
    <w:rsid w:val="002151AC"/>
    <w:rsid w:val="002157DB"/>
    <w:rsid w:val="0021635B"/>
    <w:rsid w:val="00217261"/>
    <w:rsid w:val="0022197A"/>
    <w:rsid w:val="0022649E"/>
    <w:rsid w:val="00226533"/>
    <w:rsid w:val="0022657A"/>
    <w:rsid w:val="00227E66"/>
    <w:rsid w:val="00233339"/>
    <w:rsid w:val="0023379A"/>
    <w:rsid w:val="00233E7B"/>
    <w:rsid w:val="00234DFE"/>
    <w:rsid w:val="00235B7E"/>
    <w:rsid w:val="002422B1"/>
    <w:rsid w:val="002422C9"/>
    <w:rsid w:val="00242FD5"/>
    <w:rsid w:val="002433B3"/>
    <w:rsid w:val="0024638E"/>
    <w:rsid w:val="0024785A"/>
    <w:rsid w:val="00252F0C"/>
    <w:rsid w:val="002545D6"/>
    <w:rsid w:val="002627F2"/>
    <w:rsid w:val="00262AC1"/>
    <w:rsid w:val="00262E10"/>
    <w:rsid w:val="002662E9"/>
    <w:rsid w:val="0026636C"/>
    <w:rsid w:val="00266BD8"/>
    <w:rsid w:val="002714CA"/>
    <w:rsid w:val="00275B71"/>
    <w:rsid w:val="0028149C"/>
    <w:rsid w:val="00281BBB"/>
    <w:rsid w:val="00285598"/>
    <w:rsid w:val="00294045"/>
    <w:rsid w:val="00295AAC"/>
    <w:rsid w:val="00296C12"/>
    <w:rsid w:val="00297AF3"/>
    <w:rsid w:val="002A0030"/>
    <w:rsid w:val="002A1A10"/>
    <w:rsid w:val="002B089C"/>
    <w:rsid w:val="002B139C"/>
    <w:rsid w:val="002B3D73"/>
    <w:rsid w:val="002B5908"/>
    <w:rsid w:val="002B6AAC"/>
    <w:rsid w:val="002C0955"/>
    <w:rsid w:val="002C366E"/>
    <w:rsid w:val="002C417C"/>
    <w:rsid w:val="002C4C82"/>
    <w:rsid w:val="002D03CB"/>
    <w:rsid w:val="002D4992"/>
    <w:rsid w:val="002D77C8"/>
    <w:rsid w:val="002D7ED3"/>
    <w:rsid w:val="002E243A"/>
    <w:rsid w:val="002E2901"/>
    <w:rsid w:val="002E2D3C"/>
    <w:rsid w:val="002E35E1"/>
    <w:rsid w:val="002E4E52"/>
    <w:rsid w:val="002E5B3F"/>
    <w:rsid w:val="002F270A"/>
    <w:rsid w:val="002F5521"/>
    <w:rsid w:val="002F6633"/>
    <w:rsid w:val="003041FF"/>
    <w:rsid w:val="003051F5"/>
    <w:rsid w:val="00313E63"/>
    <w:rsid w:val="00322E31"/>
    <w:rsid w:val="00326448"/>
    <w:rsid w:val="00327274"/>
    <w:rsid w:val="00327EDC"/>
    <w:rsid w:val="003367CD"/>
    <w:rsid w:val="00341ACE"/>
    <w:rsid w:val="0034330D"/>
    <w:rsid w:val="003461FF"/>
    <w:rsid w:val="00352BFF"/>
    <w:rsid w:val="00354B38"/>
    <w:rsid w:val="0036002C"/>
    <w:rsid w:val="00363CE8"/>
    <w:rsid w:val="003720C7"/>
    <w:rsid w:val="003739B6"/>
    <w:rsid w:val="00373DBE"/>
    <w:rsid w:val="00374B81"/>
    <w:rsid w:val="00381E52"/>
    <w:rsid w:val="00384DA1"/>
    <w:rsid w:val="00387D19"/>
    <w:rsid w:val="00392CD2"/>
    <w:rsid w:val="003A0AFA"/>
    <w:rsid w:val="003A1619"/>
    <w:rsid w:val="003A4813"/>
    <w:rsid w:val="003A4DF5"/>
    <w:rsid w:val="003A73F0"/>
    <w:rsid w:val="003B092F"/>
    <w:rsid w:val="003B5608"/>
    <w:rsid w:val="003B7F37"/>
    <w:rsid w:val="003C00CC"/>
    <w:rsid w:val="003C4737"/>
    <w:rsid w:val="003D7198"/>
    <w:rsid w:val="003E2057"/>
    <w:rsid w:val="003E3733"/>
    <w:rsid w:val="003E3B88"/>
    <w:rsid w:val="003E4234"/>
    <w:rsid w:val="003F0D47"/>
    <w:rsid w:val="003F0DD4"/>
    <w:rsid w:val="003F74F1"/>
    <w:rsid w:val="00400C5F"/>
    <w:rsid w:val="0040665F"/>
    <w:rsid w:val="00407BF0"/>
    <w:rsid w:val="00410B20"/>
    <w:rsid w:val="00410CCA"/>
    <w:rsid w:val="00411510"/>
    <w:rsid w:val="00411DD9"/>
    <w:rsid w:val="00417B4F"/>
    <w:rsid w:val="004201E6"/>
    <w:rsid w:val="00422D16"/>
    <w:rsid w:val="00423E0B"/>
    <w:rsid w:val="004300D6"/>
    <w:rsid w:val="00430DBE"/>
    <w:rsid w:val="00431322"/>
    <w:rsid w:val="0044207F"/>
    <w:rsid w:val="0044281A"/>
    <w:rsid w:val="00446FE7"/>
    <w:rsid w:val="00452F1D"/>
    <w:rsid w:val="004651F2"/>
    <w:rsid w:val="00467FC6"/>
    <w:rsid w:val="00471425"/>
    <w:rsid w:val="0047193E"/>
    <w:rsid w:val="004761F8"/>
    <w:rsid w:val="004768AD"/>
    <w:rsid w:val="00476B77"/>
    <w:rsid w:val="004771B6"/>
    <w:rsid w:val="0048012B"/>
    <w:rsid w:val="0048455D"/>
    <w:rsid w:val="00484D02"/>
    <w:rsid w:val="00485D7A"/>
    <w:rsid w:val="00485EE3"/>
    <w:rsid w:val="00487B93"/>
    <w:rsid w:val="00491AE0"/>
    <w:rsid w:val="0049532B"/>
    <w:rsid w:val="004A4088"/>
    <w:rsid w:val="004A6249"/>
    <w:rsid w:val="004A68D9"/>
    <w:rsid w:val="004C20B0"/>
    <w:rsid w:val="004C50F8"/>
    <w:rsid w:val="004D5754"/>
    <w:rsid w:val="004D679E"/>
    <w:rsid w:val="004D7B1C"/>
    <w:rsid w:val="004E1094"/>
    <w:rsid w:val="004E15AC"/>
    <w:rsid w:val="004E4949"/>
    <w:rsid w:val="004E726C"/>
    <w:rsid w:val="004F405F"/>
    <w:rsid w:val="004F4594"/>
    <w:rsid w:val="004F554B"/>
    <w:rsid w:val="004F65EF"/>
    <w:rsid w:val="004F6EA6"/>
    <w:rsid w:val="00500D73"/>
    <w:rsid w:val="00502957"/>
    <w:rsid w:val="00510213"/>
    <w:rsid w:val="005103CC"/>
    <w:rsid w:val="0051262C"/>
    <w:rsid w:val="00516637"/>
    <w:rsid w:val="0051761B"/>
    <w:rsid w:val="00520848"/>
    <w:rsid w:val="00521922"/>
    <w:rsid w:val="005219B0"/>
    <w:rsid w:val="00525D96"/>
    <w:rsid w:val="00526EE3"/>
    <w:rsid w:val="005274F4"/>
    <w:rsid w:val="00530CB0"/>
    <w:rsid w:val="00531773"/>
    <w:rsid w:val="00533F24"/>
    <w:rsid w:val="0053651D"/>
    <w:rsid w:val="0053729A"/>
    <w:rsid w:val="00537453"/>
    <w:rsid w:val="00537BDF"/>
    <w:rsid w:val="005438FB"/>
    <w:rsid w:val="0054410E"/>
    <w:rsid w:val="005453BA"/>
    <w:rsid w:val="0055188C"/>
    <w:rsid w:val="00552D6B"/>
    <w:rsid w:val="00553224"/>
    <w:rsid w:val="00557689"/>
    <w:rsid w:val="00561C7F"/>
    <w:rsid w:val="0056444B"/>
    <w:rsid w:val="0056659C"/>
    <w:rsid w:val="005671D2"/>
    <w:rsid w:val="00570881"/>
    <w:rsid w:val="00574219"/>
    <w:rsid w:val="00575B08"/>
    <w:rsid w:val="00576744"/>
    <w:rsid w:val="005779FB"/>
    <w:rsid w:val="005815C9"/>
    <w:rsid w:val="005832D6"/>
    <w:rsid w:val="00584CB7"/>
    <w:rsid w:val="00585144"/>
    <w:rsid w:val="0058618D"/>
    <w:rsid w:val="00590C6E"/>
    <w:rsid w:val="00591068"/>
    <w:rsid w:val="0059458D"/>
    <w:rsid w:val="00596149"/>
    <w:rsid w:val="005A2603"/>
    <w:rsid w:val="005A3BD8"/>
    <w:rsid w:val="005A65A3"/>
    <w:rsid w:val="005B5145"/>
    <w:rsid w:val="005B6827"/>
    <w:rsid w:val="005C38D1"/>
    <w:rsid w:val="005C4216"/>
    <w:rsid w:val="005C6E6E"/>
    <w:rsid w:val="005D30AB"/>
    <w:rsid w:val="005D5C55"/>
    <w:rsid w:val="005D779D"/>
    <w:rsid w:val="005E0EB8"/>
    <w:rsid w:val="005F0B02"/>
    <w:rsid w:val="005F3754"/>
    <w:rsid w:val="005F3BC8"/>
    <w:rsid w:val="005F5A08"/>
    <w:rsid w:val="006015D2"/>
    <w:rsid w:val="0060751B"/>
    <w:rsid w:val="006111CE"/>
    <w:rsid w:val="0061499D"/>
    <w:rsid w:val="006231E5"/>
    <w:rsid w:val="00624384"/>
    <w:rsid w:val="006248B3"/>
    <w:rsid w:val="0063406B"/>
    <w:rsid w:val="006365F2"/>
    <w:rsid w:val="00636724"/>
    <w:rsid w:val="0064085C"/>
    <w:rsid w:val="00646B9F"/>
    <w:rsid w:val="00651B57"/>
    <w:rsid w:val="00652B40"/>
    <w:rsid w:val="00656EE8"/>
    <w:rsid w:val="00660B45"/>
    <w:rsid w:val="00662848"/>
    <w:rsid w:val="00670054"/>
    <w:rsid w:val="00672009"/>
    <w:rsid w:val="0067478B"/>
    <w:rsid w:val="00675775"/>
    <w:rsid w:val="006761A3"/>
    <w:rsid w:val="006770E1"/>
    <w:rsid w:val="00677DF8"/>
    <w:rsid w:val="00681B28"/>
    <w:rsid w:val="00682472"/>
    <w:rsid w:val="00683DE1"/>
    <w:rsid w:val="006849A1"/>
    <w:rsid w:val="0069249C"/>
    <w:rsid w:val="0069437A"/>
    <w:rsid w:val="00695140"/>
    <w:rsid w:val="00695E2A"/>
    <w:rsid w:val="006A23D0"/>
    <w:rsid w:val="006A68F2"/>
    <w:rsid w:val="006B2DC1"/>
    <w:rsid w:val="006B610E"/>
    <w:rsid w:val="006B6CD2"/>
    <w:rsid w:val="006B7759"/>
    <w:rsid w:val="006C2938"/>
    <w:rsid w:val="006C2A45"/>
    <w:rsid w:val="006C463B"/>
    <w:rsid w:val="006C4E0B"/>
    <w:rsid w:val="006C5B00"/>
    <w:rsid w:val="006D6EBD"/>
    <w:rsid w:val="006E1D58"/>
    <w:rsid w:val="006E2F1B"/>
    <w:rsid w:val="006E44A3"/>
    <w:rsid w:val="006E538F"/>
    <w:rsid w:val="006E695D"/>
    <w:rsid w:val="006E7D87"/>
    <w:rsid w:val="006F025C"/>
    <w:rsid w:val="006F5080"/>
    <w:rsid w:val="007034C1"/>
    <w:rsid w:val="0070356D"/>
    <w:rsid w:val="0070755C"/>
    <w:rsid w:val="00712594"/>
    <w:rsid w:val="00713C80"/>
    <w:rsid w:val="00713F23"/>
    <w:rsid w:val="00717377"/>
    <w:rsid w:val="0072191D"/>
    <w:rsid w:val="00732E5A"/>
    <w:rsid w:val="00733887"/>
    <w:rsid w:val="00736579"/>
    <w:rsid w:val="0073718C"/>
    <w:rsid w:val="00743F96"/>
    <w:rsid w:val="007516EC"/>
    <w:rsid w:val="00751AD9"/>
    <w:rsid w:val="00751E32"/>
    <w:rsid w:val="0075220B"/>
    <w:rsid w:val="00752C49"/>
    <w:rsid w:val="00754635"/>
    <w:rsid w:val="007608C6"/>
    <w:rsid w:val="007612A8"/>
    <w:rsid w:val="00763CE1"/>
    <w:rsid w:val="0076461D"/>
    <w:rsid w:val="0076792F"/>
    <w:rsid w:val="007701C5"/>
    <w:rsid w:val="00770D74"/>
    <w:rsid w:val="00770F56"/>
    <w:rsid w:val="0077598C"/>
    <w:rsid w:val="00785547"/>
    <w:rsid w:val="007912EC"/>
    <w:rsid w:val="00791BAE"/>
    <w:rsid w:val="00796AF9"/>
    <w:rsid w:val="007A0DCE"/>
    <w:rsid w:val="007A2F0F"/>
    <w:rsid w:val="007A4814"/>
    <w:rsid w:val="007A4F43"/>
    <w:rsid w:val="007A5A0B"/>
    <w:rsid w:val="007B0B21"/>
    <w:rsid w:val="007B2521"/>
    <w:rsid w:val="007B25AB"/>
    <w:rsid w:val="007B2995"/>
    <w:rsid w:val="007B38BD"/>
    <w:rsid w:val="007B480F"/>
    <w:rsid w:val="007B49AC"/>
    <w:rsid w:val="007C1F9D"/>
    <w:rsid w:val="007C625B"/>
    <w:rsid w:val="007C69A2"/>
    <w:rsid w:val="007C7314"/>
    <w:rsid w:val="007D04D1"/>
    <w:rsid w:val="007D0B1F"/>
    <w:rsid w:val="007D26ED"/>
    <w:rsid w:val="007D499E"/>
    <w:rsid w:val="007D60B2"/>
    <w:rsid w:val="007D6BCD"/>
    <w:rsid w:val="007E0235"/>
    <w:rsid w:val="007E068D"/>
    <w:rsid w:val="007E5EC0"/>
    <w:rsid w:val="007F0428"/>
    <w:rsid w:val="007F09B5"/>
    <w:rsid w:val="007F366B"/>
    <w:rsid w:val="007F53E3"/>
    <w:rsid w:val="007F6D05"/>
    <w:rsid w:val="00801057"/>
    <w:rsid w:val="00801370"/>
    <w:rsid w:val="00812D6C"/>
    <w:rsid w:val="00815CBA"/>
    <w:rsid w:val="008166CE"/>
    <w:rsid w:val="00821A1D"/>
    <w:rsid w:val="008223D7"/>
    <w:rsid w:val="00823A4A"/>
    <w:rsid w:val="00823D1F"/>
    <w:rsid w:val="00823EA3"/>
    <w:rsid w:val="00825754"/>
    <w:rsid w:val="00826645"/>
    <w:rsid w:val="00826C80"/>
    <w:rsid w:val="0082771B"/>
    <w:rsid w:val="00830ECC"/>
    <w:rsid w:val="00833ACE"/>
    <w:rsid w:val="00833E1F"/>
    <w:rsid w:val="008340BC"/>
    <w:rsid w:val="00834E5B"/>
    <w:rsid w:val="00842FD0"/>
    <w:rsid w:val="008451B9"/>
    <w:rsid w:val="008533AC"/>
    <w:rsid w:val="00856253"/>
    <w:rsid w:val="008621E2"/>
    <w:rsid w:val="00862AC1"/>
    <w:rsid w:val="00862C5A"/>
    <w:rsid w:val="00866E06"/>
    <w:rsid w:val="00867230"/>
    <w:rsid w:val="008708EC"/>
    <w:rsid w:val="00871053"/>
    <w:rsid w:val="00872588"/>
    <w:rsid w:val="008773C2"/>
    <w:rsid w:val="008776EA"/>
    <w:rsid w:val="00881BE6"/>
    <w:rsid w:val="008822A8"/>
    <w:rsid w:val="00883540"/>
    <w:rsid w:val="0088366A"/>
    <w:rsid w:val="00890399"/>
    <w:rsid w:val="00893A49"/>
    <w:rsid w:val="00894627"/>
    <w:rsid w:val="00895662"/>
    <w:rsid w:val="00895A0E"/>
    <w:rsid w:val="0089781D"/>
    <w:rsid w:val="00897E7A"/>
    <w:rsid w:val="008A2DF1"/>
    <w:rsid w:val="008A5C6D"/>
    <w:rsid w:val="008A6077"/>
    <w:rsid w:val="008A7DAA"/>
    <w:rsid w:val="008B04D6"/>
    <w:rsid w:val="008B4469"/>
    <w:rsid w:val="008B6470"/>
    <w:rsid w:val="008B7D40"/>
    <w:rsid w:val="008C360E"/>
    <w:rsid w:val="008D0843"/>
    <w:rsid w:val="008D47EC"/>
    <w:rsid w:val="008D52A2"/>
    <w:rsid w:val="008D5EE2"/>
    <w:rsid w:val="008E0BAD"/>
    <w:rsid w:val="008E46E7"/>
    <w:rsid w:val="008E5ADC"/>
    <w:rsid w:val="008E7B55"/>
    <w:rsid w:val="008F0740"/>
    <w:rsid w:val="008F428E"/>
    <w:rsid w:val="008F5D41"/>
    <w:rsid w:val="009071EE"/>
    <w:rsid w:val="00913B8A"/>
    <w:rsid w:val="009142FB"/>
    <w:rsid w:val="009150D8"/>
    <w:rsid w:val="00916CAE"/>
    <w:rsid w:val="00923E48"/>
    <w:rsid w:val="00926657"/>
    <w:rsid w:val="00927771"/>
    <w:rsid w:val="00934661"/>
    <w:rsid w:val="00941E03"/>
    <w:rsid w:val="0094281E"/>
    <w:rsid w:val="009436B7"/>
    <w:rsid w:val="009466A0"/>
    <w:rsid w:val="0094746B"/>
    <w:rsid w:val="0094766E"/>
    <w:rsid w:val="0094767C"/>
    <w:rsid w:val="00950BD8"/>
    <w:rsid w:val="00952E34"/>
    <w:rsid w:val="00954389"/>
    <w:rsid w:val="00954DA8"/>
    <w:rsid w:val="00960609"/>
    <w:rsid w:val="00961F06"/>
    <w:rsid w:val="00966F30"/>
    <w:rsid w:val="00970469"/>
    <w:rsid w:val="009713E2"/>
    <w:rsid w:val="00982171"/>
    <w:rsid w:val="009836FB"/>
    <w:rsid w:val="009837CE"/>
    <w:rsid w:val="00984A73"/>
    <w:rsid w:val="00984BD4"/>
    <w:rsid w:val="00986301"/>
    <w:rsid w:val="00991446"/>
    <w:rsid w:val="00994984"/>
    <w:rsid w:val="00995FB0"/>
    <w:rsid w:val="009978A2"/>
    <w:rsid w:val="00997E1C"/>
    <w:rsid w:val="009A2A43"/>
    <w:rsid w:val="009A374F"/>
    <w:rsid w:val="009A55BA"/>
    <w:rsid w:val="009A640E"/>
    <w:rsid w:val="009A663A"/>
    <w:rsid w:val="009B6143"/>
    <w:rsid w:val="009B6B34"/>
    <w:rsid w:val="009C1890"/>
    <w:rsid w:val="009C46FF"/>
    <w:rsid w:val="009C4A05"/>
    <w:rsid w:val="009C5886"/>
    <w:rsid w:val="009C5FAE"/>
    <w:rsid w:val="009D0C3A"/>
    <w:rsid w:val="009D271A"/>
    <w:rsid w:val="009D7BB9"/>
    <w:rsid w:val="009E10BE"/>
    <w:rsid w:val="009E3518"/>
    <w:rsid w:val="009E6DE9"/>
    <w:rsid w:val="009F0381"/>
    <w:rsid w:val="009F184B"/>
    <w:rsid w:val="009F2363"/>
    <w:rsid w:val="009F3512"/>
    <w:rsid w:val="009F4BA9"/>
    <w:rsid w:val="009F6115"/>
    <w:rsid w:val="009F6560"/>
    <w:rsid w:val="00A000A1"/>
    <w:rsid w:val="00A04738"/>
    <w:rsid w:val="00A0623D"/>
    <w:rsid w:val="00A11400"/>
    <w:rsid w:val="00A11FEB"/>
    <w:rsid w:val="00A135E1"/>
    <w:rsid w:val="00A20FED"/>
    <w:rsid w:val="00A23255"/>
    <w:rsid w:val="00A30293"/>
    <w:rsid w:val="00A30350"/>
    <w:rsid w:val="00A32145"/>
    <w:rsid w:val="00A32BA0"/>
    <w:rsid w:val="00A33D17"/>
    <w:rsid w:val="00A35A80"/>
    <w:rsid w:val="00A36C5D"/>
    <w:rsid w:val="00A373F8"/>
    <w:rsid w:val="00A37FED"/>
    <w:rsid w:val="00A40829"/>
    <w:rsid w:val="00A419CA"/>
    <w:rsid w:val="00A42D4C"/>
    <w:rsid w:val="00A42FD7"/>
    <w:rsid w:val="00A4331F"/>
    <w:rsid w:val="00A43512"/>
    <w:rsid w:val="00A475A2"/>
    <w:rsid w:val="00A575DC"/>
    <w:rsid w:val="00A65CEB"/>
    <w:rsid w:val="00A67C53"/>
    <w:rsid w:val="00A67C7F"/>
    <w:rsid w:val="00A706AD"/>
    <w:rsid w:val="00A744CF"/>
    <w:rsid w:val="00A76A08"/>
    <w:rsid w:val="00A76FE9"/>
    <w:rsid w:val="00A81ACB"/>
    <w:rsid w:val="00A81CE6"/>
    <w:rsid w:val="00A85323"/>
    <w:rsid w:val="00A910C2"/>
    <w:rsid w:val="00A9767A"/>
    <w:rsid w:val="00AA2044"/>
    <w:rsid w:val="00AB0A8A"/>
    <w:rsid w:val="00AB2314"/>
    <w:rsid w:val="00AB3F6A"/>
    <w:rsid w:val="00AB43B9"/>
    <w:rsid w:val="00AB725D"/>
    <w:rsid w:val="00AD234E"/>
    <w:rsid w:val="00AD2F47"/>
    <w:rsid w:val="00AD4E02"/>
    <w:rsid w:val="00AD6C59"/>
    <w:rsid w:val="00AE1858"/>
    <w:rsid w:val="00AE1888"/>
    <w:rsid w:val="00AE1D28"/>
    <w:rsid w:val="00AE3359"/>
    <w:rsid w:val="00AF6DDE"/>
    <w:rsid w:val="00B00FF5"/>
    <w:rsid w:val="00B011EA"/>
    <w:rsid w:val="00B01785"/>
    <w:rsid w:val="00B02608"/>
    <w:rsid w:val="00B03D42"/>
    <w:rsid w:val="00B14203"/>
    <w:rsid w:val="00B1511F"/>
    <w:rsid w:val="00B16307"/>
    <w:rsid w:val="00B169E9"/>
    <w:rsid w:val="00B16FA5"/>
    <w:rsid w:val="00B179C6"/>
    <w:rsid w:val="00B20577"/>
    <w:rsid w:val="00B23AD9"/>
    <w:rsid w:val="00B26BE9"/>
    <w:rsid w:val="00B26C54"/>
    <w:rsid w:val="00B26ED2"/>
    <w:rsid w:val="00B316E3"/>
    <w:rsid w:val="00B32BCD"/>
    <w:rsid w:val="00B32DC0"/>
    <w:rsid w:val="00B351AB"/>
    <w:rsid w:val="00B35F4B"/>
    <w:rsid w:val="00B42C99"/>
    <w:rsid w:val="00B44998"/>
    <w:rsid w:val="00B45183"/>
    <w:rsid w:val="00B451EB"/>
    <w:rsid w:val="00B45BF3"/>
    <w:rsid w:val="00B45C15"/>
    <w:rsid w:val="00B45F8F"/>
    <w:rsid w:val="00B55812"/>
    <w:rsid w:val="00B57886"/>
    <w:rsid w:val="00B63E07"/>
    <w:rsid w:val="00B66D6A"/>
    <w:rsid w:val="00B67DB6"/>
    <w:rsid w:val="00B771EC"/>
    <w:rsid w:val="00B8084B"/>
    <w:rsid w:val="00B822F2"/>
    <w:rsid w:val="00B82AA9"/>
    <w:rsid w:val="00B84103"/>
    <w:rsid w:val="00B851E5"/>
    <w:rsid w:val="00B854DA"/>
    <w:rsid w:val="00B90301"/>
    <w:rsid w:val="00B957F9"/>
    <w:rsid w:val="00BA051B"/>
    <w:rsid w:val="00BA0BFD"/>
    <w:rsid w:val="00BA7852"/>
    <w:rsid w:val="00BB60EB"/>
    <w:rsid w:val="00BC06D9"/>
    <w:rsid w:val="00BC0C25"/>
    <w:rsid w:val="00BC29BE"/>
    <w:rsid w:val="00BC2F24"/>
    <w:rsid w:val="00BC47DF"/>
    <w:rsid w:val="00BC5A24"/>
    <w:rsid w:val="00BC5E90"/>
    <w:rsid w:val="00BD13AF"/>
    <w:rsid w:val="00BD2F83"/>
    <w:rsid w:val="00BE59AD"/>
    <w:rsid w:val="00BF019A"/>
    <w:rsid w:val="00BF2A65"/>
    <w:rsid w:val="00BF5721"/>
    <w:rsid w:val="00C0143A"/>
    <w:rsid w:val="00C026BA"/>
    <w:rsid w:val="00C062B1"/>
    <w:rsid w:val="00C068C3"/>
    <w:rsid w:val="00C122F6"/>
    <w:rsid w:val="00C125F7"/>
    <w:rsid w:val="00C12A17"/>
    <w:rsid w:val="00C15CDD"/>
    <w:rsid w:val="00C2106C"/>
    <w:rsid w:val="00C21472"/>
    <w:rsid w:val="00C27D12"/>
    <w:rsid w:val="00C27E1C"/>
    <w:rsid w:val="00C30D4A"/>
    <w:rsid w:val="00C329A0"/>
    <w:rsid w:val="00C33C04"/>
    <w:rsid w:val="00C34EAF"/>
    <w:rsid w:val="00C43CCD"/>
    <w:rsid w:val="00C45B23"/>
    <w:rsid w:val="00C4708F"/>
    <w:rsid w:val="00C52A12"/>
    <w:rsid w:val="00C540B9"/>
    <w:rsid w:val="00C57127"/>
    <w:rsid w:val="00C57B97"/>
    <w:rsid w:val="00C6110B"/>
    <w:rsid w:val="00C63B7A"/>
    <w:rsid w:val="00C6536C"/>
    <w:rsid w:val="00C75110"/>
    <w:rsid w:val="00C77884"/>
    <w:rsid w:val="00C85606"/>
    <w:rsid w:val="00C903F5"/>
    <w:rsid w:val="00C9519C"/>
    <w:rsid w:val="00C96AF7"/>
    <w:rsid w:val="00CA1D14"/>
    <w:rsid w:val="00CA20C2"/>
    <w:rsid w:val="00CA45DA"/>
    <w:rsid w:val="00CA4B76"/>
    <w:rsid w:val="00CB11FF"/>
    <w:rsid w:val="00CB5782"/>
    <w:rsid w:val="00CB5DC6"/>
    <w:rsid w:val="00CC2515"/>
    <w:rsid w:val="00CC2B2A"/>
    <w:rsid w:val="00CC4FD1"/>
    <w:rsid w:val="00CC51E4"/>
    <w:rsid w:val="00CC589E"/>
    <w:rsid w:val="00CC5F8A"/>
    <w:rsid w:val="00CC7C4E"/>
    <w:rsid w:val="00CC7E2A"/>
    <w:rsid w:val="00CD2616"/>
    <w:rsid w:val="00CD2A25"/>
    <w:rsid w:val="00CD47D2"/>
    <w:rsid w:val="00CD6BF6"/>
    <w:rsid w:val="00CD78C8"/>
    <w:rsid w:val="00CD79D3"/>
    <w:rsid w:val="00CE22B1"/>
    <w:rsid w:val="00CE2E39"/>
    <w:rsid w:val="00CE49AA"/>
    <w:rsid w:val="00CE718C"/>
    <w:rsid w:val="00CF00A8"/>
    <w:rsid w:val="00CF09DE"/>
    <w:rsid w:val="00CF0E6F"/>
    <w:rsid w:val="00CF1FED"/>
    <w:rsid w:val="00CF6FF0"/>
    <w:rsid w:val="00CF7E5C"/>
    <w:rsid w:val="00D013A3"/>
    <w:rsid w:val="00D04F3D"/>
    <w:rsid w:val="00D05E15"/>
    <w:rsid w:val="00D06D13"/>
    <w:rsid w:val="00D11F43"/>
    <w:rsid w:val="00D13BCE"/>
    <w:rsid w:val="00D15F48"/>
    <w:rsid w:val="00D172FD"/>
    <w:rsid w:val="00D32107"/>
    <w:rsid w:val="00D32CEC"/>
    <w:rsid w:val="00D34D91"/>
    <w:rsid w:val="00D361FF"/>
    <w:rsid w:val="00D41F18"/>
    <w:rsid w:val="00D47091"/>
    <w:rsid w:val="00D50019"/>
    <w:rsid w:val="00D506D1"/>
    <w:rsid w:val="00D52D8C"/>
    <w:rsid w:val="00D5357D"/>
    <w:rsid w:val="00D55349"/>
    <w:rsid w:val="00D61EA6"/>
    <w:rsid w:val="00D63A29"/>
    <w:rsid w:val="00D649C2"/>
    <w:rsid w:val="00D66A3F"/>
    <w:rsid w:val="00D67867"/>
    <w:rsid w:val="00D70176"/>
    <w:rsid w:val="00D74A3E"/>
    <w:rsid w:val="00D84A99"/>
    <w:rsid w:val="00D8595F"/>
    <w:rsid w:val="00D86689"/>
    <w:rsid w:val="00D919F2"/>
    <w:rsid w:val="00D93A77"/>
    <w:rsid w:val="00D961B8"/>
    <w:rsid w:val="00DA6659"/>
    <w:rsid w:val="00DB2702"/>
    <w:rsid w:val="00DB2AD5"/>
    <w:rsid w:val="00DB4964"/>
    <w:rsid w:val="00DB62A8"/>
    <w:rsid w:val="00DB7694"/>
    <w:rsid w:val="00DC0C7D"/>
    <w:rsid w:val="00DC37CA"/>
    <w:rsid w:val="00DC3E1A"/>
    <w:rsid w:val="00DC3FE0"/>
    <w:rsid w:val="00DC5486"/>
    <w:rsid w:val="00DC5742"/>
    <w:rsid w:val="00DC75E3"/>
    <w:rsid w:val="00DC7658"/>
    <w:rsid w:val="00DC7D8A"/>
    <w:rsid w:val="00DD0955"/>
    <w:rsid w:val="00DD16E5"/>
    <w:rsid w:val="00DD7198"/>
    <w:rsid w:val="00DD7C2F"/>
    <w:rsid w:val="00DE031B"/>
    <w:rsid w:val="00DE28A8"/>
    <w:rsid w:val="00DF1B89"/>
    <w:rsid w:val="00DF4A9D"/>
    <w:rsid w:val="00DF5E70"/>
    <w:rsid w:val="00DF61DD"/>
    <w:rsid w:val="00E01F8D"/>
    <w:rsid w:val="00E02A09"/>
    <w:rsid w:val="00E04C14"/>
    <w:rsid w:val="00E050E2"/>
    <w:rsid w:val="00E069D5"/>
    <w:rsid w:val="00E06DDC"/>
    <w:rsid w:val="00E07A54"/>
    <w:rsid w:val="00E12280"/>
    <w:rsid w:val="00E13BF7"/>
    <w:rsid w:val="00E13DD2"/>
    <w:rsid w:val="00E16121"/>
    <w:rsid w:val="00E22BDB"/>
    <w:rsid w:val="00E24199"/>
    <w:rsid w:val="00E24338"/>
    <w:rsid w:val="00E254D2"/>
    <w:rsid w:val="00E26617"/>
    <w:rsid w:val="00E300D4"/>
    <w:rsid w:val="00E31527"/>
    <w:rsid w:val="00E35024"/>
    <w:rsid w:val="00E35B55"/>
    <w:rsid w:val="00E479E6"/>
    <w:rsid w:val="00E53456"/>
    <w:rsid w:val="00E53941"/>
    <w:rsid w:val="00E53DF8"/>
    <w:rsid w:val="00E54648"/>
    <w:rsid w:val="00E71974"/>
    <w:rsid w:val="00E749CC"/>
    <w:rsid w:val="00E831E9"/>
    <w:rsid w:val="00E85FE7"/>
    <w:rsid w:val="00E92153"/>
    <w:rsid w:val="00E92337"/>
    <w:rsid w:val="00E92C5C"/>
    <w:rsid w:val="00E937D1"/>
    <w:rsid w:val="00E972CF"/>
    <w:rsid w:val="00EA04B2"/>
    <w:rsid w:val="00EA6150"/>
    <w:rsid w:val="00EA7BCE"/>
    <w:rsid w:val="00EB7098"/>
    <w:rsid w:val="00EC0045"/>
    <w:rsid w:val="00EC1256"/>
    <w:rsid w:val="00EC577F"/>
    <w:rsid w:val="00EC6E23"/>
    <w:rsid w:val="00EC7AE7"/>
    <w:rsid w:val="00ED5202"/>
    <w:rsid w:val="00EF0346"/>
    <w:rsid w:val="00EF170E"/>
    <w:rsid w:val="00EF1820"/>
    <w:rsid w:val="00EF5F64"/>
    <w:rsid w:val="00EF6D98"/>
    <w:rsid w:val="00EF700C"/>
    <w:rsid w:val="00F00818"/>
    <w:rsid w:val="00F07D84"/>
    <w:rsid w:val="00F12B1C"/>
    <w:rsid w:val="00F1333B"/>
    <w:rsid w:val="00F14684"/>
    <w:rsid w:val="00F14946"/>
    <w:rsid w:val="00F14CB3"/>
    <w:rsid w:val="00F251CC"/>
    <w:rsid w:val="00F26363"/>
    <w:rsid w:val="00F32CA4"/>
    <w:rsid w:val="00F4002F"/>
    <w:rsid w:val="00F41A5F"/>
    <w:rsid w:val="00F437D1"/>
    <w:rsid w:val="00F43F8B"/>
    <w:rsid w:val="00F47F04"/>
    <w:rsid w:val="00F55694"/>
    <w:rsid w:val="00F564EF"/>
    <w:rsid w:val="00F616DD"/>
    <w:rsid w:val="00F624F0"/>
    <w:rsid w:val="00F63590"/>
    <w:rsid w:val="00F64A42"/>
    <w:rsid w:val="00F7548D"/>
    <w:rsid w:val="00F76FE7"/>
    <w:rsid w:val="00F779BB"/>
    <w:rsid w:val="00F81DF8"/>
    <w:rsid w:val="00F860E8"/>
    <w:rsid w:val="00F919F1"/>
    <w:rsid w:val="00F91E0A"/>
    <w:rsid w:val="00F91F7B"/>
    <w:rsid w:val="00F92016"/>
    <w:rsid w:val="00F93462"/>
    <w:rsid w:val="00FB2F01"/>
    <w:rsid w:val="00FB4854"/>
    <w:rsid w:val="00FB4A51"/>
    <w:rsid w:val="00FB5A99"/>
    <w:rsid w:val="00FC2025"/>
    <w:rsid w:val="00FC5073"/>
    <w:rsid w:val="00FD28EC"/>
    <w:rsid w:val="00FD373A"/>
    <w:rsid w:val="00FD4E24"/>
    <w:rsid w:val="00FD5138"/>
    <w:rsid w:val="00FD6750"/>
    <w:rsid w:val="00FD6F29"/>
    <w:rsid w:val="00FE0D18"/>
    <w:rsid w:val="00FE6323"/>
    <w:rsid w:val="00FE64A1"/>
    <w:rsid w:val="00FF03BB"/>
    <w:rsid w:val="00FF1694"/>
    <w:rsid w:val="00FF1C61"/>
    <w:rsid w:val="00FF232C"/>
    <w:rsid w:val="00FF389C"/>
    <w:rsid w:val="1246D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D30AB"/>
    <w:pPr>
      <w:keepNext/>
      <w:spacing w:line="240" w:lineRule="auto"/>
      <w:ind w:left="1021" w:hanging="1021"/>
      <w:outlineLvl w:val="0"/>
    </w:pPr>
    <w:rPr>
      <w:rFonts w:ascii="Arial Bold" w:eastAsia="SimSun" w:hAnsi="Arial Bold" w:cs="Times New Roman"/>
      <w:b/>
      <w:caps/>
      <w:kern w:val="28"/>
    </w:rPr>
  </w:style>
  <w:style w:type="paragraph" w:styleId="Heading2">
    <w:name w:val="heading 2"/>
    <w:basedOn w:val="Normal"/>
    <w:link w:val="Heading2Char"/>
    <w:uiPriority w:val="9"/>
    <w:qFormat/>
    <w:rsid w:val="005D30AB"/>
    <w:pPr>
      <w:spacing w:line="240" w:lineRule="auto"/>
      <w:ind w:left="1134" w:hanging="1134"/>
      <w:outlineLvl w:val="1"/>
    </w:pPr>
    <w:rPr>
      <w:rFonts w:ascii="Arial" w:eastAsia="SimSun" w:hAnsi="Arial" w:cs="Times New Roman"/>
      <w:b/>
      <w:color w:val="000000"/>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5D30AB"/>
    <w:rPr>
      <w:rFonts w:ascii="Arial Bold" w:eastAsia="SimSun" w:hAnsi="Arial Bold" w:cs="Times New Roman"/>
      <w:b/>
      <w:caps/>
      <w:kern w:val="28"/>
    </w:rPr>
  </w:style>
  <w:style w:type="character" w:customStyle="1" w:styleId="Heading2Char">
    <w:name w:val="Heading 2 Char"/>
    <w:basedOn w:val="DefaultParagraphFont"/>
    <w:link w:val="Heading2"/>
    <w:uiPriority w:val="9"/>
    <w:rsid w:val="005D30AB"/>
    <w:rPr>
      <w:rFonts w:ascii="Arial" w:eastAsia="SimSun" w:hAnsi="Arial"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5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 w:type="paragraph" w:styleId="Title">
    <w:name w:val="Title"/>
    <w:basedOn w:val="Normal"/>
    <w:next w:val="Normal"/>
    <w:link w:val="TitleChar"/>
    <w:uiPriority w:val="10"/>
    <w:qFormat/>
    <w:rsid w:val="00F14946"/>
    <w:pPr>
      <w:spacing w:before="0" w:line="240" w:lineRule="auto"/>
      <w:ind w:left="0" w:right="0"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946"/>
    <w:rPr>
      <w:rFonts w:asciiTheme="majorHAnsi" w:eastAsiaTheme="majorEastAsia" w:hAnsiTheme="majorHAnsi" w:cstheme="majorBidi"/>
      <w:spacing w:val="-10"/>
      <w:kern w:val="28"/>
      <w:sz w:val="56"/>
      <w:szCs w:val="56"/>
    </w:rPr>
  </w:style>
  <w:style w:type="paragraph" w:customStyle="1" w:styleId="Headings">
    <w:name w:val="Headings"/>
    <w:basedOn w:val="Normal"/>
    <w:link w:val="HeadingsChar"/>
    <w:qFormat/>
    <w:rsid w:val="009A663A"/>
    <w:pPr>
      <w:spacing w:before="0" w:line="240" w:lineRule="auto"/>
      <w:ind w:left="0" w:right="0" w:firstLine="0"/>
      <w:contextualSpacing/>
    </w:pPr>
    <w:rPr>
      <w:rFonts w:ascii="Tahoma" w:hAnsi="Tahoma" w:cs="Tahoma"/>
      <w:b/>
      <w:bCs/>
    </w:rPr>
  </w:style>
  <w:style w:type="character" w:customStyle="1" w:styleId="HeadingsChar">
    <w:name w:val="Headings Char"/>
    <w:basedOn w:val="DefaultParagraphFont"/>
    <w:link w:val="Headings"/>
    <w:rsid w:val="009A663A"/>
    <w:rPr>
      <w:rFonts w:ascii="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074E5AE2BC8247A5D13928DE7AB3FA" ma:contentTypeVersion="6" ma:contentTypeDescription="Create a new document." ma:contentTypeScope="" ma:versionID="c7a164cf14d011ca2a9cc775ba8747ba">
  <xsd:schema xmlns:xsd="http://www.w3.org/2001/XMLSchema" xmlns:xs="http://www.w3.org/2001/XMLSchema" xmlns:p="http://schemas.microsoft.com/office/2006/metadata/properties" xmlns:ns2="bf807304-9b63-4862-acf2-7955153a10d0" xmlns:ns3="09f1285d-8838-47e4-8273-80e45cdf671f" targetNamespace="http://schemas.microsoft.com/office/2006/metadata/properties" ma:root="true" ma:fieldsID="3cce4cf1f10aa5d88c26216240646680" ns2:_="" ns3:_="">
    <xsd:import namespace="bf807304-9b63-4862-acf2-7955153a10d0"/>
    <xsd:import namespace="09f1285d-8838-47e4-8273-80e45cdf67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07304-9b63-4862-acf2-7955153a1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1285d-8838-47e4-8273-80e45cdf67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8068B-9794-4A37-ABB6-D75212A7C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customXml/itemProps3.xml><?xml version="1.0" encoding="utf-8"?>
<ds:datastoreItem xmlns:ds="http://schemas.openxmlformats.org/officeDocument/2006/customXml" ds:itemID="{F9288106-8E1B-4442-A17D-8CF6B5197433}">
  <ds:schemaRefs>
    <ds:schemaRef ds:uri="http://schemas.microsoft.com/sharepoint/v3/contenttype/forms"/>
  </ds:schemaRefs>
</ds:datastoreItem>
</file>

<file path=customXml/itemProps4.xml><?xml version="1.0" encoding="utf-8"?>
<ds:datastoreItem xmlns:ds="http://schemas.openxmlformats.org/officeDocument/2006/customXml" ds:itemID="{DEE89B24-4002-41F8-A878-C03B22BF8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07304-9b63-4862-acf2-7955153a10d0"/>
    <ds:schemaRef ds:uri="09f1285d-8838-47e4-8273-80e45cdf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2196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Hull College Group</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Craig Ellyard</cp:lastModifiedBy>
  <cp:revision>2</cp:revision>
  <cp:lastPrinted>2023-01-16T12:01:00Z</cp:lastPrinted>
  <dcterms:created xsi:type="dcterms:W3CDTF">2026-04-07T10:51:00Z</dcterms:created>
  <dcterms:modified xsi:type="dcterms:W3CDTF">2026-04-07T10:51:00Z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0x0101009D074E5AE2BC8247A5D13928DE7AB3FA</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