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3559F" w14:textId="17DB394D" w:rsidR="0007092D" w:rsidRPr="0024638E" w:rsidRDefault="0007092D" w:rsidP="00CA0E64">
      <w:pPr>
        <w:tabs>
          <w:tab w:val="left" w:pos="3060"/>
        </w:tabs>
        <w:spacing w:line="276" w:lineRule="auto"/>
        <w:ind w:left="0" w:firstLine="0"/>
        <w:contextualSpacing/>
        <w:rPr>
          <w:rFonts w:cs="Tahoma"/>
        </w:rPr>
      </w:pPr>
      <w:r w:rsidRPr="3656C088">
        <w:rPr>
          <w:rFonts w:cs="Tahoma"/>
          <w:b/>
          <w:bCs/>
        </w:rPr>
        <w:t>Created by:</w:t>
      </w:r>
      <w:r>
        <w:tab/>
      </w:r>
      <w:r w:rsidR="75FC2776" w:rsidRPr="3656C088">
        <w:rPr>
          <w:rFonts w:cs="Tahoma"/>
          <w:b/>
          <w:bCs/>
        </w:rPr>
        <w:t>HE Registry</w:t>
      </w:r>
    </w:p>
    <w:p w14:paraId="4A687DAB" w14:textId="18FC72CF" w:rsidR="0007092D" w:rsidRPr="00CA0E64" w:rsidRDefault="0007092D" w:rsidP="00CA0E64">
      <w:pPr>
        <w:tabs>
          <w:tab w:val="left" w:pos="3060"/>
        </w:tabs>
        <w:spacing w:line="276" w:lineRule="auto"/>
        <w:ind w:left="0" w:firstLine="0"/>
        <w:contextualSpacing/>
        <w:rPr>
          <w:rFonts w:cs="Tahoma"/>
        </w:rPr>
      </w:pPr>
      <w:r w:rsidRPr="3656C088">
        <w:rPr>
          <w:rFonts w:cs="Tahoma"/>
          <w:b/>
          <w:bCs/>
        </w:rPr>
        <w:t>Approved by:</w:t>
      </w:r>
      <w:r>
        <w:tab/>
      </w:r>
      <w:r w:rsidR="00CA0E64">
        <w:t>EMT</w:t>
      </w:r>
    </w:p>
    <w:p w14:paraId="25A9D8D9" w14:textId="1CEA5CAE" w:rsidR="0007092D" w:rsidRPr="0024638E" w:rsidRDefault="0007092D" w:rsidP="00CA0E64">
      <w:pPr>
        <w:tabs>
          <w:tab w:val="left" w:pos="3060"/>
        </w:tabs>
        <w:spacing w:line="276" w:lineRule="auto"/>
        <w:ind w:left="0" w:firstLine="0"/>
        <w:contextualSpacing/>
        <w:rPr>
          <w:rFonts w:cs="Tahoma"/>
        </w:rPr>
      </w:pPr>
      <w:r w:rsidRPr="3656C088">
        <w:rPr>
          <w:rFonts w:cs="Tahoma"/>
          <w:b/>
          <w:bCs/>
        </w:rPr>
        <w:t>Date approved:</w:t>
      </w:r>
      <w:r>
        <w:tab/>
      </w:r>
      <w:r w:rsidR="00CA0E64">
        <w:t>October 2024</w:t>
      </w:r>
    </w:p>
    <w:p w14:paraId="7FF0BA7F" w14:textId="280F768B" w:rsidR="0007092D" w:rsidRPr="0024638E" w:rsidRDefault="0007092D" w:rsidP="00CA0E64">
      <w:pPr>
        <w:tabs>
          <w:tab w:val="left" w:pos="3060"/>
        </w:tabs>
        <w:spacing w:line="276" w:lineRule="auto"/>
        <w:ind w:left="0" w:firstLine="0"/>
        <w:contextualSpacing/>
        <w:rPr>
          <w:rFonts w:cs="Tahoma"/>
        </w:rPr>
      </w:pPr>
      <w:r w:rsidRPr="3656C088">
        <w:rPr>
          <w:rFonts w:cs="Tahoma"/>
          <w:b/>
          <w:bCs/>
        </w:rPr>
        <w:t>Policy review date:</w:t>
      </w:r>
      <w:r>
        <w:tab/>
      </w:r>
      <w:r w:rsidR="00CA0E64">
        <w:t>October 2025</w:t>
      </w:r>
    </w:p>
    <w:p w14:paraId="5D68E5A8" w14:textId="2BF3A5F0" w:rsidR="002B139C" w:rsidRPr="0024638E" w:rsidRDefault="006E2F1B" w:rsidP="00CA0E64">
      <w:pPr>
        <w:spacing w:line="276" w:lineRule="auto"/>
        <w:ind w:left="0" w:firstLine="0"/>
        <w:contextualSpacing/>
        <w:rPr>
          <w:rFonts w:cs="Tahoma"/>
        </w:rPr>
      </w:pPr>
      <w:r w:rsidRPr="0024638E">
        <w:rPr>
          <w:rFonts w:cs="Tahoma"/>
        </w:rPr>
        <w:tab/>
      </w:r>
      <w:r w:rsidRPr="0024638E">
        <w:rPr>
          <w:rFonts w:cs="Tahoma"/>
        </w:rPr>
        <w:tab/>
      </w:r>
    </w:p>
    <w:p w14:paraId="067A6F87" w14:textId="0F9E59A6" w:rsidR="003C29D0" w:rsidRDefault="0007092D" w:rsidP="00CA0E64">
      <w:pPr>
        <w:tabs>
          <w:tab w:val="left" w:pos="2988"/>
        </w:tabs>
        <w:spacing w:line="276" w:lineRule="auto"/>
        <w:ind w:left="0" w:firstLine="0"/>
        <w:contextualSpacing/>
        <w:rPr>
          <w:rFonts w:cs="Tahoma"/>
        </w:rPr>
      </w:pPr>
      <w:r w:rsidRPr="3656C088">
        <w:rPr>
          <w:rFonts w:cs="Tahoma"/>
          <w:b/>
          <w:bCs/>
        </w:rPr>
        <w:t>Document Name:</w:t>
      </w:r>
      <w:r>
        <w:tab/>
      </w:r>
      <w:r w:rsidR="00576D9B">
        <w:rPr>
          <w:rFonts w:cs="Tahoma"/>
          <w:b/>
          <w:bCs/>
        </w:rPr>
        <w:t>Academic Integrity</w:t>
      </w:r>
    </w:p>
    <w:p w14:paraId="39573450" w14:textId="6C5CC4C0" w:rsidR="0007092D" w:rsidRPr="0024638E" w:rsidRDefault="0007092D" w:rsidP="00CA0E64">
      <w:pPr>
        <w:tabs>
          <w:tab w:val="left" w:pos="2988"/>
        </w:tabs>
        <w:spacing w:line="276" w:lineRule="auto"/>
        <w:ind w:left="0" w:firstLine="0"/>
        <w:contextualSpacing/>
        <w:rPr>
          <w:rFonts w:cs="Tahoma"/>
        </w:rPr>
      </w:pPr>
      <w:r w:rsidRPr="3656C088">
        <w:rPr>
          <w:rFonts w:cs="Tahoma"/>
          <w:b/>
          <w:bCs/>
        </w:rPr>
        <w:t>Document Ref:</w:t>
      </w:r>
      <w:r>
        <w:tab/>
      </w:r>
      <w:r w:rsidR="00F339F7">
        <w:rPr>
          <w:rFonts w:cs="Tahoma"/>
        </w:rPr>
        <w:t>HE</w:t>
      </w:r>
      <w:r w:rsidR="00B11F6A">
        <w:rPr>
          <w:rFonts w:cs="Tahoma"/>
        </w:rPr>
        <w:t>11</w:t>
      </w:r>
    </w:p>
    <w:p w14:paraId="617EA9E4" w14:textId="74437E3F" w:rsidR="0007092D" w:rsidRPr="0024638E" w:rsidRDefault="0007092D" w:rsidP="00CA0E64">
      <w:pPr>
        <w:tabs>
          <w:tab w:val="left" w:pos="2988"/>
        </w:tabs>
        <w:spacing w:line="276" w:lineRule="auto"/>
        <w:ind w:left="0" w:firstLine="0"/>
        <w:contextualSpacing/>
        <w:rPr>
          <w:rFonts w:cs="Tahoma"/>
        </w:rPr>
      </w:pPr>
      <w:r w:rsidRPr="3656C088">
        <w:rPr>
          <w:rFonts w:cs="Tahoma"/>
          <w:b/>
          <w:bCs/>
        </w:rPr>
        <w:t>Pre-approval at:</w:t>
      </w:r>
      <w:r>
        <w:tab/>
      </w:r>
      <w:r w:rsidRPr="3656C088">
        <w:rPr>
          <w:rFonts w:cs="Tahoma"/>
        </w:rPr>
        <w:t>EMT</w:t>
      </w:r>
    </w:p>
    <w:p w14:paraId="53487EF2" w14:textId="5C4F293A" w:rsidR="0007092D" w:rsidRPr="0024638E" w:rsidRDefault="0007092D" w:rsidP="00CA0E64">
      <w:pPr>
        <w:tabs>
          <w:tab w:val="left" w:pos="2988"/>
        </w:tabs>
        <w:spacing w:line="276" w:lineRule="auto"/>
        <w:ind w:left="0" w:firstLine="0"/>
        <w:contextualSpacing/>
        <w:rPr>
          <w:rFonts w:cs="Tahoma"/>
        </w:rPr>
      </w:pPr>
      <w:r w:rsidRPr="3656C088">
        <w:rPr>
          <w:rFonts w:cs="Tahoma"/>
          <w:b/>
          <w:bCs/>
        </w:rPr>
        <w:t>Type of Doc:</w:t>
      </w:r>
      <w:r>
        <w:tab/>
      </w:r>
      <w:r w:rsidRPr="3656C088">
        <w:rPr>
          <w:rFonts w:cs="Tahoma"/>
        </w:rPr>
        <w:t>Policy</w:t>
      </w:r>
    </w:p>
    <w:p w14:paraId="1F3AF211" w14:textId="63ED771A" w:rsidR="0007092D" w:rsidRDefault="0007092D" w:rsidP="0007092D">
      <w:pPr>
        <w:tabs>
          <w:tab w:val="left" w:pos="2988"/>
        </w:tabs>
        <w:ind w:left="0" w:firstLine="0"/>
        <w:contextualSpacing/>
        <w:rPr>
          <w:rFonts w:cs="Tahoma"/>
          <w:i/>
          <w:iCs/>
        </w:rPr>
      </w:pPr>
      <w:r w:rsidRPr="0024638E">
        <w:rPr>
          <w:rFonts w:cs="Tahoma"/>
          <w:b/>
          <w:bCs/>
        </w:rPr>
        <w:t>Publishing Requirement</w:t>
      </w:r>
      <w:r w:rsidRPr="0024638E">
        <w:rPr>
          <w:rFonts w:cs="Tahoma"/>
          <w:b/>
          <w:bCs/>
        </w:rPr>
        <w:tab/>
      </w:r>
      <w:r w:rsidRPr="0024638E">
        <w:rPr>
          <w:rFonts w:cs="Tahoma"/>
        </w:rPr>
        <w:t>Staff Sharepoint</w:t>
      </w:r>
    </w:p>
    <w:p w14:paraId="773F5005" w14:textId="77777777" w:rsidR="00AF15D2" w:rsidRPr="00AF15D2" w:rsidRDefault="00AF15D2" w:rsidP="0007092D">
      <w:pPr>
        <w:tabs>
          <w:tab w:val="left" w:pos="2988"/>
        </w:tabs>
        <w:ind w:left="0" w:firstLine="0"/>
        <w:contextualSpacing/>
        <w:rPr>
          <w:rFonts w:cs="Tahoma"/>
        </w:rPr>
      </w:pPr>
    </w:p>
    <w:p w14:paraId="2E4ECAEF" w14:textId="27FF02E7" w:rsidR="00AF15D2" w:rsidRPr="00C8127F" w:rsidRDefault="00AF15D2" w:rsidP="00AF15D2">
      <w:pPr>
        <w:ind w:left="0" w:firstLine="0"/>
        <w:contextualSpacing/>
        <w:rPr>
          <w:rFonts w:cs="Tahoma"/>
          <w:b/>
          <w:bCs/>
        </w:rPr>
      </w:pPr>
      <w:r>
        <w:rPr>
          <w:rFonts w:cs="Tahoma"/>
          <w:b/>
          <w:bCs/>
        </w:rPr>
        <w:t>Version Control</w:t>
      </w:r>
    </w:p>
    <w:tbl>
      <w:tblPr>
        <w:tblStyle w:val="TableGrid"/>
        <w:tblW w:w="9648" w:type="dxa"/>
        <w:jc w:val="center"/>
        <w:tblLook w:val="04A0" w:firstRow="1" w:lastRow="0" w:firstColumn="1" w:lastColumn="0" w:noHBand="0" w:noVBand="1"/>
      </w:tblPr>
      <w:tblGrid>
        <w:gridCol w:w="1296"/>
        <w:gridCol w:w="1579"/>
        <w:gridCol w:w="1530"/>
        <w:gridCol w:w="5243"/>
      </w:tblGrid>
      <w:tr w:rsidR="00AF15D2" w14:paraId="338EA6D6" w14:textId="77777777" w:rsidTr="00CA0E64">
        <w:trPr>
          <w:jc w:val="center"/>
        </w:trPr>
        <w:tc>
          <w:tcPr>
            <w:tcW w:w="1296" w:type="dxa"/>
          </w:tcPr>
          <w:p w14:paraId="1FCC100A" w14:textId="77777777" w:rsidR="00AF15D2" w:rsidRPr="00E379F4" w:rsidRDefault="00AF15D2" w:rsidP="000E2DB9">
            <w:pPr>
              <w:ind w:left="0" w:firstLine="0"/>
              <w:contextualSpacing/>
              <w:rPr>
                <w:rFonts w:cs="Tahoma"/>
                <w:b/>
                <w:bCs/>
              </w:rPr>
            </w:pPr>
            <w:r w:rsidRPr="00E379F4">
              <w:rPr>
                <w:rFonts w:cs="Tahoma"/>
                <w:b/>
                <w:bCs/>
              </w:rPr>
              <w:t>Version</w:t>
            </w:r>
          </w:p>
        </w:tc>
        <w:tc>
          <w:tcPr>
            <w:tcW w:w="1579" w:type="dxa"/>
          </w:tcPr>
          <w:p w14:paraId="7290019B" w14:textId="77777777" w:rsidR="00AF15D2" w:rsidRPr="00E379F4" w:rsidRDefault="00AF15D2" w:rsidP="000E2DB9">
            <w:pPr>
              <w:ind w:left="0" w:firstLine="0"/>
              <w:contextualSpacing/>
              <w:rPr>
                <w:rFonts w:cs="Tahoma"/>
                <w:b/>
                <w:bCs/>
              </w:rPr>
            </w:pPr>
            <w:r w:rsidRPr="00E379F4">
              <w:rPr>
                <w:rFonts w:cs="Tahoma"/>
                <w:b/>
                <w:bCs/>
              </w:rPr>
              <w:t>Author</w:t>
            </w:r>
          </w:p>
        </w:tc>
        <w:tc>
          <w:tcPr>
            <w:tcW w:w="1530" w:type="dxa"/>
          </w:tcPr>
          <w:p w14:paraId="199A9D6F" w14:textId="77777777" w:rsidR="00AF15D2" w:rsidRPr="00E379F4" w:rsidRDefault="00AF15D2" w:rsidP="000E2DB9">
            <w:pPr>
              <w:ind w:left="0" w:firstLine="0"/>
              <w:contextualSpacing/>
              <w:rPr>
                <w:rFonts w:cs="Tahoma"/>
                <w:b/>
                <w:bCs/>
              </w:rPr>
            </w:pPr>
            <w:r w:rsidRPr="00E379F4">
              <w:rPr>
                <w:rFonts w:cs="Tahoma"/>
                <w:b/>
                <w:bCs/>
              </w:rPr>
              <w:t>Date</w:t>
            </w:r>
          </w:p>
        </w:tc>
        <w:tc>
          <w:tcPr>
            <w:tcW w:w="5243" w:type="dxa"/>
          </w:tcPr>
          <w:p w14:paraId="5B966432" w14:textId="77777777" w:rsidR="00AF15D2" w:rsidRPr="00E379F4" w:rsidRDefault="00AF15D2" w:rsidP="000E2DB9">
            <w:pPr>
              <w:ind w:left="0" w:firstLine="0"/>
              <w:contextualSpacing/>
              <w:rPr>
                <w:rFonts w:cs="Tahoma"/>
                <w:b/>
                <w:bCs/>
              </w:rPr>
            </w:pPr>
            <w:r w:rsidRPr="00E379F4">
              <w:rPr>
                <w:rFonts w:cs="Tahoma"/>
                <w:b/>
                <w:bCs/>
              </w:rPr>
              <w:t>Changes</w:t>
            </w:r>
          </w:p>
        </w:tc>
      </w:tr>
      <w:tr w:rsidR="00AF15D2" w14:paraId="08525DB0" w14:textId="77777777" w:rsidTr="00CA0E64">
        <w:trPr>
          <w:jc w:val="center"/>
        </w:trPr>
        <w:tc>
          <w:tcPr>
            <w:tcW w:w="1296" w:type="dxa"/>
          </w:tcPr>
          <w:p w14:paraId="02A31CF6" w14:textId="77777777" w:rsidR="00AF15D2" w:rsidRDefault="00AF15D2" w:rsidP="000E2DB9">
            <w:pPr>
              <w:ind w:left="0" w:firstLine="0"/>
              <w:contextualSpacing/>
              <w:rPr>
                <w:rFonts w:cs="Tahoma"/>
              </w:rPr>
            </w:pPr>
            <w:r>
              <w:rPr>
                <w:rFonts w:cs="Tahoma"/>
              </w:rPr>
              <w:t>1</w:t>
            </w:r>
          </w:p>
        </w:tc>
        <w:tc>
          <w:tcPr>
            <w:tcW w:w="1579" w:type="dxa"/>
          </w:tcPr>
          <w:p w14:paraId="469ACC34" w14:textId="79FA42A7" w:rsidR="00AF15D2" w:rsidRDefault="00A811C5" w:rsidP="000E2DB9">
            <w:pPr>
              <w:ind w:left="0" w:firstLine="0"/>
              <w:contextualSpacing/>
              <w:rPr>
                <w:rFonts w:cs="Tahoma"/>
              </w:rPr>
            </w:pPr>
            <w:r>
              <w:rPr>
                <w:rFonts w:cs="Tahoma"/>
              </w:rPr>
              <w:t>HE Registry</w:t>
            </w:r>
          </w:p>
        </w:tc>
        <w:tc>
          <w:tcPr>
            <w:tcW w:w="1530" w:type="dxa"/>
          </w:tcPr>
          <w:p w14:paraId="3B98C1A2" w14:textId="65EC62DE" w:rsidR="00AF15D2" w:rsidRDefault="00B11F6A" w:rsidP="00B11F6A">
            <w:pPr>
              <w:ind w:left="0" w:firstLine="0"/>
              <w:contextualSpacing/>
              <w:rPr>
                <w:rFonts w:cs="Tahoma"/>
              </w:rPr>
            </w:pPr>
            <w:r>
              <w:rPr>
                <w:rFonts w:cs="Tahoma"/>
              </w:rPr>
              <w:t>March 2023</w:t>
            </w:r>
          </w:p>
        </w:tc>
        <w:tc>
          <w:tcPr>
            <w:tcW w:w="5243" w:type="dxa"/>
          </w:tcPr>
          <w:p w14:paraId="6E492D0E" w14:textId="37D3DD2F" w:rsidR="00AF15D2" w:rsidRDefault="00B11F6A" w:rsidP="000E2DB9">
            <w:pPr>
              <w:ind w:left="0" w:firstLine="0"/>
              <w:contextualSpacing/>
              <w:rPr>
                <w:rFonts w:cs="Tahoma"/>
              </w:rPr>
            </w:pPr>
            <w:r>
              <w:rPr>
                <w:rFonts w:cs="Tahoma"/>
              </w:rPr>
              <w:t>New</w:t>
            </w:r>
          </w:p>
        </w:tc>
      </w:tr>
      <w:tr w:rsidR="00A811C5" w14:paraId="4B316F04" w14:textId="77777777" w:rsidTr="00CA0E64">
        <w:trPr>
          <w:jc w:val="center"/>
        </w:trPr>
        <w:tc>
          <w:tcPr>
            <w:tcW w:w="1296" w:type="dxa"/>
          </w:tcPr>
          <w:p w14:paraId="5F1DB25C" w14:textId="4A7E7E89" w:rsidR="00A811C5" w:rsidRDefault="00A811C5" w:rsidP="000E2DB9">
            <w:pPr>
              <w:ind w:left="0" w:firstLine="0"/>
              <w:contextualSpacing/>
              <w:rPr>
                <w:rFonts w:cs="Tahoma"/>
              </w:rPr>
            </w:pPr>
            <w:r>
              <w:rPr>
                <w:rFonts w:cs="Tahoma"/>
              </w:rPr>
              <w:t>1.1</w:t>
            </w:r>
          </w:p>
        </w:tc>
        <w:tc>
          <w:tcPr>
            <w:tcW w:w="1579" w:type="dxa"/>
          </w:tcPr>
          <w:p w14:paraId="11504AB7" w14:textId="6DC67F5D" w:rsidR="00A811C5" w:rsidRDefault="00A811C5" w:rsidP="000E2DB9">
            <w:pPr>
              <w:ind w:left="0" w:firstLine="0"/>
              <w:contextualSpacing/>
              <w:rPr>
                <w:rFonts w:cs="Tahoma"/>
              </w:rPr>
            </w:pPr>
            <w:r>
              <w:rPr>
                <w:rFonts w:cs="Tahoma"/>
              </w:rPr>
              <w:t>HE Registry</w:t>
            </w:r>
          </w:p>
        </w:tc>
        <w:tc>
          <w:tcPr>
            <w:tcW w:w="1530" w:type="dxa"/>
          </w:tcPr>
          <w:p w14:paraId="504F1968" w14:textId="48E1F4C5" w:rsidR="00A811C5" w:rsidRDefault="00576D9B" w:rsidP="000E2DB9">
            <w:pPr>
              <w:ind w:left="0" w:firstLine="0"/>
              <w:contextualSpacing/>
              <w:rPr>
                <w:rFonts w:cs="Tahoma"/>
              </w:rPr>
            </w:pPr>
            <w:r>
              <w:rPr>
                <w:rFonts w:cs="Tahoma"/>
              </w:rPr>
              <w:t>Oct 2024</w:t>
            </w:r>
          </w:p>
        </w:tc>
        <w:tc>
          <w:tcPr>
            <w:tcW w:w="5243" w:type="dxa"/>
          </w:tcPr>
          <w:p w14:paraId="411FBE18" w14:textId="45EFAC64" w:rsidR="00A811C5" w:rsidRDefault="00576D9B" w:rsidP="000E2DB9">
            <w:pPr>
              <w:ind w:left="0" w:firstLine="0"/>
              <w:contextualSpacing/>
              <w:rPr>
                <w:rFonts w:cs="Tahoma"/>
              </w:rPr>
            </w:pPr>
            <w:r>
              <w:rPr>
                <w:rFonts w:cs="Tahoma"/>
              </w:rPr>
              <w:t>Change of policy name to Academic Integrity to reflect sector practice</w:t>
            </w:r>
          </w:p>
          <w:p w14:paraId="16B55BD6" w14:textId="1105DC04" w:rsidR="001313DC" w:rsidRDefault="001313DC" w:rsidP="000E2DB9">
            <w:pPr>
              <w:ind w:left="0" w:firstLine="0"/>
              <w:contextualSpacing/>
              <w:rPr>
                <w:rFonts w:cs="Tahoma"/>
              </w:rPr>
            </w:pPr>
            <w:r>
              <w:rPr>
                <w:rFonts w:cs="Tahoma"/>
              </w:rPr>
              <w:t>Renumbered</w:t>
            </w:r>
          </w:p>
          <w:p w14:paraId="1D1E4309" w14:textId="2B4AAC37" w:rsidR="00AD3247" w:rsidRDefault="00173C2D" w:rsidP="000E2DB9">
            <w:pPr>
              <w:ind w:left="0" w:firstLine="0"/>
              <w:contextualSpacing/>
              <w:rPr>
                <w:rFonts w:cs="Tahoma"/>
              </w:rPr>
            </w:pPr>
            <w:r>
              <w:rPr>
                <w:rFonts w:cs="Tahoma"/>
              </w:rPr>
              <w:t>2.1 Insertion of Academic Integrity values</w:t>
            </w:r>
          </w:p>
          <w:p w14:paraId="058E9D33" w14:textId="756A9E48" w:rsidR="007D346E" w:rsidRDefault="009D6ECB" w:rsidP="000E2DB9">
            <w:pPr>
              <w:ind w:left="0" w:firstLine="0"/>
              <w:contextualSpacing/>
              <w:rPr>
                <w:rFonts w:cs="Tahoma"/>
              </w:rPr>
            </w:pPr>
            <w:r>
              <w:rPr>
                <w:rFonts w:cs="Tahoma"/>
              </w:rPr>
              <w:t>3.0 insertion of Good Practice</w:t>
            </w:r>
          </w:p>
        </w:tc>
      </w:tr>
    </w:tbl>
    <w:p w14:paraId="4E028BEB" w14:textId="77777777" w:rsidR="0007092D" w:rsidRDefault="0007092D" w:rsidP="00AF15D2">
      <w:pPr>
        <w:ind w:left="0" w:firstLine="0"/>
        <w:contextualSpacing/>
        <w:rPr>
          <w:rFonts w:cs="Tahoma"/>
        </w:rPr>
      </w:pPr>
    </w:p>
    <w:p w14:paraId="7B5CE609" w14:textId="28896F88" w:rsidR="00A811C5" w:rsidRDefault="00B11F6A" w:rsidP="00E42B5A">
      <w:pPr>
        <w:ind w:left="0" w:firstLine="0"/>
        <w:contextualSpacing/>
        <w:rPr>
          <w:rFonts w:cs="Tahoma"/>
        </w:rPr>
      </w:pPr>
      <w:r w:rsidRPr="00B11F6A">
        <w:rPr>
          <w:rFonts w:cs="Tahoma"/>
        </w:rPr>
        <w:t>Whilst taking into account the regulations of partner universities and awarding bodies, this code of practice makes clear the processes that must be adopted in relation to unacceptable behaviour in the pursuit of an award that the Hull College delivers. The code of practice reflects the Hull College’s commitment to ensuring governance over academic standards and that judgments relating to conduct in summative assessment are carried out with rigour, fairness and probity in line with the QAA Academic Integrity Charter.</w:t>
      </w:r>
    </w:p>
    <w:p w14:paraId="7EB4F05A" w14:textId="77777777" w:rsidR="00B11F6A" w:rsidRPr="00E42B5A" w:rsidRDefault="00B11F6A" w:rsidP="00E42B5A">
      <w:pPr>
        <w:ind w:left="0" w:firstLine="0"/>
        <w:contextualSpacing/>
        <w:rPr>
          <w:rFonts w:cs="Tahoma"/>
        </w:rPr>
      </w:pPr>
    </w:p>
    <w:p w14:paraId="12BF4777" w14:textId="77777777" w:rsidR="00E42B5A" w:rsidRDefault="00E42B5A" w:rsidP="00E42B5A">
      <w:pPr>
        <w:ind w:left="0" w:firstLine="0"/>
        <w:contextualSpacing/>
        <w:rPr>
          <w:rFonts w:cs="Tahoma"/>
        </w:rPr>
      </w:pPr>
      <w:r w:rsidRPr="00E42B5A">
        <w:rPr>
          <w:rFonts w:cs="Tahoma"/>
        </w:rPr>
        <w:t>Further advice and guidance on the use and implementation of this document is available from the HE Quality Office.</w:t>
      </w:r>
    </w:p>
    <w:p w14:paraId="7CAC8CAD" w14:textId="77777777" w:rsidR="00E42B5A" w:rsidRPr="00E42B5A" w:rsidRDefault="00E42B5A" w:rsidP="00E42B5A">
      <w:pPr>
        <w:ind w:left="0" w:firstLine="0"/>
        <w:contextualSpacing/>
        <w:rPr>
          <w:rFonts w:cs="Tahoma"/>
        </w:rPr>
      </w:pPr>
    </w:p>
    <w:p w14:paraId="7637DD2E" w14:textId="1B2F9ECF" w:rsidR="003C29D0" w:rsidRPr="003C29D0" w:rsidRDefault="00E42B5A" w:rsidP="00E42B5A">
      <w:pPr>
        <w:ind w:left="0" w:firstLine="0"/>
        <w:contextualSpacing/>
        <w:rPr>
          <w:rFonts w:cs="Tahoma"/>
        </w:rPr>
      </w:pPr>
      <w:r w:rsidRPr="00E42B5A">
        <w:rPr>
          <w:rFonts w:cs="Tahoma"/>
        </w:rPr>
        <w:t xml:space="preserve">Please use the following contact details HE Quality Team email </w:t>
      </w:r>
      <w:hyperlink r:id="rId11" w:history="1">
        <w:r w:rsidRPr="00222251">
          <w:rPr>
            <w:rStyle w:val="Hyperlink"/>
            <w:rFonts w:cs="Tahoma"/>
          </w:rPr>
          <w:t>heregistry@hull-college.ac.uk</w:t>
        </w:r>
      </w:hyperlink>
      <w:r>
        <w:rPr>
          <w:rFonts w:cs="Tahoma"/>
        </w:rPr>
        <w:t xml:space="preserve"> </w:t>
      </w:r>
    </w:p>
    <w:p w14:paraId="629F7553" w14:textId="77777777" w:rsidR="003C29D0" w:rsidRDefault="003C29D0" w:rsidP="00AF15D2">
      <w:pPr>
        <w:ind w:left="0" w:firstLine="0"/>
        <w:contextualSpacing/>
        <w:rPr>
          <w:rFonts w:cs="Tahoma"/>
        </w:rPr>
      </w:pPr>
    </w:p>
    <w:sdt>
      <w:sdtPr>
        <w:id w:val="1954830109"/>
        <w:docPartObj>
          <w:docPartGallery w:val="Table of Contents"/>
        </w:docPartObj>
      </w:sdtPr>
      <w:sdtEndPr/>
      <w:sdtContent>
        <w:p w14:paraId="29520C83" w14:textId="77777777" w:rsidR="00E42B5A" w:rsidRDefault="00E42B5A" w:rsidP="00E42B5A">
          <w:r>
            <w:rPr>
              <w:b/>
              <w:color w:val="365F91"/>
              <w:sz w:val="28"/>
            </w:rPr>
            <w:t xml:space="preserve">Contents </w:t>
          </w:r>
        </w:p>
        <w:p w14:paraId="7CE6FCE7" w14:textId="0C106095" w:rsidR="001313DC" w:rsidRDefault="00E42B5A" w:rsidP="001313DC">
          <w:pPr>
            <w:pStyle w:val="TOC1"/>
            <w:rPr>
              <w:rFonts w:asciiTheme="minorHAnsi" w:eastAsiaTheme="minorEastAsia" w:hAnsiTheme="minorHAnsi"/>
              <w:noProof/>
              <w:lang w:eastAsia="en-GB"/>
            </w:rPr>
          </w:pPr>
          <w:r>
            <w:rPr>
              <w:b/>
            </w:rPr>
            <w:fldChar w:fldCharType="begin"/>
          </w:r>
          <w:r>
            <w:instrText xml:space="preserve"> TOC \o "1-2" \h \z \u </w:instrText>
          </w:r>
          <w:r>
            <w:rPr>
              <w:b/>
            </w:rPr>
            <w:fldChar w:fldCharType="separate"/>
          </w:r>
          <w:hyperlink w:anchor="_Toc179299170" w:history="1">
            <w:r w:rsidR="001313DC" w:rsidRPr="00964263">
              <w:rPr>
                <w:rStyle w:val="Hyperlink"/>
                <w:noProof/>
              </w:rPr>
              <w:t>1.</w:t>
            </w:r>
            <w:r w:rsidR="001313DC">
              <w:rPr>
                <w:rFonts w:asciiTheme="minorHAnsi" w:eastAsiaTheme="minorEastAsia" w:hAnsiTheme="minorHAnsi"/>
                <w:noProof/>
                <w:lang w:eastAsia="en-GB"/>
              </w:rPr>
              <w:tab/>
            </w:r>
            <w:r w:rsidR="001313DC" w:rsidRPr="00964263">
              <w:rPr>
                <w:rStyle w:val="Hyperlink"/>
                <w:noProof/>
              </w:rPr>
              <w:t>Introduction</w:t>
            </w:r>
            <w:r w:rsidR="001313DC">
              <w:rPr>
                <w:noProof/>
                <w:webHidden/>
              </w:rPr>
              <w:tab/>
            </w:r>
            <w:r w:rsidR="001313DC">
              <w:rPr>
                <w:noProof/>
                <w:webHidden/>
              </w:rPr>
              <w:fldChar w:fldCharType="begin"/>
            </w:r>
            <w:r w:rsidR="001313DC">
              <w:rPr>
                <w:noProof/>
                <w:webHidden/>
              </w:rPr>
              <w:instrText xml:space="preserve"> PAGEREF _Toc179299170 \h </w:instrText>
            </w:r>
            <w:r w:rsidR="001313DC">
              <w:rPr>
                <w:noProof/>
                <w:webHidden/>
              </w:rPr>
            </w:r>
            <w:r w:rsidR="001313DC">
              <w:rPr>
                <w:noProof/>
                <w:webHidden/>
              </w:rPr>
              <w:fldChar w:fldCharType="separate"/>
            </w:r>
            <w:r w:rsidR="00CA0E64">
              <w:rPr>
                <w:noProof/>
                <w:webHidden/>
              </w:rPr>
              <w:t>2</w:t>
            </w:r>
            <w:r w:rsidR="001313DC">
              <w:rPr>
                <w:noProof/>
                <w:webHidden/>
              </w:rPr>
              <w:fldChar w:fldCharType="end"/>
            </w:r>
          </w:hyperlink>
        </w:p>
        <w:p w14:paraId="44811BF5" w14:textId="33EF8197" w:rsidR="001313DC" w:rsidRDefault="001313DC" w:rsidP="001313DC">
          <w:pPr>
            <w:pStyle w:val="TOC1"/>
            <w:rPr>
              <w:rFonts w:asciiTheme="minorHAnsi" w:eastAsiaTheme="minorEastAsia" w:hAnsiTheme="minorHAnsi"/>
              <w:noProof/>
              <w:lang w:eastAsia="en-GB"/>
            </w:rPr>
          </w:pPr>
          <w:hyperlink w:anchor="_Toc179299171" w:history="1">
            <w:r w:rsidRPr="00964263">
              <w:rPr>
                <w:rStyle w:val="Hyperlink"/>
                <w:noProof/>
              </w:rPr>
              <w:t>2.</w:t>
            </w:r>
            <w:r>
              <w:rPr>
                <w:rFonts w:asciiTheme="minorHAnsi" w:eastAsiaTheme="minorEastAsia" w:hAnsiTheme="minorHAnsi"/>
                <w:noProof/>
                <w:lang w:eastAsia="en-GB"/>
              </w:rPr>
              <w:tab/>
            </w:r>
            <w:r w:rsidRPr="00964263">
              <w:rPr>
                <w:rStyle w:val="Hyperlink"/>
                <w:noProof/>
              </w:rPr>
              <w:t>Academic Integrity Definitions and Processes</w:t>
            </w:r>
            <w:r>
              <w:rPr>
                <w:noProof/>
                <w:webHidden/>
              </w:rPr>
              <w:tab/>
            </w:r>
            <w:r>
              <w:rPr>
                <w:noProof/>
                <w:webHidden/>
              </w:rPr>
              <w:fldChar w:fldCharType="begin"/>
            </w:r>
            <w:r>
              <w:rPr>
                <w:noProof/>
                <w:webHidden/>
              </w:rPr>
              <w:instrText xml:space="preserve"> PAGEREF _Toc179299171 \h </w:instrText>
            </w:r>
            <w:r>
              <w:rPr>
                <w:noProof/>
                <w:webHidden/>
              </w:rPr>
            </w:r>
            <w:r>
              <w:rPr>
                <w:noProof/>
                <w:webHidden/>
              </w:rPr>
              <w:fldChar w:fldCharType="separate"/>
            </w:r>
            <w:r w:rsidR="00CA0E64">
              <w:rPr>
                <w:noProof/>
                <w:webHidden/>
              </w:rPr>
              <w:t>2</w:t>
            </w:r>
            <w:r>
              <w:rPr>
                <w:noProof/>
                <w:webHidden/>
              </w:rPr>
              <w:fldChar w:fldCharType="end"/>
            </w:r>
          </w:hyperlink>
        </w:p>
        <w:p w14:paraId="281A7187" w14:textId="23F7ED07" w:rsidR="001313DC" w:rsidRDefault="001313DC" w:rsidP="001313DC">
          <w:pPr>
            <w:pStyle w:val="TOC1"/>
            <w:rPr>
              <w:rFonts w:asciiTheme="minorHAnsi" w:eastAsiaTheme="minorEastAsia" w:hAnsiTheme="minorHAnsi"/>
              <w:noProof/>
              <w:lang w:eastAsia="en-GB"/>
            </w:rPr>
          </w:pPr>
          <w:hyperlink w:anchor="_Toc179299172" w:history="1">
            <w:r w:rsidRPr="00964263">
              <w:rPr>
                <w:rStyle w:val="Hyperlink"/>
                <w:noProof/>
              </w:rPr>
              <w:t>3.</w:t>
            </w:r>
            <w:r>
              <w:rPr>
                <w:rFonts w:asciiTheme="minorHAnsi" w:eastAsiaTheme="minorEastAsia" w:hAnsiTheme="minorHAnsi"/>
                <w:noProof/>
                <w:lang w:eastAsia="en-GB"/>
              </w:rPr>
              <w:tab/>
            </w:r>
            <w:r w:rsidRPr="00964263">
              <w:rPr>
                <w:rStyle w:val="Hyperlink"/>
                <w:noProof/>
              </w:rPr>
              <w:t>Good practice for assessments and academic integrity</w:t>
            </w:r>
            <w:r>
              <w:rPr>
                <w:noProof/>
                <w:webHidden/>
              </w:rPr>
              <w:tab/>
            </w:r>
            <w:r>
              <w:rPr>
                <w:noProof/>
                <w:webHidden/>
              </w:rPr>
              <w:fldChar w:fldCharType="begin"/>
            </w:r>
            <w:r>
              <w:rPr>
                <w:noProof/>
                <w:webHidden/>
              </w:rPr>
              <w:instrText xml:space="preserve"> PAGEREF _Toc179299172 \h </w:instrText>
            </w:r>
            <w:r>
              <w:rPr>
                <w:noProof/>
                <w:webHidden/>
              </w:rPr>
            </w:r>
            <w:r>
              <w:rPr>
                <w:noProof/>
                <w:webHidden/>
              </w:rPr>
              <w:fldChar w:fldCharType="separate"/>
            </w:r>
            <w:r w:rsidR="00CA0E64">
              <w:rPr>
                <w:noProof/>
                <w:webHidden/>
              </w:rPr>
              <w:t>4</w:t>
            </w:r>
            <w:r>
              <w:rPr>
                <w:noProof/>
                <w:webHidden/>
              </w:rPr>
              <w:fldChar w:fldCharType="end"/>
            </w:r>
          </w:hyperlink>
        </w:p>
        <w:p w14:paraId="1982149F" w14:textId="4E7CC6DB" w:rsidR="001313DC" w:rsidRDefault="001313DC" w:rsidP="001313DC">
          <w:pPr>
            <w:pStyle w:val="TOC1"/>
            <w:rPr>
              <w:rFonts w:asciiTheme="minorHAnsi" w:eastAsiaTheme="minorEastAsia" w:hAnsiTheme="minorHAnsi"/>
              <w:noProof/>
              <w:lang w:eastAsia="en-GB"/>
            </w:rPr>
          </w:pPr>
          <w:hyperlink w:anchor="_Toc179299173" w:history="1">
            <w:r w:rsidRPr="00964263">
              <w:rPr>
                <w:rStyle w:val="Hyperlink"/>
                <w:noProof/>
              </w:rPr>
              <w:t>4.</w:t>
            </w:r>
            <w:r>
              <w:rPr>
                <w:rFonts w:asciiTheme="minorHAnsi" w:eastAsiaTheme="minorEastAsia" w:hAnsiTheme="minorHAnsi"/>
                <w:noProof/>
                <w:lang w:eastAsia="en-GB"/>
              </w:rPr>
              <w:tab/>
            </w:r>
            <w:r w:rsidRPr="00964263">
              <w:rPr>
                <w:rStyle w:val="Hyperlink"/>
                <w:noProof/>
              </w:rPr>
              <w:t>Identification of Academic Misconduct</w:t>
            </w:r>
            <w:r>
              <w:rPr>
                <w:noProof/>
                <w:webHidden/>
              </w:rPr>
              <w:tab/>
            </w:r>
            <w:r>
              <w:rPr>
                <w:noProof/>
                <w:webHidden/>
              </w:rPr>
              <w:fldChar w:fldCharType="begin"/>
            </w:r>
            <w:r>
              <w:rPr>
                <w:noProof/>
                <w:webHidden/>
              </w:rPr>
              <w:instrText xml:space="preserve"> PAGEREF _Toc179299173 \h </w:instrText>
            </w:r>
            <w:r>
              <w:rPr>
                <w:noProof/>
                <w:webHidden/>
              </w:rPr>
            </w:r>
            <w:r>
              <w:rPr>
                <w:noProof/>
                <w:webHidden/>
              </w:rPr>
              <w:fldChar w:fldCharType="separate"/>
            </w:r>
            <w:r w:rsidR="00CA0E64">
              <w:rPr>
                <w:noProof/>
                <w:webHidden/>
              </w:rPr>
              <w:t>5</w:t>
            </w:r>
            <w:r>
              <w:rPr>
                <w:noProof/>
                <w:webHidden/>
              </w:rPr>
              <w:fldChar w:fldCharType="end"/>
            </w:r>
          </w:hyperlink>
        </w:p>
        <w:p w14:paraId="2E5DE3AA" w14:textId="46E63D36" w:rsidR="001313DC" w:rsidRDefault="001313DC" w:rsidP="001313DC">
          <w:pPr>
            <w:pStyle w:val="TOC1"/>
            <w:rPr>
              <w:rFonts w:asciiTheme="minorHAnsi" w:eastAsiaTheme="minorEastAsia" w:hAnsiTheme="minorHAnsi"/>
              <w:noProof/>
              <w:lang w:eastAsia="en-GB"/>
            </w:rPr>
          </w:pPr>
          <w:hyperlink w:anchor="_Toc179299174" w:history="1">
            <w:r w:rsidRPr="00964263">
              <w:rPr>
                <w:rStyle w:val="Hyperlink"/>
                <w:noProof/>
              </w:rPr>
              <w:t>5.</w:t>
            </w:r>
            <w:r>
              <w:rPr>
                <w:rFonts w:asciiTheme="minorHAnsi" w:eastAsiaTheme="minorEastAsia" w:hAnsiTheme="minorHAnsi"/>
                <w:noProof/>
                <w:lang w:eastAsia="en-GB"/>
              </w:rPr>
              <w:tab/>
            </w:r>
            <w:r w:rsidRPr="00964263">
              <w:rPr>
                <w:rStyle w:val="Hyperlink"/>
                <w:noProof/>
              </w:rPr>
              <w:t>Communicating concerns with Students</w:t>
            </w:r>
            <w:r>
              <w:rPr>
                <w:noProof/>
                <w:webHidden/>
              </w:rPr>
              <w:tab/>
            </w:r>
            <w:r>
              <w:rPr>
                <w:noProof/>
                <w:webHidden/>
              </w:rPr>
              <w:fldChar w:fldCharType="begin"/>
            </w:r>
            <w:r>
              <w:rPr>
                <w:noProof/>
                <w:webHidden/>
              </w:rPr>
              <w:instrText xml:space="preserve"> PAGEREF _Toc179299174 \h </w:instrText>
            </w:r>
            <w:r>
              <w:rPr>
                <w:noProof/>
                <w:webHidden/>
              </w:rPr>
            </w:r>
            <w:r>
              <w:rPr>
                <w:noProof/>
                <w:webHidden/>
              </w:rPr>
              <w:fldChar w:fldCharType="separate"/>
            </w:r>
            <w:r w:rsidR="00CA0E64">
              <w:rPr>
                <w:noProof/>
                <w:webHidden/>
              </w:rPr>
              <w:t>5</w:t>
            </w:r>
            <w:r>
              <w:rPr>
                <w:noProof/>
                <w:webHidden/>
              </w:rPr>
              <w:fldChar w:fldCharType="end"/>
            </w:r>
          </w:hyperlink>
        </w:p>
        <w:p w14:paraId="62F3CAAC" w14:textId="5511A7D9" w:rsidR="001313DC" w:rsidRDefault="001313DC" w:rsidP="001313DC">
          <w:pPr>
            <w:pStyle w:val="TOC1"/>
            <w:rPr>
              <w:rFonts w:asciiTheme="minorHAnsi" w:eastAsiaTheme="minorEastAsia" w:hAnsiTheme="minorHAnsi"/>
              <w:noProof/>
              <w:lang w:eastAsia="en-GB"/>
            </w:rPr>
          </w:pPr>
          <w:hyperlink w:anchor="_Toc179299175" w:history="1">
            <w:r w:rsidRPr="00964263">
              <w:rPr>
                <w:rStyle w:val="Hyperlink"/>
                <w:noProof/>
              </w:rPr>
              <w:t>6.</w:t>
            </w:r>
            <w:r>
              <w:rPr>
                <w:rFonts w:asciiTheme="minorHAnsi" w:eastAsiaTheme="minorEastAsia" w:hAnsiTheme="minorHAnsi"/>
                <w:noProof/>
                <w:lang w:eastAsia="en-GB"/>
              </w:rPr>
              <w:tab/>
            </w:r>
            <w:r w:rsidRPr="00964263">
              <w:rPr>
                <w:rStyle w:val="Hyperlink"/>
                <w:noProof/>
              </w:rPr>
              <w:t>Presentation of Academic Misconduct Cases for Investigation</w:t>
            </w:r>
            <w:r>
              <w:rPr>
                <w:noProof/>
                <w:webHidden/>
              </w:rPr>
              <w:tab/>
            </w:r>
            <w:r>
              <w:rPr>
                <w:noProof/>
                <w:webHidden/>
              </w:rPr>
              <w:fldChar w:fldCharType="begin"/>
            </w:r>
            <w:r>
              <w:rPr>
                <w:noProof/>
                <w:webHidden/>
              </w:rPr>
              <w:instrText xml:space="preserve"> PAGEREF _Toc179299175 \h </w:instrText>
            </w:r>
            <w:r>
              <w:rPr>
                <w:noProof/>
                <w:webHidden/>
              </w:rPr>
            </w:r>
            <w:r>
              <w:rPr>
                <w:noProof/>
                <w:webHidden/>
              </w:rPr>
              <w:fldChar w:fldCharType="separate"/>
            </w:r>
            <w:r w:rsidR="00CA0E64">
              <w:rPr>
                <w:noProof/>
                <w:webHidden/>
              </w:rPr>
              <w:t>5</w:t>
            </w:r>
            <w:r>
              <w:rPr>
                <w:noProof/>
                <w:webHidden/>
              </w:rPr>
              <w:fldChar w:fldCharType="end"/>
            </w:r>
          </w:hyperlink>
        </w:p>
        <w:p w14:paraId="3DB30120" w14:textId="42DB5A8F" w:rsidR="001313DC" w:rsidRDefault="001313DC" w:rsidP="001313DC">
          <w:pPr>
            <w:pStyle w:val="TOC1"/>
            <w:rPr>
              <w:rFonts w:asciiTheme="minorHAnsi" w:eastAsiaTheme="minorEastAsia" w:hAnsiTheme="minorHAnsi"/>
              <w:noProof/>
              <w:lang w:eastAsia="en-GB"/>
            </w:rPr>
          </w:pPr>
          <w:hyperlink w:anchor="_Toc179299176" w:history="1">
            <w:r w:rsidRPr="00964263">
              <w:rPr>
                <w:rStyle w:val="Hyperlink"/>
                <w:noProof/>
              </w:rPr>
              <w:t>7.</w:t>
            </w:r>
            <w:r>
              <w:rPr>
                <w:rFonts w:asciiTheme="minorHAnsi" w:eastAsiaTheme="minorEastAsia" w:hAnsiTheme="minorHAnsi"/>
                <w:noProof/>
                <w:lang w:eastAsia="en-GB"/>
              </w:rPr>
              <w:tab/>
            </w:r>
            <w:r w:rsidRPr="00964263">
              <w:rPr>
                <w:rStyle w:val="Hyperlink"/>
                <w:noProof/>
              </w:rPr>
              <w:t>Timescales and Student Notification</w:t>
            </w:r>
            <w:r>
              <w:rPr>
                <w:noProof/>
                <w:webHidden/>
              </w:rPr>
              <w:tab/>
            </w:r>
            <w:r>
              <w:rPr>
                <w:noProof/>
                <w:webHidden/>
              </w:rPr>
              <w:fldChar w:fldCharType="begin"/>
            </w:r>
            <w:r>
              <w:rPr>
                <w:noProof/>
                <w:webHidden/>
              </w:rPr>
              <w:instrText xml:space="preserve"> PAGEREF _Toc179299176 \h </w:instrText>
            </w:r>
            <w:r>
              <w:rPr>
                <w:noProof/>
                <w:webHidden/>
              </w:rPr>
            </w:r>
            <w:r>
              <w:rPr>
                <w:noProof/>
                <w:webHidden/>
              </w:rPr>
              <w:fldChar w:fldCharType="separate"/>
            </w:r>
            <w:r w:rsidR="00CA0E64">
              <w:rPr>
                <w:noProof/>
                <w:webHidden/>
              </w:rPr>
              <w:t>6</w:t>
            </w:r>
            <w:r>
              <w:rPr>
                <w:noProof/>
                <w:webHidden/>
              </w:rPr>
              <w:fldChar w:fldCharType="end"/>
            </w:r>
          </w:hyperlink>
        </w:p>
        <w:p w14:paraId="173EFDE5" w14:textId="07506EB9" w:rsidR="001313DC" w:rsidRDefault="001313DC" w:rsidP="001313DC">
          <w:pPr>
            <w:pStyle w:val="TOC1"/>
            <w:rPr>
              <w:rFonts w:asciiTheme="minorHAnsi" w:eastAsiaTheme="minorEastAsia" w:hAnsiTheme="minorHAnsi"/>
              <w:noProof/>
              <w:lang w:eastAsia="en-GB"/>
            </w:rPr>
          </w:pPr>
          <w:hyperlink w:anchor="_Toc179299177" w:history="1">
            <w:r w:rsidRPr="00964263">
              <w:rPr>
                <w:rStyle w:val="Hyperlink"/>
                <w:noProof/>
              </w:rPr>
              <w:t>8.</w:t>
            </w:r>
            <w:r>
              <w:rPr>
                <w:rFonts w:asciiTheme="minorHAnsi" w:eastAsiaTheme="minorEastAsia" w:hAnsiTheme="minorHAnsi"/>
                <w:noProof/>
                <w:lang w:eastAsia="en-GB"/>
              </w:rPr>
              <w:tab/>
            </w:r>
            <w:r w:rsidRPr="00964263">
              <w:rPr>
                <w:rStyle w:val="Hyperlink"/>
                <w:noProof/>
              </w:rPr>
              <w:t>Operation of the Academic Misconduct board for Hull College programmes.</w:t>
            </w:r>
            <w:r>
              <w:rPr>
                <w:noProof/>
                <w:webHidden/>
              </w:rPr>
              <w:tab/>
            </w:r>
            <w:r>
              <w:rPr>
                <w:noProof/>
                <w:webHidden/>
              </w:rPr>
              <w:fldChar w:fldCharType="begin"/>
            </w:r>
            <w:r>
              <w:rPr>
                <w:noProof/>
                <w:webHidden/>
              </w:rPr>
              <w:instrText xml:space="preserve"> PAGEREF _Toc179299177 \h </w:instrText>
            </w:r>
            <w:r>
              <w:rPr>
                <w:noProof/>
                <w:webHidden/>
              </w:rPr>
            </w:r>
            <w:r>
              <w:rPr>
                <w:noProof/>
                <w:webHidden/>
              </w:rPr>
              <w:fldChar w:fldCharType="separate"/>
            </w:r>
            <w:r w:rsidR="00CA0E64">
              <w:rPr>
                <w:noProof/>
                <w:webHidden/>
              </w:rPr>
              <w:t>6</w:t>
            </w:r>
            <w:r>
              <w:rPr>
                <w:noProof/>
                <w:webHidden/>
              </w:rPr>
              <w:fldChar w:fldCharType="end"/>
            </w:r>
          </w:hyperlink>
        </w:p>
        <w:p w14:paraId="669F08CA" w14:textId="6CEC4245" w:rsidR="001313DC" w:rsidRDefault="001313DC" w:rsidP="001313DC">
          <w:pPr>
            <w:pStyle w:val="TOC1"/>
            <w:rPr>
              <w:rFonts w:asciiTheme="minorHAnsi" w:eastAsiaTheme="minorEastAsia" w:hAnsiTheme="minorHAnsi"/>
              <w:noProof/>
              <w:lang w:eastAsia="en-GB"/>
            </w:rPr>
          </w:pPr>
          <w:hyperlink w:anchor="_Toc179299178" w:history="1">
            <w:r w:rsidRPr="00964263">
              <w:rPr>
                <w:rStyle w:val="Hyperlink"/>
                <w:noProof/>
              </w:rPr>
              <w:t>9.</w:t>
            </w:r>
            <w:r>
              <w:rPr>
                <w:rFonts w:asciiTheme="minorHAnsi" w:eastAsiaTheme="minorEastAsia" w:hAnsiTheme="minorHAnsi"/>
                <w:noProof/>
                <w:lang w:eastAsia="en-GB"/>
              </w:rPr>
              <w:tab/>
            </w:r>
            <w:r w:rsidRPr="00964263">
              <w:rPr>
                <w:rStyle w:val="Hyperlink"/>
                <w:noProof/>
              </w:rPr>
              <w:t>Cautions and Penalties for other awarding bodies</w:t>
            </w:r>
            <w:r>
              <w:rPr>
                <w:noProof/>
                <w:webHidden/>
              </w:rPr>
              <w:tab/>
            </w:r>
            <w:r>
              <w:rPr>
                <w:noProof/>
                <w:webHidden/>
              </w:rPr>
              <w:fldChar w:fldCharType="begin"/>
            </w:r>
            <w:r>
              <w:rPr>
                <w:noProof/>
                <w:webHidden/>
              </w:rPr>
              <w:instrText xml:space="preserve"> PAGEREF _Toc179299178 \h </w:instrText>
            </w:r>
            <w:r>
              <w:rPr>
                <w:noProof/>
                <w:webHidden/>
              </w:rPr>
            </w:r>
            <w:r>
              <w:rPr>
                <w:noProof/>
                <w:webHidden/>
              </w:rPr>
              <w:fldChar w:fldCharType="separate"/>
            </w:r>
            <w:r w:rsidR="00CA0E64">
              <w:rPr>
                <w:noProof/>
                <w:webHidden/>
              </w:rPr>
              <w:t>7</w:t>
            </w:r>
            <w:r>
              <w:rPr>
                <w:noProof/>
                <w:webHidden/>
              </w:rPr>
              <w:fldChar w:fldCharType="end"/>
            </w:r>
          </w:hyperlink>
        </w:p>
        <w:p w14:paraId="7E211BF9" w14:textId="2501780B" w:rsidR="001313DC" w:rsidRDefault="001313DC" w:rsidP="001313DC">
          <w:pPr>
            <w:pStyle w:val="TOC1"/>
            <w:rPr>
              <w:rFonts w:asciiTheme="minorHAnsi" w:eastAsiaTheme="minorEastAsia" w:hAnsiTheme="minorHAnsi"/>
              <w:noProof/>
              <w:lang w:eastAsia="en-GB"/>
            </w:rPr>
          </w:pPr>
          <w:hyperlink w:anchor="_Toc179299179" w:history="1">
            <w:r w:rsidRPr="00964263">
              <w:rPr>
                <w:rStyle w:val="Hyperlink"/>
                <w:noProof/>
              </w:rPr>
              <w:t>10.</w:t>
            </w:r>
            <w:r>
              <w:rPr>
                <w:rFonts w:asciiTheme="minorHAnsi" w:eastAsiaTheme="minorEastAsia" w:hAnsiTheme="minorHAnsi"/>
                <w:noProof/>
                <w:lang w:eastAsia="en-GB"/>
              </w:rPr>
              <w:tab/>
            </w:r>
            <w:r w:rsidRPr="00964263">
              <w:rPr>
                <w:rStyle w:val="Hyperlink"/>
                <w:noProof/>
              </w:rPr>
              <w:t>Cautions and Penalties for Hull College awards</w:t>
            </w:r>
            <w:r>
              <w:rPr>
                <w:noProof/>
                <w:webHidden/>
              </w:rPr>
              <w:tab/>
            </w:r>
            <w:r>
              <w:rPr>
                <w:noProof/>
                <w:webHidden/>
              </w:rPr>
              <w:fldChar w:fldCharType="begin"/>
            </w:r>
            <w:r>
              <w:rPr>
                <w:noProof/>
                <w:webHidden/>
              </w:rPr>
              <w:instrText xml:space="preserve"> PAGEREF _Toc179299179 \h </w:instrText>
            </w:r>
            <w:r>
              <w:rPr>
                <w:noProof/>
                <w:webHidden/>
              </w:rPr>
            </w:r>
            <w:r>
              <w:rPr>
                <w:noProof/>
                <w:webHidden/>
              </w:rPr>
              <w:fldChar w:fldCharType="separate"/>
            </w:r>
            <w:r w:rsidR="00CA0E64">
              <w:rPr>
                <w:noProof/>
                <w:webHidden/>
              </w:rPr>
              <w:t>7</w:t>
            </w:r>
            <w:r>
              <w:rPr>
                <w:noProof/>
                <w:webHidden/>
              </w:rPr>
              <w:fldChar w:fldCharType="end"/>
            </w:r>
          </w:hyperlink>
        </w:p>
        <w:p w14:paraId="573B238E" w14:textId="6668FBD4" w:rsidR="001313DC" w:rsidRDefault="001313DC" w:rsidP="001313DC">
          <w:pPr>
            <w:pStyle w:val="TOC1"/>
            <w:rPr>
              <w:rFonts w:asciiTheme="minorHAnsi" w:eastAsiaTheme="minorEastAsia" w:hAnsiTheme="minorHAnsi"/>
              <w:noProof/>
              <w:lang w:eastAsia="en-GB"/>
            </w:rPr>
          </w:pPr>
          <w:hyperlink w:anchor="_Toc179299180" w:history="1">
            <w:r w:rsidRPr="00964263">
              <w:rPr>
                <w:rStyle w:val="Hyperlink"/>
                <w:noProof/>
              </w:rPr>
              <w:t>11.</w:t>
            </w:r>
            <w:r>
              <w:rPr>
                <w:rFonts w:asciiTheme="minorHAnsi" w:eastAsiaTheme="minorEastAsia" w:hAnsiTheme="minorHAnsi"/>
                <w:noProof/>
                <w:lang w:eastAsia="en-GB"/>
              </w:rPr>
              <w:tab/>
            </w:r>
            <w:r w:rsidRPr="00964263">
              <w:rPr>
                <w:rStyle w:val="Hyperlink"/>
                <w:noProof/>
              </w:rPr>
              <w:t>Pearson awards</w:t>
            </w:r>
            <w:r>
              <w:rPr>
                <w:noProof/>
                <w:webHidden/>
              </w:rPr>
              <w:tab/>
            </w:r>
            <w:r>
              <w:rPr>
                <w:noProof/>
                <w:webHidden/>
              </w:rPr>
              <w:fldChar w:fldCharType="begin"/>
            </w:r>
            <w:r>
              <w:rPr>
                <w:noProof/>
                <w:webHidden/>
              </w:rPr>
              <w:instrText xml:space="preserve"> PAGEREF _Toc179299180 \h </w:instrText>
            </w:r>
            <w:r>
              <w:rPr>
                <w:noProof/>
                <w:webHidden/>
              </w:rPr>
            </w:r>
            <w:r>
              <w:rPr>
                <w:noProof/>
                <w:webHidden/>
              </w:rPr>
              <w:fldChar w:fldCharType="separate"/>
            </w:r>
            <w:r w:rsidR="00CA0E64">
              <w:rPr>
                <w:noProof/>
                <w:webHidden/>
              </w:rPr>
              <w:t>9</w:t>
            </w:r>
            <w:r>
              <w:rPr>
                <w:noProof/>
                <w:webHidden/>
              </w:rPr>
              <w:fldChar w:fldCharType="end"/>
            </w:r>
          </w:hyperlink>
        </w:p>
        <w:p w14:paraId="12CFE16B" w14:textId="02281DCE" w:rsidR="001313DC" w:rsidRDefault="001313DC" w:rsidP="001313DC">
          <w:pPr>
            <w:pStyle w:val="TOC1"/>
            <w:rPr>
              <w:rFonts w:asciiTheme="minorHAnsi" w:eastAsiaTheme="minorEastAsia" w:hAnsiTheme="minorHAnsi"/>
              <w:noProof/>
              <w:lang w:eastAsia="en-GB"/>
            </w:rPr>
          </w:pPr>
          <w:hyperlink w:anchor="_Toc179299181" w:history="1">
            <w:r w:rsidRPr="00964263">
              <w:rPr>
                <w:rStyle w:val="Hyperlink"/>
                <w:noProof/>
              </w:rPr>
              <w:t>12.</w:t>
            </w:r>
            <w:r>
              <w:rPr>
                <w:rFonts w:asciiTheme="minorHAnsi" w:eastAsiaTheme="minorEastAsia" w:hAnsiTheme="minorHAnsi"/>
                <w:noProof/>
                <w:lang w:eastAsia="en-GB"/>
              </w:rPr>
              <w:tab/>
            </w:r>
            <w:r w:rsidRPr="00964263">
              <w:rPr>
                <w:rStyle w:val="Hyperlink"/>
                <w:noProof/>
              </w:rPr>
              <w:t>University Partners</w:t>
            </w:r>
            <w:r>
              <w:rPr>
                <w:noProof/>
                <w:webHidden/>
              </w:rPr>
              <w:tab/>
            </w:r>
            <w:r>
              <w:rPr>
                <w:noProof/>
                <w:webHidden/>
              </w:rPr>
              <w:fldChar w:fldCharType="begin"/>
            </w:r>
            <w:r>
              <w:rPr>
                <w:noProof/>
                <w:webHidden/>
              </w:rPr>
              <w:instrText xml:space="preserve"> PAGEREF _Toc179299181 \h </w:instrText>
            </w:r>
            <w:r>
              <w:rPr>
                <w:noProof/>
                <w:webHidden/>
              </w:rPr>
            </w:r>
            <w:r>
              <w:rPr>
                <w:noProof/>
                <w:webHidden/>
              </w:rPr>
              <w:fldChar w:fldCharType="separate"/>
            </w:r>
            <w:r w:rsidR="00CA0E64">
              <w:rPr>
                <w:noProof/>
                <w:webHidden/>
              </w:rPr>
              <w:t>9</w:t>
            </w:r>
            <w:r>
              <w:rPr>
                <w:noProof/>
                <w:webHidden/>
              </w:rPr>
              <w:fldChar w:fldCharType="end"/>
            </w:r>
          </w:hyperlink>
        </w:p>
        <w:p w14:paraId="4C078FC0" w14:textId="235A6A9A" w:rsidR="001313DC" w:rsidRDefault="001313DC" w:rsidP="001313DC">
          <w:pPr>
            <w:pStyle w:val="TOC1"/>
            <w:rPr>
              <w:rFonts w:asciiTheme="minorHAnsi" w:eastAsiaTheme="minorEastAsia" w:hAnsiTheme="minorHAnsi"/>
              <w:noProof/>
              <w:lang w:eastAsia="en-GB"/>
            </w:rPr>
          </w:pPr>
          <w:hyperlink w:anchor="_Toc179299182" w:history="1">
            <w:r w:rsidRPr="00964263">
              <w:rPr>
                <w:rStyle w:val="Hyperlink"/>
                <w:noProof/>
              </w:rPr>
              <w:t>13.</w:t>
            </w:r>
            <w:r>
              <w:rPr>
                <w:rFonts w:asciiTheme="minorHAnsi" w:eastAsiaTheme="minorEastAsia" w:hAnsiTheme="minorHAnsi"/>
                <w:noProof/>
                <w:lang w:eastAsia="en-GB"/>
              </w:rPr>
              <w:tab/>
            </w:r>
            <w:r w:rsidRPr="00964263">
              <w:rPr>
                <w:rStyle w:val="Hyperlink"/>
                <w:noProof/>
              </w:rPr>
              <w:t>Appeals</w:t>
            </w:r>
            <w:r>
              <w:rPr>
                <w:noProof/>
                <w:webHidden/>
              </w:rPr>
              <w:tab/>
            </w:r>
            <w:r>
              <w:rPr>
                <w:noProof/>
                <w:webHidden/>
              </w:rPr>
              <w:fldChar w:fldCharType="begin"/>
            </w:r>
            <w:r>
              <w:rPr>
                <w:noProof/>
                <w:webHidden/>
              </w:rPr>
              <w:instrText xml:space="preserve"> PAGEREF _Toc179299182 \h </w:instrText>
            </w:r>
            <w:r>
              <w:rPr>
                <w:noProof/>
                <w:webHidden/>
              </w:rPr>
            </w:r>
            <w:r>
              <w:rPr>
                <w:noProof/>
                <w:webHidden/>
              </w:rPr>
              <w:fldChar w:fldCharType="separate"/>
            </w:r>
            <w:r w:rsidR="00CA0E64">
              <w:rPr>
                <w:noProof/>
                <w:webHidden/>
              </w:rPr>
              <w:t>9</w:t>
            </w:r>
            <w:r>
              <w:rPr>
                <w:noProof/>
                <w:webHidden/>
              </w:rPr>
              <w:fldChar w:fldCharType="end"/>
            </w:r>
          </w:hyperlink>
        </w:p>
        <w:p w14:paraId="1E2C248E" w14:textId="4880FD80" w:rsidR="00E42B5A" w:rsidRDefault="00E42B5A" w:rsidP="00E42B5A">
          <w:r>
            <w:fldChar w:fldCharType="end"/>
          </w:r>
        </w:p>
      </w:sdtContent>
    </w:sdt>
    <w:p w14:paraId="4690F8BC" w14:textId="321A262A" w:rsidR="00A811C5" w:rsidRPr="00505E56" w:rsidRDefault="00AF26DD" w:rsidP="00505E56">
      <w:pPr>
        <w:pStyle w:val="Heading1"/>
      </w:pPr>
      <w:r w:rsidRPr="00505E56">
        <w:br w:type="page"/>
      </w:r>
      <w:bookmarkStart w:id="0" w:name="_Toc179299170"/>
      <w:r w:rsidR="00A811C5" w:rsidRPr="00505E56">
        <w:lastRenderedPageBreak/>
        <w:t>Introduction</w:t>
      </w:r>
      <w:bookmarkEnd w:id="0"/>
    </w:p>
    <w:p w14:paraId="21F39005" w14:textId="7202FFD1" w:rsidR="00B11F6A" w:rsidRPr="00B11F6A" w:rsidRDefault="00B11F6A" w:rsidP="00391437">
      <w:pPr>
        <w:rPr>
          <w:b/>
        </w:rPr>
      </w:pPr>
      <w:r w:rsidRPr="00B11F6A">
        <w:t xml:space="preserve">1.1 </w:t>
      </w:r>
      <w:r w:rsidR="00DA0C04">
        <w:tab/>
      </w:r>
      <w:r w:rsidRPr="00B11F6A">
        <w:t xml:space="preserve">This policy applies to all Higher Education courses within Hull College. It applies to all qualifications validated within Hull College awarding powers and Higher Nationals awarded by Pearson. For qualifications validated by other awarding bodies, but taught at a Hull College campus, this Code of Practice broadly sets out the process of managing academic </w:t>
      </w:r>
      <w:r w:rsidR="0052627E">
        <w:t>integrity</w:t>
      </w:r>
      <w:r w:rsidRPr="00B11F6A">
        <w:t xml:space="preserve"> and how Hull College will implement and apply the regulations of the relevant awarding body. Please refer to your programme handbook for clarification of the awarding body concerned.  </w:t>
      </w:r>
    </w:p>
    <w:p w14:paraId="17E8DA26" w14:textId="540BCD02" w:rsidR="00B11F6A" w:rsidRPr="00B11F6A" w:rsidRDefault="00B11F6A" w:rsidP="00391437">
      <w:pPr>
        <w:rPr>
          <w:b/>
        </w:rPr>
      </w:pPr>
    </w:p>
    <w:p w14:paraId="5B059E79" w14:textId="63C4A376" w:rsidR="00B11F6A" w:rsidRPr="00B11F6A" w:rsidRDefault="00B11F6A" w:rsidP="00391437">
      <w:pPr>
        <w:rPr>
          <w:b/>
        </w:rPr>
      </w:pPr>
      <w:r w:rsidRPr="00B11F6A">
        <w:t xml:space="preserve">1.2 </w:t>
      </w:r>
      <w:r w:rsidR="00CD3FC9">
        <w:tab/>
      </w:r>
      <w:r w:rsidRPr="00B11F6A">
        <w:t xml:space="preserve">This Code of Practice makes clear the Hull College’s expectation regarding conduct in summative assessment relating specifically to academic misconduct. Summative assessment within this Code means any form of assessment that contributes to the final mark of a module and excludes draft/formative work.   </w:t>
      </w:r>
    </w:p>
    <w:p w14:paraId="019D6A6B" w14:textId="77777777" w:rsidR="00B11F6A" w:rsidRPr="00B11F6A" w:rsidRDefault="00B11F6A" w:rsidP="00391437">
      <w:pPr>
        <w:rPr>
          <w:b/>
        </w:rPr>
      </w:pPr>
      <w:r w:rsidRPr="00B11F6A">
        <w:t xml:space="preserve"> </w:t>
      </w:r>
    </w:p>
    <w:p w14:paraId="0F0831E9" w14:textId="796884E5" w:rsidR="00B11F6A" w:rsidRPr="00B11F6A" w:rsidRDefault="00B11F6A" w:rsidP="00391437">
      <w:pPr>
        <w:rPr>
          <w:b/>
        </w:rPr>
      </w:pPr>
      <w:r w:rsidRPr="00B11F6A">
        <w:t xml:space="preserve">1.3 </w:t>
      </w:r>
      <w:r w:rsidR="00CD3FC9">
        <w:tab/>
      </w:r>
      <w:r w:rsidRPr="00B11F6A">
        <w:t xml:space="preserve">The Code details the procedures that must be followed in cases of academic misconduct, meaning acts committed whereby an individual may have attempted or obtained for themselves or for another, an unpermitted advantage. Academic Misconduct cases at Hull College follow civil standards of evidence when making decisions on cautions and penalties.  </w:t>
      </w:r>
    </w:p>
    <w:p w14:paraId="486F8379" w14:textId="77777777" w:rsidR="00B11F6A" w:rsidRPr="00B11F6A" w:rsidRDefault="00B11F6A" w:rsidP="00391437">
      <w:pPr>
        <w:rPr>
          <w:b/>
        </w:rPr>
      </w:pPr>
      <w:r w:rsidRPr="00B11F6A">
        <w:t xml:space="preserve"> </w:t>
      </w:r>
    </w:p>
    <w:p w14:paraId="79139767" w14:textId="39BF508F" w:rsidR="00B11F6A" w:rsidRPr="00B11F6A" w:rsidRDefault="00B11F6A" w:rsidP="00391437">
      <w:pPr>
        <w:rPr>
          <w:b/>
        </w:rPr>
      </w:pPr>
      <w:r w:rsidRPr="00B11F6A">
        <w:t xml:space="preserve">1.4 </w:t>
      </w:r>
      <w:r w:rsidR="00CD3FC9">
        <w:tab/>
      </w:r>
      <w:r w:rsidRPr="00B11F6A">
        <w:t xml:space="preserve">The Code governs matters relating to the criteria and decisions for issuing cautions or penalties for cases of proven academic misconduct practice for Hull College Awards and Pearson Edexcel awards. </w:t>
      </w:r>
    </w:p>
    <w:p w14:paraId="7FA435DD" w14:textId="77777777" w:rsidR="00B11F6A" w:rsidRPr="00B11F6A" w:rsidRDefault="00B11F6A" w:rsidP="00391437">
      <w:pPr>
        <w:rPr>
          <w:b/>
        </w:rPr>
      </w:pPr>
      <w:r w:rsidRPr="00B11F6A">
        <w:t xml:space="preserve"> </w:t>
      </w:r>
    </w:p>
    <w:p w14:paraId="59B34B68" w14:textId="7B825217" w:rsidR="00B11F6A" w:rsidRPr="00B11F6A" w:rsidRDefault="00B11F6A" w:rsidP="00391437">
      <w:pPr>
        <w:rPr>
          <w:b/>
        </w:rPr>
      </w:pPr>
      <w:r w:rsidRPr="00B11F6A">
        <w:t xml:space="preserve">1.5 </w:t>
      </w:r>
      <w:r w:rsidR="00CD3FC9">
        <w:tab/>
      </w:r>
      <w:r w:rsidRPr="00B11F6A">
        <w:t xml:space="preserve">The Code does not govern matters relating to the criteria and decisions for issuing cautions or penalties for cases of proven academic misconduct practice for programmes awarded by University of Hull or the University of Huddersfield; in every instance the relevant University’s regulation and/or code of practice will be applied. </w:t>
      </w:r>
    </w:p>
    <w:p w14:paraId="4E60B2D1" w14:textId="22EE0553" w:rsidR="00B11F6A" w:rsidRPr="00B11F6A" w:rsidRDefault="00B11F6A" w:rsidP="00391437">
      <w:pPr>
        <w:rPr>
          <w:b/>
        </w:rPr>
      </w:pPr>
    </w:p>
    <w:p w14:paraId="6EB8D430" w14:textId="153754A5" w:rsidR="00B11F6A" w:rsidRPr="00B11F6A" w:rsidRDefault="00B11F6A" w:rsidP="00391437">
      <w:pPr>
        <w:rPr>
          <w:b/>
        </w:rPr>
      </w:pPr>
      <w:r w:rsidRPr="00B11F6A">
        <w:t xml:space="preserve">1.6 </w:t>
      </w:r>
      <w:r w:rsidR="00B34566">
        <w:tab/>
      </w:r>
      <w:r w:rsidRPr="00B11F6A">
        <w:t>A report will be made of trends, outcomes and proposed enhancements for Academic Misconduct into the Academic Quality and Standards Committee</w:t>
      </w:r>
      <w:r w:rsidR="00B34566">
        <w:t xml:space="preserve"> </w:t>
      </w:r>
      <w:r w:rsidRPr="00B11F6A">
        <w:t xml:space="preserve">(AQS).  </w:t>
      </w:r>
    </w:p>
    <w:p w14:paraId="43B13497" w14:textId="77777777" w:rsidR="00B11F6A" w:rsidRPr="00B11F6A" w:rsidRDefault="00B11F6A" w:rsidP="00391437">
      <w:pPr>
        <w:rPr>
          <w:b/>
        </w:rPr>
      </w:pPr>
      <w:r w:rsidRPr="00B11F6A">
        <w:t xml:space="preserve"> </w:t>
      </w:r>
    </w:p>
    <w:p w14:paraId="003B6824" w14:textId="13B4AC01" w:rsidR="00B11F6A" w:rsidRPr="00B11F6A" w:rsidRDefault="00B11F6A" w:rsidP="00391437">
      <w:pPr>
        <w:rPr>
          <w:b/>
        </w:rPr>
      </w:pPr>
      <w:r w:rsidRPr="00B11F6A">
        <w:t xml:space="preserve">1.7 </w:t>
      </w:r>
      <w:r w:rsidR="00B34566">
        <w:tab/>
      </w:r>
      <w:r w:rsidRPr="00B11F6A">
        <w:t xml:space="preserve">All cases must be logged with the HE Registry HERegistry@hull-college.ac.uk who will liaise with the relevant college management about the way forward. </w:t>
      </w:r>
    </w:p>
    <w:p w14:paraId="0216D40C" w14:textId="0F0407B9" w:rsidR="00B11F6A" w:rsidRPr="00B11F6A" w:rsidRDefault="00B11F6A" w:rsidP="00391437">
      <w:pPr>
        <w:ind w:left="1152"/>
        <w:rPr>
          <w:b/>
        </w:rPr>
      </w:pPr>
      <w:r w:rsidRPr="00B11F6A">
        <w:t xml:space="preserve">1.7.1 </w:t>
      </w:r>
      <w:r w:rsidR="00B34566">
        <w:tab/>
      </w:r>
      <w:r w:rsidRPr="00B11F6A">
        <w:t xml:space="preserve">All investigations for Hull College Awards will be led by HE REGISTRY with independent academic panel members drawn from the college who submitted the case for review.   </w:t>
      </w:r>
    </w:p>
    <w:p w14:paraId="40D16EDB" w14:textId="28A8F1EA" w:rsidR="00B11F6A" w:rsidRPr="00B11F6A" w:rsidRDefault="00B11F6A" w:rsidP="00391437">
      <w:pPr>
        <w:ind w:left="1152"/>
        <w:rPr>
          <w:b/>
        </w:rPr>
      </w:pPr>
      <w:r w:rsidRPr="00B11F6A">
        <w:t xml:space="preserve">1.7.2 </w:t>
      </w:r>
      <w:r w:rsidR="00B34566">
        <w:tab/>
      </w:r>
      <w:r w:rsidRPr="00B11F6A">
        <w:t xml:space="preserve">The investigations for </w:t>
      </w:r>
      <w:proofErr w:type="gramStart"/>
      <w:r w:rsidRPr="00B11F6A">
        <w:t>University</w:t>
      </w:r>
      <w:proofErr w:type="gramEnd"/>
      <w:r w:rsidRPr="00B11F6A">
        <w:t xml:space="preserve"> partner awards and Pearson awards are managed by the campus at which they occur with support from HE REGISTRY where this is requested. </w:t>
      </w:r>
    </w:p>
    <w:p w14:paraId="3D96AD00" w14:textId="77777777" w:rsidR="00B11F6A" w:rsidRPr="00B11F6A" w:rsidRDefault="00B11F6A" w:rsidP="00391437">
      <w:pPr>
        <w:rPr>
          <w:b/>
        </w:rPr>
      </w:pPr>
      <w:r w:rsidRPr="00B11F6A">
        <w:t xml:space="preserve"> </w:t>
      </w:r>
    </w:p>
    <w:p w14:paraId="5877B0AA" w14:textId="06B6ECDA" w:rsidR="00B11F6A" w:rsidRPr="00B11F6A" w:rsidRDefault="00B11F6A" w:rsidP="00391437">
      <w:pPr>
        <w:rPr>
          <w:b/>
        </w:rPr>
      </w:pPr>
      <w:r w:rsidRPr="00B11F6A">
        <w:t xml:space="preserve">1.8 </w:t>
      </w:r>
      <w:r w:rsidR="00B34566">
        <w:tab/>
      </w:r>
      <w:r w:rsidRPr="00B11F6A">
        <w:t xml:space="preserve">All outcomes for Academic Misconduct must be logged by HE REGISTRY and reported within the deliberative committee structures. </w:t>
      </w:r>
    </w:p>
    <w:p w14:paraId="0CBE5EB3" w14:textId="77777777" w:rsidR="00B34566" w:rsidRDefault="00B34566" w:rsidP="00391437">
      <w:pPr>
        <w:rPr>
          <w:b/>
        </w:rPr>
      </w:pPr>
    </w:p>
    <w:p w14:paraId="02C15788" w14:textId="781CF354" w:rsidR="00B11F6A" w:rsidRPr="00B34566" w:rsidRDefault="00B11F6A" w:rsidP="00B34566">
      <w:pPr>
        <w:pStyle w:val="Heading1"/>
      </w:pPr>
      <w:bookmarkStart w:id="1" w:name="_Toc179299171"/>
      <w:r w:rsidRPr="00B34566">
        <w:t xml:space="preserve">Academic </w:t>
      </w:r>
      <w:r w:rsidR="0052627E">
        <w:t>Integrity</w:t>
      </w:r>
      <w:r w:rsidR="0052627E" w:rsidRPr="00B34566">
        <w:t xml:space="preserve"> </w:t>
      </w:r>
      <w:r w:rsidRPr="00B34566">
        <w:t>Definitions and Processes</w:t>
      </w:r>
      <w:bookmarkEnd w:id="1"/>
      <w:r w:rsidRPr="00B34566">
        <w:t xml:space="preserve"> </w:t>
      </w:r>
    </w:p>
    <w:p w14:paraId="4E47B3DA" w14:textId="75B73EE0" w:rsidR="00B11F6A" w:rsidRDefault="00B11F6A" w:rsidP="00391437">
      <w:r w:rsidRPr="00B11F6A">
        <w:t xml:space="preserve">2.1 </w:t>
      </w:r>
      <w:r w:rsidR="00B34566">
        <w:tab/>
      </w:r>
      <w:r w:rsidRPr="00B11F6A">
        <w:t xml:space="preserve">Academic </w:t>
      </w:r>
      <w:r w:rsidR="00E31B41">
        <w:t>integrity</w:t>
      </w:r>
      <w:r w:rsidR="00E31B41" w:rsidRPr="00B11F6A">
        <w:t xml:space="preserve"> </w:t>
      </w:r>
      <w:r w:rsidRPr="00B11F6A">
        <w:t xml:space="preserve">is defined as any student conduct (successfully or unsuccessfully attempted; carried out alone or in collusion with others) that may lead to an unfair advantage over another. Academic Misconduct can take many forms. In its most simple sense, it can be defined as the absence of quotation marks and inadequate acknowledgement of sources and authorities in text and/or reference notes in bibliographies or lists of sources. </w:t>
      </w:r>
    </w:p>
    <w:p w14:paraId="666433D2" w14:textId="77777777" w:rsidR="0052627E" w:rsidRDefault="0052627E" w:rsidP="00391437">
      <w:r>
        <w:tab/>
      </w:r>
    </w:p>
    <w:p w14:paraId="2E0CBB0C" w14:textId="5EB848D2" w:rsidR="0052627E" w:rsidRDefault="00CA0E64" w:rsidP="00173C2D">
      <w:r>
        <w:tab/>
      </w:r>
      <w:r w:rsidR="0052627E">
        <w:t>Academic integrity is underpinned by a set of values which includes:</w:t>
      </w:r>
    </w:p>
    <w:p w14:paraId="6482DAA0" w14:textId="131CF1AF" w:rsidR="0052627E" w:rsidRPr="00173C2D" w:rsidRDefault="0052627E" w:rsidP="00CA0E64">
      <w:pPr>
        <w:pStyle w:val="ListParagraph"/>
        <w:numPr>
          <w:ilvl w:val="0"/>
          <w:numId w:val="55"/>
        </w:numPr>
        <w:ind w:left="936"/>
        <w:rPr>
          <w:bCs/>
        </w:rPr>
      </w:pPr>
      <w:r w:rsidRPr="002A0677">
        <w:rPr>
          <w:bCs/>
        </w:rPr>
        <w:t>Accuracy (</w:t>
      </w:r>
      <w:r w:rsidRPr="00173C2D">
        <w:rPr>
          <w:bCs/>
        </w:rPr>
        <w:t>to provide confidence to other that may use the information)</w:t>
      </w:r>
    </w:p>
    <w:p w14:paraId="587083A4" w14:textId="7700D014" w:rsidR="0052627E" w:rsidRPr="00173C2D" w:rsidRDefault="0052627E" w:rsidP="00CA0E64">
      <w:pPr>
        <w:pStyle w:val="ListParagraph"/>
        <w:numPr>
          <w:ilvl w:val="0"/>
          <w:numId w:val="55"/>
        </w:numPr>
        <w:ind w:left="936"/>
        <w:rPr>
          <w:bCs/>
        </w:rPr>
      </w:pPr>
      <w:r w:rsidRPr="00173C2D">
        <w:rPr>
          <w:bCs/>
        </w:rPr>
        <w:t>Ethical behaviour (adhering to the values of academic integrity fully whilst respecting others)</w:t>
      </w:r>
    </w:p>
    <w:p w14:paraId="37370C40" w14:textId="7D62C3AF" w:rsidR="0052627E" w:rsidRPr="00173C2D" w:rsidRDefault="0052627E" w:rsidP="00CA0E64">
      <w:pPr>
        <w:pStyle w:val="ListParagraph"/>
        <w:numPr>
          <w:ilvl w:val="0"/>
          <w:numId w:val="55"/>
        </w:numPr>
        <w:ind w:left="936"/>
        <w:rPr>
          <w:bCs/>
        </w:rPr>
      </w:pPr>
      <w:r w:rsidRPr="00173C2D">
        <w:rPr>
          <w:bCs/>
        </w:rPr>
        <w:t>Fairness (not misusing information or materials that may have been developed by others and treating all individuals fairly without discrimination)</w:t>
      </w:r>
    </w:p>
    <w:p w14:paraId="50FA12A6" w14:textId="3C4583E2" w:rsidR="0052627E" w:rsidRPr="00173C2D" w:rsidRDefault="0052627E" w:rsidP="00CA0E64">
      <w:pPr>
        <w:pStyle w:val="ListParagraph"/>
        <w:numPr>
          <w:ilvl w:val="0"/>
          <w:numId w:val="55"/>
        </w:numPr>
        <w:ind w:left="936"/>
        <w:rPr>
          <w:bCs/>
        </w:rPr>
      </w:pPr>
      <w:r w:rsidRPr="00173C2D">
        <w:rPr>
          <w:bCs/>
        </w:rPr>
        <w:t>Honesty (being truthful in all academic endeavours, submitting original work whilst acknowledging sources and other contributions appropriately)</w:t>
      </w:r>
    </w:p>
    <w:p w14:paraId="1C2CD528" w14:textId="77777777" w:rsidR="0052627E" w:rsidRPr="00173C2D" w:rsidRDefault="0052627E" w:rsidP="00CA0E64">
      <w:pPr>
        <w:pStyle w:val="ListParagraph"/>
        <w:numPr>
          <w:ilvl w:val="0"/>
          <w:numId w:val="55"/>
        </w:numPr>
        <w:ind w:left="936"/>
        <w:rPr>
          <w:bCs/>
        </w:rPr>
      </w:pPr>
      <w:r w:rsidRPr="00173C2D">
        <w:rPr>
          <w:bCs/>
        </w:rPr>
        <w:lastRenderedPageBreak/>
        <w:t>Responsibility (being personally responsible for determining validity &amp; credibility of source information and data used, applying ethical procedures to the presentation and use of this information)</w:t>
      </w:r>
    </w:p>
    <w:p w14:paraId="51E14E7E" w14:textId="19BA78A1" w:rsidR="0052627E" w:rsidRPr="00173C2D" w:rsidRDefault="00173C2D" w:rsidP="00CA0E64">
      <w:pPr>
        <w:pStyle w:val="ListParagraph"/>
        <w:numPr>
          <w:ilvl w:val="0"/>
          <w:numId w:val="55"/>
        </w:numPr>
        <w:ind w:left="936"/>
        <w:rPr>
          <w:bCs/>
        </w:rPr>
      </w:pPr>
      <w:r w:rsidRPr="00173C2D">
        <w:rPr>
          <w:bCs/>
        </w:rPr>
        <w:t>Rigour</w:t>
      </w:r>
      <w:r w:rsidR="0052627E" w:rsidRPr="00173C2D">
        <w:rPr>
          <w:bCs/>
        </w:rPr>
        <w:t xml:space="preserve"> (rigorously ensure that suitable protocols, </w:t>
      </w:r>
      <w:r w:rsidR="00BC659E" w:rsidRPr="00173C2D">
        <w:rPr>
          <w:bCs/>
        </w:rPr>
        <w:t>standards</w:t>
      </w:r>
      <w:r w:rsidR="0052627E" w:rsidRPr="00173C2D">
        <w:rPr>
          <w:bCs/>
        </w:rPr>
        <w:t xml:space="preserve"> and frameworks are adhered to</w:t>
      </w:r>
      <w:r w:rsidR="00BC659E" w:rsidRPr="00173C2D">
        <w:rPr>
          <w:bCs/>
        </w:rPr>
        <w:t xml:space="preserve">, and due care is applied when interpreting, communicating and presenting information) </w:t>
      </w:r>
      <w:r w:rsidR="0052627E" w:rsidRPr="00173C2D">
        <w:rPr>
          <w:bCs/>
        </w:rPr>
        <w:t xml:space="preserve">  </w:t>
      </w:r>
    </w:p>
    <w:p w14:paraId="2FCB9BEC" w14:textId="77777777" w:rsidR="00B11F6A" w:rsidRPr="00B11F6A" w:rsidRDefault="00B11F6A" w:rsidP="00173C2D">
      <w:pPr>
        <w:rPr>
          <w:b/>
        </w:rPr>
      </w:pPr>
      <w:r w:rsidRPr="00B11F6A">
        <w:t xml:space="preserve"> </w:t>
      </w:r>
    </w:p>
    <w:p w14:paraId="31298287" w14:textId="6BDFCF29" w:rsidR="00B11F6A" w:rsidRPr="00B11F6A" w:rsidRDefault="00B11F6A" w:rsidP="00391437">
      <w:pPr>
        <w:rPr>
          <w:b/>
        </w:rPr>
      </w:pPr>
      <w:r w:rsidRPr="00B11F6A">
        <w:t xml:space="preserve">2.2 </w:t>
      </w:r>
      <w:r w:rsidR="00B34566">
        <w:tab/>
      </w:r>
      <w:r w:rsidRPr="00B11F6A">
        <w:t xml:space="preserve">Whilst not an exhaustive list, the following provides examples of academic misconduct: </w:t>
      </w:r>
    </w:p>
    <w:p w14:paraId="20814E0F" w14:textId="6033DAE9" w:rsidR="00B11F6A" w:rsidRPr="00B11F6A" w:rsidRDefault="00B11F6A" w:rsidP="00391437">
      <w:pPr>
        <w:ind w:left="936" w:hanging="360"/>
        <w:rPr>
          <w:b/>
        </w:rPr>
      </w:pPr>
      <w:proofErr w:type="spellStart"/>
      <w:r w:rsidRPr="00B11F6A">
        <w:t>i</w:t>
      </w:r>
      <w:proofErr w:type="spellEnd"/>
      <w:r w:rsidRPr="00B11F6A">
        <w:t xml:space="preserve">) </w:t>
      </w:r>
      <w:r w:rsidR="00B34566">
        <w:tab/>
      </w:r>
      <w:r w:rsidRPr="00B11F6A">
        <w:t xml:space="preserve">‘cheating’ in an examination by possessing and/or using unauthorised materials in the examination room (once a student has officially entered the room regardless as to whether the exam has started) such as a book, manuscripts, data or loose papers, information obtained from an electronic device or any other source of prohibited information </w:t>
      </w:r>
    </w:p>
    <w:p w14:paraId="1B9C6733" w14:textId="40621894" w:rsidR="00B11F6A" w:rsidRPr="00B11F6A" w:rsidRDefault="00B11F6A" w:rsidP="00391437">
      <w:pPr>
        <w:ind w:left="936" w:hanging="360"/>
        <w:rPr>
          <w:b/>
        </w:rPr>
      </w:pPr>
      <w:r w:rsidRPr="00B11F6A">
        <w:t xml:space="preserve">ii) </w:t>
      </w:r>
      <w:r w:rsidR="00B34566">
        <w:tab/>
      </w:r>
      <w:r w:rsidRPr="00B11F6A">
        <w:t xml:space="preserve">impersonating a candidate or allowing oneself to be impersonated during an examination, assessment or other related event </w:t>
      </w:r>
    </w:p>
    <w:p w14:paraId="5A2FC985" w14:textId="0E55A9E1" w:rsidR="00B11F6A" w:rsidRPr="00B11F6A" w:rsidRDefault="00B11F6A" w:rsidP="00391437">
      <w:pPr>
        <w:ind w:left="936" w:hanging="360"/>
        <w:rPr>
          <w:b/>
        </w:rPr>
      </w:pPr>
      <w:r w:rsidRPr="00B11F6A">
        <w:t xml:space="preserve">iii) </w:t>
      </w:r>
      <w:r w:rsidR="00B34566">
        <w:tab/>
      </w:r>
      <w:r w:rsidRPr="00B11F6A">
        <w:t xml:space="preserve">collusion (some assessments require students to work together. However, collusion occurs where the assessment submitted involves two or more students working together without tutor authorisation and where a student submits the work as their own without acknowledging the contribution of others) </w:t>
      </w:r>
    </w:p>
    <w:p w14:paraId="7652E3C8" w14:textId="0762D47D" w:rsidR="00B11F6A" w:rsidRPr="00B11F6A" w:rsidRDefault="00B11F6A" w:rsidP="00391437">
      <w:pPr>
        <w:ind w:left="936" w:hanging="360"/>
        <w:rPr>
          <w:b/>
        </w:rPr>
      </w:pPr>
      <w:r w:rsidRPr="00B11F6A">
        <w:t xml:space="preserve">iv) </w:t>
      </w:r>
      <w:r w:rsidR="00B34566">
        <w:tab/>
      </w:r>
      <w:r w:rsidRPr="00B11F6A">
        <w:t xml:space="preserve">conspiring with another or others to have work completed including offering work, whether for sale or not, for use by another without acknowledgement </w:t>
      </w:r>
    </w:p>
    <w:p w14:paraId="64F96225" w14:textId="757E7847" w:rsidR="00B11F6A" w:rsidRPr="00B11F6A" w:rsidRDefault="00B11F6A" w:rsidP="00391437">
      <w:pPr>
        <w:ind w:left="936" w:hanging="360"/>
        <w:rPr>
          <w:b/>
        </w:rPr>
      </w:pPr>
      <w:r w:rsidRPr="00B11F6A">
        <w:t xml:space="preserve">v) </w:t>
      </w:r>
      <w:r w:rsidR="00B34566">
        <w:tab/>
      </w:r>
      <w:r w:rsidRPr="00B11F6A">
        <w:t>falsifying laboratory, field-work, research or other forms of data collection and analysis</w:t>
      </w:r>
    </w:p>
    <w:p w14:paraId="4E371443" w14:textId="0FD936D4" w:rsidR="00B11F6A" w:rsidRPr="00B11F6A" w:rsidRDefault="00B11F6A" w:rsidP="00391437">
      <w:pPr>
        <w:ind w:left="936" w:hanging="360"/>
        <w:rPr>
          <w:b/>
        </w:rPr>
      </w:pPr>
      <w:r w:rsidRPr="00B11F6A">
        <w:t xml:space="preserve">vi) </w:t>
      </w:r>
      <w:r w:rsidR="00B34566">
        <w:tab/>
      </w:r>
      <w:r w:rsidRPr="00B11F6A">
        <w:t xml:space="preserve">falsifying work-based learning logs, records, statements or reports </w:t>
      </w:r>
    </w:p>
    <w:p w14:paraId="32111A9E" w14:textId="2DFC2060" w:rsidR="00B11F6A" w:rsidRPr="00B11F6A" w:rsidRDefault="00B11F6A" w:rsidP="00391437">
      <w:pPr>
        <w:ind w:left="936" w:hanging="360"/>
        <w:rPr>
          <w:b/>
        </w:rPr>
      </w:pPr>
      <w:r w:rsidRPr="00B11F6A">
        <w:t xml:space="preserve">vii) submitting work for assessment which is substantially the same work as submitted for a previous assessment (sometimes referred to as ‘self-plagiarism’) </w:t>
      </w:r>
    </w:p>
    <w:p w14:paraId="5536F5CA" w14:textId="77777777" w:rsidR="00B11F6A" w:rsidRPr="00B11F6A" w:rsidRDefault="00B11F6A" w:rsidP="00391437">
      <w:pPr>
        <w:ind w:left="936" w:hanging="360"/>
        <w:rPr>
          <w:b/>
        </w:rPr>
      </w:pPr>
      <w:r w:rsidRPr="00B11F6A">
        <w:t xml:space="preserve">viii) using false statements, or presenting false evidence, in support of mitigating circumstances, a request to withdraw from an examination, obtain an assessment extension, or explain any form of absence or default </w:t>
      </w:r>
    </w:p>
    <w:p w14:paraId="388030C8" w14:textId="3C72D55F" w:rsidR="00B11F6A" w:rsidRPr="00B11F6A" w:rsidRDefault="00B11F6A" w:rsidP="00391437">
      <w:pPr>
        <w:ind w:left="936" w:hanging="360"/>
        <w:rPr>
          <w:b/>
        </w:rPr>
      </w:pPr>
      <w:r w:rsidRPr="00B11F6A">
        <w:t xml:space="preserve">ix) </w:t>
      </w:r>
      <w:r w:rsidR="00B34566">
        <w:tab/>
      </w:r>
      <w:r w:rsidRPr="00B11F6A">
        <w:t xml:space="preserve">falsifying a transcript or other official document  </w:t>
      </w:r>
    </w:p>
    <w:p w14:paraId="28DC3FCD" w14:textId="1C7076D4" w:rsidR="00B11F6A" w:rsidRPr="00B11F6A" w:rsidRDefault="00B11F6A" w:rsidP="00391437">
      <w:pPr>
        <w:ind w:left="936" w:hanging="360"/>
        <w:rPr>
          <w:b/>
        </w:rPr>
      </w:pPr>
      <w:r w:rsidRPr="00B11F6A">
        <w:t xml:space="preserve">x) </w:t>
      </w:r>
      <w:r w:rsidR="00B34566">
        <w:tab/>
      </w:r>
      <w:r w:rsidRPr="00B11F6A">
        <w:t>contract cheating (engaging a third party to complete assessments) including the use of AI tools such as ChatGPT</w:t>
      </w:r>
    </w:p>
    <w:p w14:paraId="24885877" w14:textId="77777777" w:rsidR="00B11F6A" w:rsidRPr="00B11F6A" w:rsidRDefault="00B11F6A" w:rsidP="00391437">
      <w:pPr>
        <w:rPr>
          <w:b/>
        </w:rPr>
      </w:pPr>
      <w:r w:rsidRPr="00B11F6A">
        <w:t xml:space="preserve"> </w:t>
      </w:r>
    </w:p>
    <w:p w14:paraId="1DB6A187" w14:textId="218B6A46" w:rsidR="00B11F6A" w:rsidRPr="00B11F6A" w:rsidRDefault="00B11F6A" w:rsidP="00391437">
      <w:pPr>
        <w:rPr>
          <w:b/>
        </w:rPr>
      </w:pPr>
      <w:r w:rsidRPr="00B11F6A">
        <w:t xml:space="preserve">2.3 </w:t>
      </w:r>
      <w:r w:rsidR="00B34566">
        <w:tab/>
      </w:r>
      <w:r w:rsidRPr="00B11F6A">
        <w:t xml:space="preserve">Plagiarism can exist in differing forms. Whilst not an exhaustive list, the following examples illustrate the varying forms of plagiarism. </w:t>
      </w:r>
    </w:p>
    <w:p w14:paraId="23A9681A" w14:textId="77DD18A7" w:rsidR="00B11F6A" w:rsidRPr="00A3102A" w:rsidRDefault="00B11F6A" w:rsidP="00A3102A">
      <w:pPr>
        <w:pStyle w:val="ListParagraph"/>
        <w:numPr>
          <w:ilvl w:val="0"/>
          <w:numId w:val="42"/>
        </w:numPr>
        <w:ind w:left="936"/>
        <w:rPr>
          <w:b/>
        </w:rPr>
      </w:pPr>
      <w:r w:rsidRPr="00B11F6A">
        <w:t xml:space="preserve">Unacknowledged verbatim copying throughout. </w:t>
      </w:r>
    </w:p>
    <w:p w14:paraId="6D0E81B3" w14:textId="77777777" w:rsidR="00615AD7" w:rsidRPr="00A3102A" w:rsidRDefault="00B11F6A" w:rsidP="00A3102A">
      <w:pPr>
        <w:pStyle w:val="ListParagraph"/>
        <w:numPr>
          <w:ilvl w:val="0"/>
          <w:numId w:val="42"/>
        </w:numPr>
        <w:ind w:left="936"/>
        <w:rPr>
          <w:b/>
        </w:rPr>
      </w:pPr>
      <w:r w:rsidRPr="00B11F6A">
        <w:t xml:space="preserve">Unacknowledged verbatim copying with occasional alteration of word order, omission of words, phrases or sentences, and insertion of linking words or phrases, over a paragraph or section of a paragraph, or a number of paragraphs. This method is sometimes referred to as ‘paraphrasing’.  </w:t>
      </w:r>
    </w:p>
    <w:p w14:paraId="51F60A8F" w14:textId="77777777" w:rsidR="00615AD7" w:rsidRPr="00A3102A" w:rsidRDefault="00B11F6A" w:rsidP="00A3102A">
      <w:pPr>
        <w:pStyle w:val="ListParagraph"/>
        <w:numPr>
          <w:ilvl w:val="0"/>
          <w:numId w:val="42"/>
        </w:numPr>
        <w:ind w:left="936"/>
        <w:rPr>
          <w:b/>
        </w:rPr>
      </w:pPr>
      <w:r w:rsidRPr="00B11F6A">
        <w:t xml:space="preserve">Paraphrasing which includes unacknowledged verbatim phrases from the other text or texts. </w:t>
      </w:r>
    </w:p>
    <w:p w14:paraId="106CC818" w14:textId="126BF080" w:rsidR="00B11F6A" w:rsidRPr="00A3102A" w:rsidRDefault="00B11F6A" w:rsidP="00A3102A">
      <w:pPr>
        <w:pStyle w:val="ListParagraph"/>
        <w:numPr>
          <w:ilvl w:val="0"/>
          <w:numId w:val="42"/>
        </w:numPr>
        <w:ind w:left="936"/>
        <w:rPr>
          <w:b/>
        </w:rPr>
      </w:pPr>
      <w:r w:rsidRPr="00615AD7">
        <w:t xml:space="preserve">Substantial and unauthorised use of another person’s ideas without acknowledgement. </w:t>
      </w:r>
    </w:p>
    <w:p w14:paraId="3844F9E4" w14:textId="66FFE24B" w:rsidR="00B11F6A" w:rsidRPr="00B11F6A" w:rsidRDefault="00B11F6A" w:rsidP="00391437">
      <w:pPr>
        <w:rPr>
          <w:b/>
        </w:rPr>
      </w:pPr>
    </w:p>
    <w:p w14:paraId="49336A02" w14:textId="7282D38A" w:rsidR="00B11F6A" w:rsidRPr="00B11F6A" w:rsidRDefault="00B11F6A" w:rsidP="00391437">
      <w:pPr>
        <w:rPr>
          <w:b/>
        </w:rPr>
      </w:pPr>
      <w:r w:rsidRPr="00B11F6A">
        <w:t xml:space="preserve">2.4 </w:t>
      </w:r>
      <w:r w:rsidR="00B70870">
        <w:tab/>
      </w:r>
      <w:r w:rsidRPr="00B11F6A">
        <w:t xml:space="preserve">Academic Misconduct at Hull College will operate based on the following model of Developmental Engagement and Academic Misconduct Boards. A student can enter the process at any stage, depending on the severity of the allegation. </w:t>
      </w:r>
    </w:p>
    <w:p w14:paraId="662ADFFC" w14:textId="77777777" w:rsidR="00B11F6A" w:rsidRPr="00A3102A" w:rsidRDefault="00B11F6A" w:rsidP="00A3102A">
      <w:pPr>
        <w:pStyle w:val="ListParagraph"/>
        <w:numPr>
          <w:ilvl w:val="0"/>
          <w:numId w:val="43"/>
        </w:numPr>
        <w:ind w:left="936"/>
        <w:rPr>
          <w:b/>
        </w:rPr>
      </w:pPr>
      <w:r w:rsidRPr="00B11F6A">
        <w:t xml:space="preserve">Developmental Engagement - this is where there is minimal academic misconduct or there is difficultly proving the case. This is a developmental process to provide students with a SMART action plan to access support and guidance for further study skills. This is completed by the tutor of form HE11B Developmental Engagement Form. No Penalty can be issued. Developmental Engagement only applies to Hull College and Pearson Awards. </w:t>
      </w:r>
    </w:p>
    <w:p w14:paraId="0AEE9DCD" w14:textId="15A906F0" w:rsidR="00E31B41" w:rsidRPr="002A0677" w:rsidRDefault="00B11F6A" w:rsidP="00E31B41">
      <w:pPr>
        <w:pStyle w:val="ListParagraph"/>
        <w:numPr>
          <w:ilvl w:val="0"/>
          <w:numId w:val="43"/>
        </w:numPr>
        <w:ind w:left="936"/>
        <w:rPr>
          <w:b/>
        </w:rPr>
      </w:pPr>
      <w:r w:rsidRPr="00B11F6A">
        <w:t xml:space="preserve">Academic Misconduct Panel - these are held after cases have been referred to the HE Quality Officer on form HE11A to HERegistry@hull-college.ac.uk. These are formal panels which have the powers to determine that academic misconduct has taken place and to award penalties to students. For Hull College and Pearson Awards this code of practice defines the penalties. For partner Universities, including the University of </w:t>
      </w:r>
      <w:r w:rsidR="0073642A" w:rsidRPr="00B11F6A">
        <w:t>Hull</w:t>
      </w:r>
      <w:r w:rsidRPr="00B11F6A">
        <w:t xml:space="preserve"> and the University of Huddersfield the relevant University regulation must be used.</w:t>
      </w:r>
    </w:p>
    <w:p w14:paraId="07E32D65" w14:textId="5499212C" w:rsidR="00975640" w:rsidRDefault="00E31B41" w:rsidP="002A0677">
      <w:r>
        <w:lastRenderedPageBreak/>
        <w:t>2.5</w:t>
      </w:r>
      <w:r>
        <w:tab/>
        <w:t>As an organisation granted Foundation Degree awarding powers it is incumbent as a provider to encourage and support the design and implementation of valid assessments at the correct level of the Framework for Higher Education Qualifications. These will be tested using the processes set out in HE05 Validation and Assessment o</w:t>
      </w:r>
      <w:r w:rsidR="00975640">
        <w:t>f Programmes, the assessments must provide evidence that appropriate knowledge, skills and behaviours have been developed and demonstrate the overall integrity and validity of the award.</w:t>
      </w:r>
    </w:p>
    <w:p w14:paraId="0A6BBBE4" w14:textId="649F2BEF" w:rsidR="00975640" w:rsidRDefault="00975640" w:rsidP="002A0677"/>
    <w:p w14:paraId="49656EFA" w14:textId="5A94A54A" w:rsidR="00D222BC" w:rsidRPr="002A0677" w:rsidRDefault="00D222BC" w:rsidP="002A0677">
      <w:pPr>
        <w:pStyle w:val="Heading1"/>
      </w:pPr>
      <w:bookmarkStart w:id="2" w:name="_Toc179299172"/>
      <w:r w:rsidRPr="002A0677">
        <w:t>Good practice for assessments and academic integrity</w:t>
      </w:r>
      <w:bookmarkEnd w:id="2"/>
    </w:p>
    <w:p w14:paraId="0A5030C3" w14:textId="018B0C43" w:rsidR="00975640" w:rsidRDefault="00313D46" w:rsidP="002A0677">
      <w:r>
        <w:t>3.1</w:t>
      </w:r>
      <w:r w:rsidR="00975640">
        <w:tab/>
        <w:t xml:space="preserve">In developing assessment processes which embed concepts of academic integrity and promote credible and valid outcomes Hull College staff should consider the following </w:t>
      </w:r>
      <w:proofErr w:type="spellStart"/>
      <w:r w:rsidR="00975640">
        <w:t>tyoes</w:t>
      </w:r>
      <w:proofErr w:type="spellEnd"/>
      <w:r w:rsidR="00975640">
        <w:t xml:space="preserve"> of assessment listed below:</w:t>
      </w:r>
    </w:p>
    <w:p w14:paraId="711A8CDD" w14:textId="342A8403" w:rsidR="00B11F6A" w:rsidRDefault="00CA0E64" w:rsidP="002A0677">
      <w:r>
        <w:tab/>
      </w:r>
      <w:r w:rsidR="00975640">
        <w:t>Annotated bibliographies</w:t>
      </w:r>
    </w:p>
    <w:p w14:paraId="7B3EBF85" w14:textId="5E173C35" w:rsidR="00975640" w:rsidRDefault="00CA0E64" w:rsidP="002A0677">
      <w:r>
        <w:tab/>
      </w:r>
      <w:r w:rsidR="00975640">
        <w:t>Blog</w:t>
      </w:r>
    </w:p>
    <w:p w14:paraId="37AE3607" w14:textId="3C6DA448" w:rsidR="00975640" w:rsidRDefault="00CA0E64" w:rsidP="002A0677">
      <w:r>
        <w:tab/>
      </w:r>
      <w:r w:rsidR="00975640">
        <w:t>Case studies or report-based assessments</w:t>
      </w:r>
    </w:p>
    <w:p w14:paraId="16A305A3" w14:textId="55442EA1" w:rsidR="00975640" w:rsidRDefault="00CA0E64" w:rsidP="002A0677">
      <w:r>
        <w:tab/>
      </w:r>
      <w:r w:rsidR="00975640">
        <w:t>Presentations</w:t>
      </w:r>
    </w:p>
    <w:p w14:paraId="366DA059" w14:textId="33BDB37A" w:rsidR="00975640" w:rsidRDefault="00CA0E64" w:rsidP="002A0677">
      <w:r>
        <w:tab/>
      </w:r>
      <w:r w:rsidR="00975640">
        <w:t>Practical Assessments</w:t>
      </w:r>
    </w:p>
    <w:p w14:paraId="4CDFF7B2" w14:textId="0F9B12C2" w:rsidR="00975640" w:rsidRDefault="00CA0E64" w:rsidP="002A0677">
      <w:r>
        <w:tab/>
      </w:r>
      <w:r w:rsidR="00975640">
        <w:t>Primary Research assessments</w:t>
      </w:r>
    </w:p>
    <w:p w14:paraId="69F820C8" w14:textId="4B2B623C" w:rsidR="00975640" w:rsidRDefault="00CA0E64" w:rsidP="002A0677">
      <w:r>
        <w:tab/>
      </w:r>
      <w:r w:rsidR="00975640">
        <w:t>Pitch</w:t>
      </w:r>
    </w:p>
    <w:p w14:paraId="5C6F528A" w14:textId="5A6475C1" w:rsidR="00975640" w:rsidRDefault="00CA0E64" w:rsidP="002A0677">
      <w:r>
        <w:tab/>
      </w:r>
      <w:r w:rsidR="00975640">
        <w:t>Question and answer type assessments</w:t>
      </w:r>
    </w:p>
    <w:p w14:paraId="6B3A7571" w14:textId="5B0664C6" w:rsidR="00975640" w:rsidRDefault="00CA0E64" w:rsidP="002A0677">
      <w:r>
        <w:tab/>
      </w:r>
      <w:r w:rsidR="00975640">
        <w:t>Vlog/Video presentation</w:t>
      </w:r>
    </w:p>
    <w:p w14:paraId="5B4B7A0C" w14:textId="77777777" w:rsidR="00975640" w:rsidRDefault="00975640" w:rsidP="00975640">
      <w:pPr>
        <w:pStyle w:val="Heading1"/>
        <w:numPr>
          <w:ilvl w:val="0"/>
          <w:numId w:val="0"/>
        </w:numPr>
        <w:ind w:left="1152" w:hanging="576"/>
        <w:rPr>
          <w:b w:val="0"/>
          <w:bCs/>
        </w:rPr>
      </w:pPr>
    </w:p>
    <w:p w14:paraId="6D87EFC2" w14:textId="4B81230D" w:rsidR="009E63B8" w:rsidRDefault="00CA0E64" w:rsidP="002A0677">
      <w:r>
        <w:tab/>
      </w:r>
      <w:r w:rsidR="00975640">
        <w:t xml:space="preserve">Programme teams should embrace the use of AI, discussing the appropriate use with students and actively encourage the contribution that AI can make to the creation of authentic assessments. </w:t>
      </w:r>
    </w:p>
    <w:p w14:paraId="629862C4" w14:textId="77777777" w:rsidR="009E63B8" w:rsidRDefault="009E63B8" w:rsidP="002A0677"/>
    <w:p w14:paraId="4808F53B" w14:textId="087F266F" w:rsidR="000B6C99" w:rsidRDefault="00313D46" w:rsidP="002A0677">
      <w:r>
        <w:t>3.2</w:t>
      </w:r>
      <w:r w:rsidR="009E63B8">
        <w:tab/>
        <w:t xml:space="preserve">Using AI within assessments. </w:t>
      </w:r>
      <w:r w:rsidR="000B6C99">
        <w:t>Artificial</w:t>
      </w:r>
      <w:r w:rsidR="009E63B8">
        <w:t xml:space="preserve"> intelligence </w:t>
      </w:r>
      <w:r w:rsidR="000B6C99">
        <w:t>and AI tools will form a key part of how people work going forward. These tools can become a valuable source of information for students and such chatbots can undertake tasks such as:</w:t>
      </w:r>
    </w:p>
    <w:p w14:paraId="3ED87D1F" w14:textId="107BEF12" w:rsidR="000B6C99" w:rsidRDefault="00CA0E64" w:rsidP="002A0677">
      <w:r>
        <w:tab/>
      </w:r>
      <w:r w:rsidR="000B6C99">
        <w:t>Answering questions</w:t>
      </w:r>
    </w:p>
    <w:p w14:paraId="5AF88F1E" w14:textId="7D8F3CC2" w:rsidR="000B6C99" w:rsidRDefault="00CA0E64" w:rsidP="002A0677">
      <w:r>
        <w:tab/>
      </w:r>
      <w:r w:rsidR="000B6C99">
        <w:t>Analysing, improving and summarising text</w:t>
      </w:r>
    </w:p>
    <w:p w14:paraId="703AD00F" w14:textId="7B1AD9A8" w:rsidR="0059036C" w:rsidRDefault="00CA0E64" w:rsidP="002A0677">
      <w:r>
        <w:tab/>
      </w:r>
      <w:r w:rsidR="0059036C">
        <w:t>Authoring essays, articles, fiction</w:t>
      </w:r>
    </w:p>
    <w:p w14:paraId="02360E30" w14:textId="501CF38C" w:rsidR="0059036C" w:rsidRDefault="00CA0E64" w:rsidP="002A0677">
      <w:r>
        <w:tab/>
      </w:r>
      <w:r w:rsidR="0059036C">
        <w:t>Generating computer code</w:t>
      </w:r>
    </w:p>
    <w:p w14:paraId="44E23B02" w14:textId="01B822E5" w:rsidR="0059036C" w:rsidRDefault="00CA0E64" w:rsidP="002A0677">
      <w:r>
        <w:tab/>
      </w:r>
      <w:r w:rsidR="0059036C">
        <w:t>Generating pictures/images</w:t>
      </w:r>
    </w:p>
    <w:p w14:paraId="4BA02DC3" w14:textId="101F674A" w:rsidR="0059036C" w:rsidRDefault="00CA0E64" w:rsidP="002A0677">
      <w:r>
        <w:tab/>
      </w:r>
      <w:r w:rsidR="0059036C">
        <w:t>Translating text from or to a different language</w:t>
      </w:r>
    </w:p>
    <w:p w14:paraId="6F3D5FEB" w14:textId="1FCA28ED" w:rsidR="0059036C" w:rsidRDefault="00CA0E64" w:rsidP="002A0677">
      <w:r>
        <w:tab/>
      </w:r>
      <w:r w:rsidR="0059036C">
        <w:t>Use prompts to generate new ideas for a given topic/theme</w:t>
      </w:r>
    </w:p>
    <w:p w14:paraId="3DD85500" w14:textId="2990C891" w:rsidR="006F252B" w:rsidRDefault="00CA0E64" w:rsidP="002A0677">
      <w:r>
        <w:tab/>
      </w:r>
      <w:r w:rsidR="0059036C">
        <w:t xml:space="preserve">Use prompts to generate text with </w:t>
      </w:r>
      <w:proofErr w:type="gramStart"/>
      <w:r w:rsidR="0059036C">
        <w:t>particular features</w:t>
      </w:r>
      <w:proofErr w:type="gramEnd"/>
      <w:r w:rsidR="0059036C">
        <w:t xml:space="preserve"> such as tone, formality</w:t>
      </w:r>
      <w:r w:rsidR="006F252B">
        <w:t xml:space="preserve"> or sentiment</w:t>
      </w:r>
    </w:p>
    <w:p w14:paraId="7136A13F" w14:textId="77777777" w:rsidR="006F252B" w:rsidRDefault="006F252B" w:rsidP="006F252B">
      <w:pPr>
        <w:pStyle w:val="Heading1"/>
        <w:numPr>
          <w:ilvl w:val="0"/>
          <w:numId w:val="0"/>
        </w:numPr>
        <w:ind w:left="576" w:hanging="576"/>
        <w:jc w:val="both"/>
        <w:rPr>
          <w:b w:val="0"/>
          <w:bCs/>
        </w:rPr>
      </w:pPr>
    </w:p>
    <w:p w14:paraId="3D0BA88F" w14:textId="119A69CE" w:rsidR="0059036C" w:rsidRDefault="00CA0E64" w:rsidP="002A0677">
      <w:r>
        <w:tab/>
      </w:r>
      <w:r w:rsidR="006F252B">
        <w:t>However, such text may not always be reliable, accurate or truthful, and therefore it is important that staff and students understand this when using AI as a tool for research. Users may generate research but it must be references and be viewed critically, students must continue their own critical analysis</w:t>
      </w:r>
      <w:r w:rsidR="00D168A4">
        <w:t xml:space="preserve"> and evaluation as part of their own work within the assessment.</w:t>
      </w:r>
    </w:p>
    <w:p w14:paraId="7589A1D6" w14:textId="77777777" w:rsidR="00D168A4" w:rsidRDefault="00D168A4" w:rsidP="002A0677"/>
    <w:p w14:paraId="2A76DE32" w14:textId="2446C7FC" w:rsidR="00D168A4" w:rsidRDefault="00313D46" w:rsidP="002A0677">
      <w:r>
        <w:t>3.3</w:t>
      </w:r>
      <w:r w:rsidR="00D168A4">
        <w:tab/>
        <w:t xml:space="preserve">Promotion of best practice and safe use of AI should be </w:t>
      </w:r>
      <w:r w:rsidR="00DE45BF">
        <w:t xml:space="preserve">advocated by tutors through the development of academic skills. </w:t>
      </w:r>
    </w:p>
    <w:p w14:paraId="0D4682B2" w14:textId="6BD9CEFD" w:rsidR="00DE45BF" w:rsidRDefault="00CA0E64" w:rsidP="002A0677">
      <w:r>
        <w:br/>
      </w:r>
      <w:r w:rsidR="00DE45BF">
        <w:t>Students must make clear how and where AI has been used and as with all sources of information this must be referenced in their work.</w:t>
      </w:r>
    </w:p>
    <w:p w14:paraId="27F77331" w14:textId="1DE6A0DF" w:rsidR="00DE45BF" w:rsidRDefault="00CA0E64" w:rsidP="002A0677">
      <w:r>
        <w:br/>
      </w:r>
      <w:r w:rsidR="00DE45BF">
        <w:t xml:space="preserve">Students need to be trained in how to check sources of information to independently verify AI generated ideas </w:t>
      </w:r>
    </w:p>
    <w:p w14:paraId="0FAD2949" w14:textId="33B64049" w:rsidR="00DE45BF" w:rsidRDefault="00CA0E64" w:rsidP="001313DC">
      <w:r>
        <w:br/>
      </w:r>
      <w:r w:rsidR="00F0161B">
        <w:t>Students must acknowledge the use of AI and explain clearly how they have used it in any work they are submitting which has relied on this. For example: ChatGPT 3.5 (</w:t>
      </w:r>
      <w:hyperlink r:id="rId12" w:history="1">
        <w:r w:rsidR="00F0161B" w:rsidRPr="00E02503">
          <w:rPr>
            <w:rStyle w:val="Hyperlink"/>
            <w:bCs/>
          </w:rPr>
          <w:t>https://openai.com/blog/chatgpt/</w:t>
        </w:r>
      </w:hyperlink>
      <w:r w:rsidR="00F0161B">
        <w:t>) 22</w:t>
      </w:r>
      <w:r w:rsidR="00DA0830">
        <w:t>/0</w:t>
      </w:r>
      <w:r w:rsidR="00F0161B">
        <w:t>1</w:t>
      </w:r>
      <w:r w:rsidR="00DA0830">
        <w:t xml:space="preserve">/2024. The student must retain a copy of the question(s) and </w:t>
      </w:r>
      <w:proofErr w:type="gramStart"/>
      <w:r w:rsidR="00DA0830">
        <w:t>computer generated</w:t>
      </w:r>
      <w:proofErr w:type="gramEnd"/>
      <w:r w:rsidR="00DA0830">
        <w:t xml:space="preserve"> content for reference and authentication purposes, in a non-editable format (such as a screenshot) and briefly explain how it has been used. This </w:t>
      </w:r>
      <w:r w:rsidR="00DA0830">
        <w:lastRenderedPageBreak/>
        <w:t xml:space="preserve">must be submitted with the work so the tutor is able to review the work, the AI content and how it </w:t>
      </w:r>
      <w:r w:rsidR="00D222BC">
        <w:t xml:space="preserve">has been used. </w:t>
      </w:r>
    </w:p>
    <w:p w14:paraId="71C48B0D" w14:textId="77777777" w:rsidR="009D6ECB" w:rsidRDefault="009D6ECB" w:rsidP="002A0677"/>
    <w:p w14:paraId="25F816FB" w14:textId="33DB7749" w:rsidR="00D222BC" w:rsidRDefault="00D222BC" w:rsidP="002A0677">
      <w:pPr>
        <w:ind w:firstLine="0"/>
      </w:pPr>
      <w:r>
        <w:t>Where this is not submitted and the tutor suspects the use of AI tools, the tutor will need to</w:t>
      </w:r>
      <w:r w:rsidR="009D6ECB">
        <w:t xml:space="preserve"> </w:t>
      </w:r>
      <w:r>
        <w:t>consult part 2 of this policy.</w:t>
      </w:r>
    </w:p>
    <w:p w14:paraId="6A6A92D1" w14:textId="77777777" w:rsidR="00E31B41" w:rsidRPr="00B11F6A" w:rsidRDefault="00E31B41" w:rsidP="00CA0E64">
      <w:pPr>
        <w:pStyle w:val="Heading1"/>
        <w:numPr>
          <w:ilvl w:val="0"/>
          <w:numId w:val="0"/>
        </w:numPr>
        <w:rPr>
          <w:b w:val="0"/>
          <w:bCs/>
        </w:rPr>
      </w:pPr>
    </w:p>
    <w:p w14:paraId="2E68C082" w14:textId="489DC686" w:rsidR="00B11F6A" w:rsidRPr="00B70870" w:rsidRDefault="00B11F6A" w:rsidP="00E31B41">
      <w:pPr>
        <w:pStyle w:val="Heading1"/>
      </w:pPr>
      <w:bookmarkStart w:id="3" w:name="_Toc179299173"/>
      <w:r w:rsidRPr="00B70870">
        <w:t>Identification of Academic Misconduct</w:t>
      </w:r>
      <w:bookmarkEnd w:id="3"/>
      <w:r w:rsidRPr="00B70870">
        <w:t xml:space="preserve"> </w:t>
      </w:r>
    </w:p>
    <w:p w14:paraId="43A555D0" w14:textId="4F32827F" w:rsidR="00B11F6A" w:rsidRPr="00B11F6A" w:rsidRDefault="00313D46" w:rsidP="00B35AA9">
      <w:pPr>
        <w:rPr>
          <w:b/>
        </w:rPr>
      </w:pPr>
      <w:r>
        <w:t>4</w:t>
      </w:r>
      <w:r w:rsidR="00B11F6A" w:rsidRPr="00B11F6A">
        <w:t xml:space="preserve">.1 </w:t>
      </w:r>
      <w:r w:rsidR="00A80255">
        <w:tab/>
      </w:r>
      <w:r w:rsidR="00B11F6A" w:rsidRPr="00B11F6A">
        <w:t xml:space="preserve">When a tutor identifies academic misconduct within any summative assessment they must download or print off the Turnitin originality report or indicate in a manner appropriate to the medium in which the work was completed (whether computer program, practical piece or essay), indicating which parts of the work are a cause for concern.  </w:t>
      </w:r>
    </w:p>
    <w:p w14:paraId="7B8564CF" w14:textId="77777777" w:rsidR="00A80255" w:rsidRDefault="00A80255" w:rsidP="00B35AA9">
      <w:pPr>
        <w:rPr>
          <w:b/>
        </w:rPr>
      </w:pPr>
    </w:p>
    <w:p w14:paraId="38D9D8B1" w14:textId="5FC529FC" w:rsidR="00B11F6A" w:rsidRPr="00B11F6A" w:rsidRDefault="00313D46" w:rsidP="00B35AA9">
      <w:pPr>
        <w:rPr>
          <w:b/>
        </w:rPr>
      </w:pPr>
      <w:r>
        <w:t>4</w:t>
      </w:r>
      <w:r w:rsidR="00B11F6A" w:rsidRPr="00B11F6A">
        <w:t xml:space="preserve">.2 </w:t>
      </w:r>
      <w:r w:rsidR="00A80255">
        <w:tab/>
      </w:r>
      <w:r w:rsidR="00B11F6A" w:rsidRPr="00B11F6A">
        <w:t xml:space="preserve">The tutor should decide whether the part of the assignment which is a cause for concern has impacted on the academic integrity of the work. If they decide that the impact is negligible, they should complete the examining process. The tutor may then choose to speak to the student and offer advice about ways to avoid future misconduct.  </w:t>
      </w:r>
    </w:p>
    <w:p w14:paraId="161D96CA" w14:textId="77777777" w:rsidR="00A80255" w:rsidRDefault="00A80255" w:rsidP="00B35AA9">
      <w:pPr>
        <w:rPr>
          <w:b/>
        </w:rPr>
      </w:pPr>
    </w:p>
    <w:p w14:paraId="45D51BDE" w14:textId="29E89F4F" w:rsidR="00A80255" w:rsidRDefault="00313D46" w:rsidP="00B35AA9">
      <w:pPr>
        <w:rPr>
          <w:b/>
        </w:rPr>
      </w:pPr>
      <w:r>
        <w:t>4</w:t>
      </w:r>
      <w:r w:rsidR="00B35AA9">
        <w:t>.3</w:t>
      </w:r>
      <w:r w:rsidR="00B35AA9">
        <w:tab/>
      </w:r>
      <w:r w:rsidR="00B11F6A" w:rsidRPr="00B11F6A">
        <w:t xml:space="preserve">Where the tutor suspects academic misconduct but the balance of evidence would make it difficult to prove, the tutor should refer the candidate to appropriate sources of guidance but take no other action. The tutor does not have powers to issue a penalty, including any formal written warning. The meeting with the student and outcome of any action should be recorded on the Developmental Engagement form (HE11B) - see section 9.1. The Developmental Engagement Form should be submitted to the HE Registry Office for recording.  </w:t>
      </w:r>
      <w:r w:rsidR="00A80255">
        <w:br/>
      </w:r>
    </w:p>
    <w:p w14:paraId="6D87CCC0" w14:textId="5C346FB7" w:rsidR="00B11F6A" w:rsidRPr="00B11F6A" w:rsidRDefault="00313D46" w:rsidP="00B35AA9">
      <w:pPr>
        <w:rPr>
          <w:b/>
        </w:rPr>
      </w:pPr>
      <w:r>
        <w:t>4</w:t>
      </w:r>
      <w:r w:rsidR="00B35AA9">
        <w:t>.4</w:t>
      </w:r>
      <w:r w:rsidR="00B35AA9">
        <w:tab/>
      </w:r>
      <w:r w:rsidR="00A80255">
        <w:t>I</w:t>
      </w:r>
      <w:r w:rsidR="00B11F6A" w:rsidRPr="00B11F6A">
        <w:t xml:space="preserve">f the tutor decides that the academic misconduct has impacted on academic integrity, they must forward the work to the Hull College’s HE Quality Officer (HERegistry@hull-college.ac.uk), with academic misconduct allegation pro-forma HE11A along with supporting evidence as defined in 5.3.  </w:t>
      </w:r>
    </w:p>
    <w:p w14:paraId="7C4493CE" w14:textId="77777777" w:rsidR="00652231" w:rsidRDefault="00652231" w:rsidP="00B35AA9">
      <w:pPr>
        <w:rPr>
          <w:b/>
        </w:rPr>
      </w:pPr>
    </w:p>
    <w:p w14:paraId="0DC6DE82" w14:textId="62AEAD66" w:rsidR="00B11F6A" w:rsidRPr="00652231" w:rsidRDefault="00313D46" w:rsidP="00B35AA9">
      <w:pPr>
        <w:rPr>
          <w:b/>
        </w:rPr>
      </w:pPr>
      <w:r>
        <w:t>4</w:t>
      </w:r>
      <w:r w:rsidR="00B11F6A" w:rsidRPr="00652231">
        <w:t xml:space="preserve">.5 </w:t>
      </w:r>
      <w:r w:rsidR="00652231">
        <w:tab/>
      </w:r>
      <w:r w:rsidR="00B11F6A" w:rsidRPr="00652231">
        <w:t xml:space="preserve">Tutors may submit sources other than Turnitin to identify academic misconduct. When doing so, the relevant section within these sources must be highlighted.   </w:t>
      </w:r>
    </w:p>
    <w:p w14:paraId="5DF22E4F" w14:textId="77777777" w:rsidR="00652231" w:rsidRDefault="00652231" w:rsidP="00B35AA9">
      <w:pPr>
        <w:rPr>
          <w:b/>
        </w:rPr>
      </w:pPr>
    </w:p>
    <w:p w14:paraId="0434F25B" w14:textId="623F0DCD" w:rsidR="00B11F6A" w:rsidRDefault="00313D46" w:rsidP="00B35AA9">
      <w:pPr>
        <w:rPr>
          <w:b/>
        </w:rPr>
      </w:pPr>
      <w:r>
        <w:t>4</w:t>
      </w:r>
      <w:r w:rsidR="00B11F6A" w:rsidRPr="00B11F6A">
        <w:t xml:space="preserve">.6 </w:t>
      </w:r>
      <w:r w:rsidR="00652231">
        <w:tab/>
      </w:r>
      <w:r w:rsidR="00B11F6A" w:rsidRPr="00B11F6A">
        <w:t>Hull College recognises that it may not be possible to identify academic misconduct where a student has employed a form of contract cheating, such as an essay mill or AI writing software. Therefore, there may be cases where the student has chosen to report their work for academic misconduct where this has not been detected during Hull College marking processes. Where this has occurred, regardless of level, it will be treated as a first offence and the relevant penalty applied dependent on size of academic misconduct within the assessments. The application of this procedure is intended to be used so that students c</w:t>
      </w:r>
      <w:r w:rsidR="00652231">
        <w:t xml:space="preserve">an </w:t>
      </w:r>
      <w:r w:rsidR="000E3A7D">
        <w:t>a</w:t>
      </w:r>
      <w:r w:rsidR="00B11F6A" w:rsidRPr="00B11F6A">
        <w:t xml:space="preserve">void situations of criminal exploitation where contract cheating or essay mills have been used. </w:t>
      </w:r>
    </w:p>
    <w:p w14:paraId="5BB62960" w14:textId="77777777" w:rsidR="000E3A7D" w:rsidRPr="00B11F6A" w:rsidRDefault="000E3A7D" w:rsidP="00B35AA9">
      <w:pPr>
        <w:rPr>
          <w:b/>
        </w:rPr>
      </w:pPr>
    </w:p>
    <w:p w14:paraId="7E4245ED" w14:textId="490C9E59" w:rsidR="00B11F6A" w:rsidRPr="000E3A7D" w:rsidRDefault="00B11F6A" w:rsidP="000E3A7D">
      <w:pPr>
        <w:pStyle w:val="Heading1"/>
      </w:pPr>
      <w:bookmarkStart w:id="4" w:name="_Toc179299174"/>
      <w:r w:rsidRPr="000E3A7D">
        <w:t>Communicating concerns with Students</w:t>
      </w:r>
      <w:bookmarkEnd w:id="4"/>
      <w:r w:rsidRPr="000E3A7D">
        <w:t xml:space="preserve">  </w:t>
      </w:r>
    </w:p>
    <w:p w14:paraId="388325B8" w14:textId="280152F5" w:rsidR="00B11F6A" w:rsidRPr="00B11F6A" w:rsidRDefault="00313D46" w:rsidP="00B35AA9">
      <w:pPr>
        <w:rPr>
          <w:b/>
        </w:rPr>
      </w:pPr>
      <w:r>
        <w:t>5</w:t>
      </w:r>
      <w:r w:rsidR="00B11F6A" w:rsidRPr="00B11F6A">
        <w:t xml:space="preserve">.1 </w:t>
      </w:r>
      <w:r w:rsidR="001B1C5D">
        <w:rPr>
          <w:b/>
        </w:rPr>
        <w:tab/>
      </w:r>
      <w:r w:rsidR="00B11F6A" w:rsidRPr="00B11F6A">
        <w:t xml:space="preserve">Tutors should provide feedback to students on the assessment, in line with HE09 Assessment of Students.  </w:t>
      </w:r>
    </w:p>
    <w:p w14:paraId="6FCAE947" w14:textId="77777777" w:rsidR="000E3A7D" w:rsidRDefault="000E3A7D" w:rsidP="00B35AA9">
      <w:pPr>
        <w:rPr>
          <w:b/>
        </w:rPr>
      </w:pPr>
    </w:p>
    <w:p w14:paraId="1A4AD49E" w14:textId="55D8408B" w:rsidR="00B11F6A" w:rsidRPr="00B11F6A" w:rsidRDefault="00313D46" w:rsidP="00B35AA9">
      <w:pPr>
        <w:rPr>
          <w:b/>
        </w:rPr>
      </w:pPr>
      <w:r>
        <w:t>5</w:t>
      </w:r>
      <w:r w:rsidR="00B11F6A" w:rsidRPr="00B11F6A">
        <w:t xml:space="preserve">.2 </w:t>
      </w:r>
      <w:r w:rsidR="001B1C5D">
        <w:rPr>
          <w:b/>
        </w:rPr>
        <w:tab/>
      </w:r>
      <w:r w:rsidR="00B11F6A" w:rsidRPr="00B11F6A">
        <w:t xml:space="preserve">Tutors should inform the student at the point of giving formal summative feedback that there is a suspicion of academic </w:t>
      </w:r>
      <w:proofErr w:type="gramStart"/>
      <w:r w:rsidR="00B11F6A" w:rsidRPr="00B11F6A">
        <w:t>misconduct</w:t>
      </w:r>
      <w:proofErr w:type="gramEnd"/>
      <w:r w:rsidR="00B11F6A" w:rsidRPr="00B11F6A">
        <w:t xml:space="preserve"> and that the assessment has been referred to the Hull College’s Academic Misconduct Board for further investigation.  </w:t>
      </w:r>
    </w:p>
    <w:p w14:paraId="5D9F4F6C" w14:textId="77777777" w:rsidR="000E3A7D" w:rsidRDefault="000E3A7D" w:rsidP="00B35AA9">
      <w:pPr>
        <w:rPr>
          <w:b/>
        </w:rPr>
      </w:pPr>
    </w:p>
    <w:p w14:paraId="43CB83E5" w14:textId="6430EF88" w:rsidR="00B11F6A" w:rsidRPr="00B11F6A" w:rsidRDefault="00313D46" w:rsidP="00B35AA9">
      <w:pPr>
        <w:rPr>
          <w:b/>
        </w:rPr>
      </w:pPr>
      <w:r>
        <w:t>5</w:t>
      </w:r>
      <w:r w:rsidR="00B11F6A" w:rsidRPr="00B11F6A">
        <w:t xml:space="preserve">.3 </w:t>
      </w:r>
      <w:r w:rsidR="001B1C5D">
        <w:rPr>
          <w:b/>
        </w:rPr>
        <w:tab/>
      </w:r>
      <w:r w:rsidR="00B11F6A" w:rsidRPr="00B11F6A">
        <w:t xml:space="preserve">Tutors should refer students to this Code of Practice for further information relating to the process and timescale of investigation. </w:t>
      </w:r>
    </w:p>
    <w:p w14:paraId="718FC181" w14:textId="77777777" w:rsidR="00B11F6A" w:rsidRPr="00B11F6A" w:rsidRDefault="00B11F6A" w:rsidP="00B35AA9">
      <w:pPr>
        <w:rPr>
          <w:b/>
        </w:rPr>
      </w:pPr>
      <w:r w:rsidRPr="00B11F6A">
        <w:t xml:space="preserve"> </w:t>
      </w:r>
    </w:p>
    <w:p w14:paraId="32FF5F7C" w14:textId="66293544" w:rsidR="00B11F6A" w:rsidRPr="000E3A7D" w:rsidRDefault="00B11F6A" w:rsidP="000E3A7D">
      <w:pPr>
        <w:pStyle w:val="Heading1"/>
      </w:pPr>
      <w:bookmarkStart w:id="5" w:name="_Toc179299175"/>
      <w:r w:rsidRPr="000E3A7D">
        <w:t>Presentation of Academic Misconduct Cases for Investigation</w:t>
      </w:r>
      <w:bookmarkEnd w:id="5"/>
      <w:r w:rsidRPr="000E3A7D">
        <w:t xml:space="preserve">  </w:t>
      </w:r>
    </w:p>
    <w:p w14:paraId="1316F436" w14:textId="446228D8" w:rsidR="00B11F6A" w:rsidRPr="00B11F6A" w:rsidRDefault="00313D46" w:rsidP="00B35AA9">
      <w:pPr>
        <w:rPr>
          <w:b/>
        </w:rPr>
      </w:pPr>
      <w:r>
        <w:t>6</w:t>
      </w:r>
      <w:r w:rsidR="00B11F6A" w:rsidRPr="00B11F6A">
        <w:t xml:space="preserve">.1 </w:t>
      </w:r>
      <w:r w:rsidR="001B1C5D">
        <w:rPr>
          <w:b/>
        </w:rPr>
        <w:tab/>
      </w:r>
      <w:r w:rsidR="00B11F6A" w:rsidRPr="00B11F6A">
        <w:t xml:space="preserve">All allegations of academic misconduct must be presented to the Hull College’s HE Quality Officer (HERegistry@hull-college.ac.uk).  </w:t>
      </w:r>
    </w:p>
    <w:p w14:paraId="6958420D" w14:textId="77777777" w:rsidR="001B1C5D" w:rsidRDefault="001B1C5D" w:rsidP="00B35AA9">
      <w:pPr>
        <w:rPr>
          <w:b/>
        </w:rPr>
      </w:pPr>
    </w:p>
    <w:p w14:paraId="72A37589" w14:textId="04C5CAA7" w:rsidR="00B11F6A" w:rsidRPr="00B11F6A" w:rsidRDefault="00313D46" w:rsidP="00B35AA9">
      <w:pPr>
        <w:rPr>
          <w:b/>
        </w:rPr>
      </w:pPr>
      <w:r>
        <w:lastRenderedPageBreak/>
        <w:t>6</w:t>
      </w:r>
      <w:r w:rsidR="00B11F6A" w:rsidRPr="00B11F6A">
        <w:t xml:space="preserve">.2 </w:t>
      </w:r>
      <w:r w:rsidR="001B1C5D">
        <w:rPr>
          <w:b/>
        </w:rPr>
        <w:tab/>
      </w:r>
      <w:r w:rsidR="00B11F6A" w:rsidRPr="00B11F6A">
        <w:t xml:space="preserve">All allegations must be presented on the academic misconduct allegation pro-forma (HE11A). </w:t>
      </w:r>
    </w:p>
    <w:p w14:paraId="723BF601" w14:textId="77777777" w:rsidR="001B1C5D" w:rsidRDefault="001B1C5D" w:rsidP="00B35AA9">
      <w:pPr>
        <w:rPr>
          <w:b/>
        </w:rPr>
      </w:pPr>
    </w:p>
    <w:p w14:paraId="67BB1150" w14:textId="32FC1686" w:rsidR="00B11F6A" w:rsidRPr="00B11F6A" w:rsidRDefault="00313D46" w:rsidP="00B35AA9">
      <w:pPr>
        <w:rPr>
          <w:b/>
        </w:rPr>
      </w:pPr>
      <w:r>
        <w:t>6</w:t>
      </w:r>
      <w:r w:rsidR="00B11F6A" w:rsidRPr="00B11F6A">
        <w:t xml:space="preserve">.3 </w:t>
      </w:r>
      <w:r w:rsidR="001B1C5D">
        <w:rPr>
          <w:b/>
        </w:rPr>
        <w:tab/>
      </w:r>
      <w:r w:rsidR="00B11F6A" w:rsidRPr="00B11F6A">
        <w:t xml:space="preserve">The following evidence must also be submitted by the tutor:  </w:t>
      </w:r>
    </w:p>
    <w:p w14:paraId="0E941883" w14:textId="77777777" w:rsidR="00B11F6A" w:rsidRPr="00B35AA9" w:rsidRDefault="00B11F6A" w:rsidP="00B35AA9">
      <w:pPr>
        <w:pStyle w:val="ListParagraph"/>
        <w:numPr>
          <w:ilvl w:val="0"/>
          <w:numId w:val="44"/>
        </w:numPr>
        <w:ind w:left="936"/>
        <w:rPr>
          <w:bCs/>
        </w:rPr>
      </w:pPr>
      <w:r w:rsidRPr="00B35AA9">
        <w:rPr>
          <w:bCs/>
        </w:rPr>
        <w:t xml:space="preserve">The module tutor’s rationale for the allegation and estimation of the percent of work affected by the use of academic misconduct. </w:t>
      </w:r>
    </w:p>
    <w:p w14:paraId="627D0306" w14:textId="77777777" w:rsidR="00B11F6A" w:rsidRPr="00B35AA9" w:rsidRDefault="00B11F6A" w:rsidP="00B35AA9">
      <w:pPr>
        <w:pStyle w:val="ListParagraph"/>
        <w:numPr>
          <w:ilvl w:val="0"/>
          <w:numId w:val="44"/>
        </w:numPr>
        <w:ind w:left="936"/>
        <w:rPr>
          <w:bCs/>
        </w:rPr>
      </w:pPr>
      <w:r w:rsidRPr="00B35AA9">
        <w:rPr>
          <w:bCs/>
        </w:rPr>
        <w:t xml:space="preserve">The assessment (student output) alleged to relate to the academic misconduct. </w:t>
      </w:r>
    </w:p>
    <w:p w14:paraId="70E9E82D" w14:textId="77777777" w:rsidR="00B11F6A" w:rsidRPr="00B35AA9" w:rsidRDefault="00B11F6A" w:rsidP="00B35AA9">
      <w:pPr>
        <w:pStyle w:val="ListParagraph"/>
        <w:numPr>
          <w:ilvl w:val="0"/>
          <w:numId w:val="44"/>
        </w:numPr>
        <w:ind w:left="936"/>
        <w:rPr>
          <w:bCs/>
        </w:rPr>
      </w:pPr>
      <w:r w:rsidRPr="00B35AA9">
        <w:rPr>
          <w:bCs/>
        </w:rPr>
        <w:t xml:space="preserve">The assessment brief. </w:t>
      </w:r>
    </w:p>
    <w:p w14:paraId="587CEEDF" w14:textId="77777777" w:rsidR="00B11F6A" w:rsidRPr="00B35AA9" w:rsidRDefault="00B11F6A" w:rsidP="00B35AA9">
      <w:pPr>
        <w:pStyle w:val="ListParagraph"/>
        <w:numPr>
          <w:ilvl w:val="0"/>
          <w:numId w:val="44"/>
        </w:numPr>
        <w:ind w:left="936"/>
        <w:rPr>
          <w:bCs/>
        </w:rPr>
      </w:pPr>
      <w:r w:rsidRPr="00B35AA9">
        <w:rPr>
          <w:bCs/>
        </w:rPr>
        <w:t xml:space="preserve">An unbiased mark for the piece of work (had the academic misconduct not taken place) </w:t>
      </w:r>
    </w:p>
    <w:p w14:paraId="4BE4C9D6" w14:textId="77777777" w:rsidR="00B11F6A" w:rsidRPr="00B35AA9" w:rsidRDefault="00B11F6A" w:rsidP="00B35AA9">
      <w:pPr>
        <w:pStyle w:val="ListParagraph"/>
        <w:numPr>
          <w:ilvl w:val="0"/>
          <w:numId w:val="44"/>
        </w:numPr>
        <w:ind w:left="936"/>
        <w:rPr>
          <w:bCs/>
        </w:rPr>
      </w:pPr>
      <w:r w:rsidRPr="00B35AA9">
        <w:rPr>
          <w:bCs/>
        </w:rPr>
        <w:t xml:space="preserve">A copy of the originality report from Turnitin. </w:t>
      </w:r>
    </w:p>
    <w:p w14:paraId="231FF501" w14:textId="77777777" w:rsidR="00B11F6A" w:rsidRPr="00B35AA9" w:rsidRDefault="00B11F6A" w:rsidP="00B35AA9">
      <w:pPr>
        <w:pStyle w:val="ListParagraph"/>
        <w:numPr>
          <w:ilvl w:val="0"/>
          <w:numId w:val="44"/>
        </w:numPr>
        <w:ind w:left="936"/>
        <w:rPr>
          <w:bCs/>
        </w:rPr>
      </w:pPr>
      <w:r w:rsidRPr="00B35AA9">
        <w:rPr>
          <w:bCs/>
        </w:rPr>
        <w:t xml:space="preserve">Any other information as appropriate, for example exam invigilator’s report. </w:t>
      </w:r>
    </w:p>
    <w:p w14:paraId="50EBDA69" w14:textId="0AC2A33A" w:rsidR="00B11F6A" w:rsidRPr="001B1C5D" w:rsidRDefault="00B11F6A" w:rsidP="00B35AA9"/>
    <w:p w14:paraId="0326D27A" w14:textId="323D9305" w:rsidR="00B11F6A" w:rsidRPr="001B1C5D" w:rsidRDefault="00B11F6A" w:rsidP="001B1C5D">
      <w:pPr>
        <w:pStyle w:val="Heading1"/>
      </w:pPr>
      <w:bookmarkStart w:id="6" w:name="_Toc179299176"/>
      <w:r w:rsidRPr="001B1C5D">
        <w:t>Timescales and Student Notification</w:t>
      </w:r>
      <w:bookmarkEnd w:id="6"/>
      <w:r w:rsidRPr="001B1C5D">
        <w:t xml:space="preserve"> </w:t>
      </w:r>
    </w:p>
    <w:p w14:paraId="6072866D" w14:textId="0BF8F2D1" w:rsidR="00B11F6A" w:rsidRPr="00B11F6A" w:rsidRDefault="00313D46" w:rsidP="00397251">
      <w:pPr>
        <w:rPr>
          <w:b/>
        </w:rPr>
      </w:pPr>
      <w:r>
        <w:t>7</w:t>
      </w:r>
      <w:r w:rsidR="00B11F6A" w:rsidRPr="00B11F6A">
        <w:t xml:space="preserve">.1 </w:t>
      </w:r>
      <w:r w:rsidR="00CC7C0D">
        <w:rPr>
          <w:b/>
        </w:rPr>
        <w:tab/>
      </w:r>
      <w:r w:rsidR="00B11F6A" w:rsidRPr="00B11F6A">
        <w:t xml:space="preserve">Within the confines of this code, ‘days’ relates to working days and excludes weekends and bank holidays, and Christmas Closure periods.  These timescales are indicative of a normal referral process, but they may be extended if disaster recovery procedures have been declared to be in effect by the CEO (or </w:t>
      </w:r>
      <w:proofErr w:type="gramStart"/>
      <w:r w:rsidR="00B11F6A" w:rsidRPr="00B11F6A">
        <w:t>other</w:t>
      </w:r>
      <w:proofErr w:type="gramEnd"/>
      <w:r w:rsidR="00B11F6A" w:rsidRPr="00B11F6A">
        <w:t xml:space="preserve"> designated accountable person) of the Hull College.  </w:t>
      </w:r>
    </w:p>
    <w:p w14:paraId="77268523" w14:textId="77777777" w:rsidR="001B1C5D" w:rsidRDefault="001B1C5D" w:rsidP="00397251">
      <w:pPr>
        <w:rPr>
          <w:b/>
        </w:rPr>
      </w:pPr>
    </w:p>
    <w:p w14:paraId="249BF6E8" w14:textId="6887F11F" w:rsidR="00B11F6A" w:rsidRPr="00B11F6A" w:rsidRDefault="00313D46" w:rsidP="00397251">
      <w:pPr>
        <w:rPr>
          <w:b/>
        </w:rPr>
      </w:pPr>
      <w:r>
        <w:t>7</w:t>
      </w:r>
      <w:r w:rsidR="00B11F6A" w:rsidRPr="00B11F6A">
        <w:t xml:space="preserve">.2 </w:t>
      </w:r>
      <w:r w:rsidR="00CC7C0D">
        <w:rPr>
          <w:b/>
        </w:rPr>
        <w:tab/>
      </w:r>
      <w:r w:rsidR="00B11F6A" w:rsidRPr="00B11F6A">
        <w:t xml:space="preserve">Upon receipt of the alleged case and supportive documentation, the Hull College’s HE Quality Officer will normally notify the student in writing of the suspected academic misconduct within 10 working days.   </w:t>
      </w:r>
    </w:p>
    <w:p w14:paraId="5F73D088" w14:textId="77777777" w:rsidR="001B1C5D" w:rsidRDefault="001B1C5D" w:rsidP="00397251">
      <w:pPr>
        <w:rPr>
          <w:b/>
        </w:rPr>
      </w:pPr>
    </w:p>
    <w:p w14:paraId="0E5BDB61" w14:textId="423A311E" w:rsidR="00B11F6A" w:rsidRPr="00B11F6A" w:rsidRDefault="00313D46" w:rsidP="00397251">
      <w:pPr>
        <w:rPr>
          <w:b/>
        </w:rPr>
      </w:pPr>
      <w:r>
        <w:t>7</w:t>
      </w:r>
      <w:r w:rsidR="00B11F6A" w:rsidRPr="00B11F6A">
        <w:t xml:space="preserve">.3 </w:t>
      </w:r>
      <w:r w:rsidR="00CC7C0D">
        <w:rPr>
          <w:b/>
        </w:rPr>
        <w:tab/>
      </w:r>
      <w:r w:rsidR="00B11F6A" w:rsidRPr="00B11F6A">
        <w:t xml:space="preserve">Hull College’s HE Quality Officer will notify the student in writing of the time, date and venue of the academic misconduct board hearing. This must give the student at least 5 working days’ notice from the first letter that notifies the student of the allegation. Where partner awarding body regulations require longer notice periods, these will apply.   </w:t>
      </w:r>
    </w:p>
    <w:p w14:paraId="09DE853D" w14:textId="77777777" w:rsidR="001B1C5D" w:rsidRDefault="001B1C5D" w:rsidP="00397251">
      <w:pPr>
        <w:rPr>
          <w:b/>
        </w:rPr>
      </w:pPr>
    </w:p>
    <w:p w14:paraId="74FBDB72" w14:textId="4D7B133B" w:rsidR="00B11F6A" w:rsidRPr="00B11F6A" w:rsidRDefault="00313D46" w:rsidP="00397251">
      <w:pPr>
        <w:rPr>
          <w:b/>
        </w:rPr>
      </w:pPr>
      <w:r>
        <w:t>7</w:t>
      </w:r>
      <w:r w:rsidR="00B11F6A" w:rsidRPr="00B11F6A">
        <w:t xml:space="preserve">.4 </w:t>
      </w:r>
      <w:r w:rsidR="00CC7C0D">
        <w:rPr>
          <w:b/>
        </w:rPr>
        <w:tab/>
      </w:r>
      <w:r w:rsidR="00B11F6A" w:rsidRPr="00B11F6A">
        <w:t xml:space="preserve">Notification of the academic misconduct board hearing will be made to the student by email and will: </w:t>
      </w:r>
    </w:p>
    <w:p w14:paraId="7D1EA1FE" w14:textId="77777777" w:rsidR="00B11F6A" w:rsidRPr="00397251" w:rsidRDefault="00B11F6A" w:rsidP="00397251">
      <w:pPr>
        <w:pStyle w:val="ListParagraph"/>
        <w:numPr>
          <w:ilvl w:val="0"/>
          <w:numId w:val="45"/>
        </w:numPr>
        <w:ind w:left="936"/>
        <w:rPr>
          <w:b/>
        </w:rPr>
      </w:pPr>
      <w:r w:rsidRPr="00B11F6A">
        <w:t xml:space="preserve">detail any witness or other party to be called to the hearing; </w:t>
      </w:r>
    </w:p>
    <w:p w14:paraId="1B397799" w14:textId="77777777" w:rsidR="00B11F6A" w:rsidRPr="00397251" w:rsidRDefault="00B11F6A" w:rsidP="00397251">
      <w:pPr>
        <w:pStyle w:val="ListParagraph"/>
        <w:numPr>
          <w:ilvl w:val="0"/>
          <w:numId w:val="45"/>
        </w:numPr>
        <w:ind w:left="936"/>
        <w:rPr>
          <w:b/>
        </w:rPr>
      </w:pPr>
      <w:r w:rsidRPr="00B11F6A">
        <w:t xml:space="preserve">include a copy of the assessment alleged to relate to academic misconduct; and </w:t>
      </w:r>
    </w:p>
    <w:p w14:paraId="06ADF8D6" w14:textId="77777777" w:rsidR="00B11F6A" w:rsidRPr="00397251" w:rsidRDefault="00B11F6A" w:rsidP="00397251">
      <w:pPr>
        <w:pStyle w:val="ListParagraph"/>
        <w:numPr>
          <w:ilvl w:val="0"/>
          <w:numId w:val="45"/>
        </w:numPr>
        <w:ind w:left="936"/>
        <w:rPr>
          <w:b/>
        </w:rPr>
      </w:pPr>
      <w:r w:rsidRPr="00B11F6A">
        <w:t xml:space="preserve">include a copy of any relevant Code of Practice and regulations as appropriate; </w:t>
      </w:r>
    </w:p>
    <w:p w14:paraId="5B2FCB75" w14:textId="77777777" w:rsidR="00B11F6A" w:rsidRPr="00397251" w:rsidRDefault="00B11F6A" w:rsidP="00397251">
      <w:pPr>
        <w:pStyle w:val="ListParagraph"/>
        <w:numPr>
          <w:ilvl w:val="0"/>
          <w:numId w:val="45"/>
        </w:numPr>
        <w:ind w:left="936"/>
        <w:rPr>
          <w:b/>
        </w:rPr>
      </w:pPr>
      <w:r w:rsidRPr="00B11F6A">
        <w:t xml:space="preserve">upon request, this information can be provided in an accessible format. </w:t>
      </w:r>
    </w:p>
    <w:p w14:paraId="539D3DAA" w14:textId="77777777" w:rsidR="00B11F6A" w:rsidRPr="00B11F6A" w:rsidRDefault="00B11F6A" w:rsidP="00397251">
      <w:pPr>
        <w:rPr>
          <w:b/>
        </w:rPr>
      </w:pPr>
      <w:r w:rsidRPr="00B11F6A">
        <w:t xml:space="preserve"> </w:t>
      </w:r>
    </w:p>
    <w:p w14:paraId="52538DC1" w14:textId="059D9548" w:rsidR="00B11F6A" w:rsidRPr="00B11F6A" w:rsidRDefault="00313D46" w:rsidP="00397251">
      <w:pPr>
        <w:rPr>
          <w:b/>
        </w:rPr>
      </w:pPr>
      <w:r>
        <w:t>7</w:t>
      </w:r>
      <w:r w:rsidR="00B11F6A" w:rsidRPr="00B11F6A">
        <w:t xml:space="preserve">.5 </w:t>
      </w:r>
      <w:r w:rsidR="00BC127D">
        <w:rPr>
          <w:b/>
        </w:rPr>
        <w:tab/>
      </w:r>
      <w:r w:rsidR="00B11F6A" w:rsidRPr="00B11F6A">
        <w:t xml:space="preserve">Upon a decision being made by an academic misconduct board the student must be notified in writing by the Hull College’s HE Quality Officer within 5 working days of the board convening and agreeing an outcome. </w:t>
      </w:r>
    </w:p>
    <w:p w14:paraId="2DA1F083" w14:textId="77777777" w:rsidR="00CC7C0D" w:rsidRDefault="00CC7C0D" w:rsidP="00397251">
      <w:pPr>
        <w:rPr>
          <w:b/>
        </w:rPr>
      </w:pPr>
    </w:p>
    <w:p w14:paraId="6A720DA3" w14:textId="2722DB74" w:rsidR="00B11F6A" w:rsidRPr="00B11F6A" w:rsidRDefault="00CA0E64" w:rsidP="00397251">
      <w:pPr>
        <w:rPr>
          <w:b/>
        </w:rPr>
      </w:pPr>
      <w:r>
        <w:t>7</w:t>
      </w:r>
      <w:r w:rsidR="00B11F6A" w:rsidRPr="00B11F6A">
        <w:t xml:space="preserve">.6 </w:t>
      </w:r>
      <w:r w:rsidR="00BC127D">
        <w:rPr>
          <w:b/>
        </w:rPr>
        <w:tab/>
      </w:r>
      <w:r w:rsidR="00B11F6A" w:rsidRPr="00B11F6A">
        <w:t xml:space="preserve">A copy of the letter must also be supplied to the student’s programme leader. </w:t>
      </w:r>
    </w:p>
    <w:p w14:paraId="34820EF7" w14:textId="77777777" w:rsidR="00B11F6A" w:rsidRPr="00B11F6A" w:rsidRDefault="00B11F6A" w:rsidP="00397251">
      <w:pPr>
        <w:rPr>
          <w:b/>
        </w:rPr>
      </w:pPr>
      <w:r w:rsidRPr="00B11F6A">
        <w:t xml:space="preserve">  </w:t>
      </w:r>
    </w:p>
    <w:p w14:paraId="7C84F105" w14:textId="5D66E1C0" w:rsidR="00B11F6A" w:rsidRPr="00BC127D" w:rsidRDefault="00B11F6A" w:rsidP="00BC127D">
      <w:pPr>
        <w:pStyle w:val="Heading1"/>
      </w:pPr>
      <w:bookmarkStart w:id="7" w:name="_Toc179299177"/>
      <w:r w:rsidRPr="00BC127D">
        <w:t>Operation of the Academic Misconduct board for Hull College programmes.</w:t>
      </w:r>
      <w:bookmarkEnd w:id="7"/>
      <w:r w:rsidRPr="00BC127D">
        <w:t xml:space="preserve"> </w:t>
      </w:r>
    </w:p>
    <w:p w14:paraId="309E843A" w14:textId="09748C47" w:rsidR="00B11F6A" w:rsidRPr="00B11F6A" w:rsidRDefault="00313D46" w:rsidP="00397251">
      <w:pPr>
        <w:rPr>
          <w:b/>
        </w:rPr>
      </w:pPr>
      <w:r>
        <w:t>8</w:t>
      </w:r>
      <w:r w:rsidR="00B11F6A" w:rsidRPr="00B11F6A">
        <w:t xml:space="preserve">.1 </w:t>
      </w:r>
      <w:r w:rsidR="00BC127D">
        <w:rPr>
          <w:b/>
        </w:rPr>
        <w:tab/>
      </w:r>
      <w:r w:rsidR="00B11F6A" w:rsidRPr="00B11F6A">
        <w:t xml:space="preserve">All board hearings (subject to partner University regulations) will be chaired by a senior HE academic member of staff, an academic manager or a senior member of the HE Registry Office.  </w:t>
      </w:r>
    </w:p>
    <w:p w14:paraId="520A4425" w14:textId="77777777" w:rsidR="00BC127D" w:rsidRDefault="00BC127D" w:rsidP="00397251">
      <w:pPr>
        <w:rPr>
          <w:b/>
        </w:rPr>
      </w:pPr>
    </w:p>
    <w:p w14:paraId="4C43668F" w14:textId="57363E35" w:rsidR="00B11F6A" w:rsidRPr="00B11F6A" w:rsidRDefault="00313D46" w:rsidP="00397251">
      <w:pPr>
        <w:rPr>
          <w:b/>
        </w:rPr>
      </w:pPr>
      <w:r>
        <w:t>8</w:t>
      </w:r>
      <w:r w:rsidR="00B11F6A" w:rsidRPr="00B11F6A">
        <w:t xml:space="preserve">.2 </w:t>
      </w:r>
      <w:r w:rsidR="00BC127D">
        <w:rPr>
          <w:b/>
        </w:rPr>
        <w:tab/>
      </w:r>
      <w:r w:rsidR="00B11F6A" w:rsidRPr="00B11F6A">
        <w:t xml:space="preserve">The HE Quality office will maintain a list of Hull College staff who are approved to chair academic misconduct boards.   </w:t>
      </w:r>
    </w:p>
    <w:p w14:paraId="6674EBE9" w14:textId="77777777" w:rsidR="00BC127D" w:rsidRDefault="00BC127D" w:rsidP="00397251">
      <w:pPr>
        <w:rPr>
          <w:b/>
        </w:rPr>
      </w:pPr>
    </w:p>
    <w:p w14:paraId="50C24C59" w14:textId="56FD5CDB" w:rsidR="00B11F6A" w:rsidRPr="00B11F6A" w:rsidRDefault="00313D46" w:rsidP="00397251">
      <w:pPr>
        <w:rPr>
          <w:b/>
        </w:rPr>
      </w:pPr>
      <w:r>
        <w:t>8</w:t>
      </w:r>
      <w:r w:rsidR="00B11F6A" w:rsidRPr="00B11F6A">
        <w:t xml:space="preserve">.3 </w:t>
      </w:r>
      <w:r w:rsidR="00BC127D">
        <w:rPr>
          <w:b/>
        </w:rPr>
        <w:tab/>
      </w:r>
      <w:r w:rsidR="00B11F6A" w:rsidRPr="00B11F6A">
        <w:t xml:space="preserve">Membership of the academic misconduct panel must include a member of staff from the Hull College’s HE Registry office and one member of academic staff from another school to the one the student is studying in.  </w:t>
      </w:r>
    </w:p>
    <w:p w14:paraId="3012E1B6" w14:textId="77777777" w:rsidR="00BC127D" w:rsidRDefault="00BC127D" w:rsidP="00397251">
      <w:pPr>
        <w:rPr>
          <w:b/>
        </w:rPr>
      </w:pPr>
    </w:p>
    <w:p w14:paraId="48F7C859" w14:textId="50E02316" w:rsidR="00B11F6A" w:rsidRPr="00B11F6A" w:rsidRDefault="00313D46" w:rsidP="00397251">
      <w:pPr>
        <w:rPr>
          <w:b/>
        </w:rPr>
      </w:pPr>
      <w:r>
        <w:t>8</w:t>
      </w:r>
      <w:r w:rsidR="00B11F6A" w:rsidRPr="00B11F6A">
        <w:t xml:space="preserve">.4 </w:t>
      </w:r>
      <w:r w:rsidR="00BC127D">
        <w:rPr>
          <w:b/>
        </w:rPr>
        <w:tab/>
      </w:r>
      <w:r w:rsidR="00B11F6A" w:rsidRPr="00B11F6A">
        <w:t xml:space="preserve">All board hearings will be constructed in line with awarding body regulations and will be formally </w:t>
      </w:r>
      <w:proofErr w:type="spellStart"/>
      <w:r w:rsidR="00B11F6A" w:rsidRPr="00B11F6A">
        <w:t>minuted</w:t>
      </w:r>
      <w:proofErr w:type="spellEnd"/>
      <w:r w:rsidR="00B11F6A" w:rsidRPr="00B11F6A">
        <w:t xml:space="preserve">.   </w:t>
      </w:r>
    </w:p>
    <w:p w14:paraId="7C232B1A" w14:textId="77777777" w:rsidR="00BC127D" w:rsidRDefault="00BC127D" w:rsidP="00397251">
      <w:pPr>
        <w:rPr>
          <w:b/>
        </w:rPr>
      </w:pPr>
    </w:p>
    <w:p w14:paraId="64CDEC40" w14:textId="41AEE18D" w:rsidR="00B11F6A" w:rsidRPr="00B11F6A" w:rsidRDefault="00313D46" w:rsidP="00397251">
      <w:pPr>
        <w:rPr>
          <w:b/>
        </w:rPr>
      </w:pPr>
      <w:r>
        <w:t>8</w:t>
      </w:r>
      <w:r w:rsidR="00B11F6A" w:rsidRPr="00B11F6A">
        <w:t xml:space="preserve">.5 </w:t>
      </w:r>
      <w:r w:rsidR="00BC127D">
        <w:rPr>
          <w:b/>
        </w:rPr>
        <w:tab/>
      </w:r>
      <w:r w:rsidR="00B11F6A" w:rsidRPr="00B11F6A">
        <w:t xml:space="preserve">The student has the right to not attend and should notify the Hull College’s HE Quality Officer accordingly. The academic misconduct board has the right to convene and proceed in a student’s absence.  </w:t>
      </w:r>
    </w:p>
    <w:p w14:paraId="75DC2376" w14:textId="77777777" w:rsidR="00BC127D" w:rsidRDefault="00BC127D" w:rsidP="00397251">
      <w:pPr>
        <w:rPr>
          <w:b/>
        </w:rPr>
      </w:pPr>
    </w:p>
    <w:p w14:paraId="4AED3EFF" w14:textId="6D0FC0E7" w:rsidR="00B11F6A" w:rsidRPr="00B11F6A" w:rsidRDefault="00313D46" w:rsidP="00397251">
      <w:pPr>
        <w:rPr>
          <w:b/>
        </w:rPr>
      </w:pPr>
      <w:r>
        <w:t>8</w:t>
      </w:r>
      <w:r w:rsidR="00B11F6A" w:rsidRPr="00B11F6A">
        <w:t xml:space="preserve">.6 </w:t>
      </w:r>
      <w:r w:rsidR="00BC127D">
        <w:rPr>
          <w:b/>
        </w:rPr>
        <w:tab/>
      </w:r>
      <w:r w:rsidR="00B11F6A" w:rsidRPr="00B11F6A">
        <w:t xml:space="preserve">The student can request a postponement of the academic misconduct board on one occasion only, in writing to the HE Quality Officer. After this the academic misconduct board has the right to convene and proceed in a student’s absence.  </w:t>
      </w:r>
    </w:p>
    <w:p w14:paraId="300010BC" w14:textId="77777777" w:rsidR="00BC127D" w:rsidRDefault="00BC127D" w:rsidP="00397251">
      <w:pPr>
        <w:rPr>
          <w:b/>
        </w:rPr>
      </w:pPr>
    </w:p>
    <w:p w14:paraId="0A969E1F" w14:textId="1068403A" w:rsidR="00B11F6A" w:rsidRPr="00B11F6A" w:rsidRDefault="00313D46" w:rsidP="00397251">
      <w:pPr>
        <w:rPr>
          <w:b/>
        </w:rPr>
      </w:pPr>
      <w:r>
        <w:t>8</w:t>
      </w:r>
      <w:r w:rsidR="00B11F6A" w:rsidRPr="00B11F6A">
        <w:t xml:space="preserve">.7 </w:t>
      </w:r>
      <w:r w:rsidR="00BC127D">
        <w:rPr>
          <w:b/>
        </w:rPr>
        <w:tab/>
      </w:r>
      <w:r w:rsidR="00B11F6A" w:rsidRPr="00B11F6A">
        <w:t xml:space="preserve">The student has the right to be heard in person and to be accompanied by a third party (such as a friend, relative, tutor or success coach); however, the third party must not speak on behalf or advocate for the student unless invited to do so by the chair of the board and subject to partner University regulations.  </w:t>
      </w:r>
    </w:p>
    <w:p w14:paraId="4F3CCACD" w14:textId="77777777" w:rsidR="00B11F6A" w:rsidRPr="00B11F6A" w:rsidRDefault="00B11F6A" w:rsidP="00397251">
      <w:pPr>
        <w:rPr>
          <w:b/>
        </w:rPr>
      </w:pPr>
    </w:p>
    <w:p w14:paraId="6A3CF582" w14:textId="0A74B08A" w:rsidR="00B11F6A" w:rsidRPr="00B11F6A" w:rsidRDefault="00313D46" w:rsidP="00397251">
      <w:pPr>
        <w:rPr>
          <w:b/>
        </w:rPr>
      </w:pPr>
      <w:r>
        <w:t>8</w:t>
      </w:r>
      <w:r w:rsidR="00B11F6A" w:rsidRPr="00B11F6A">
        <w:t xml:space="preserve">.8 </w:t>
      </w:r>
      <w:r w:rsidR="00BC127D">
        <w:rPr>
          <w:b/>
        </w:rPr>
        <w:tab/>
      </w:r>
      <w:r w:rsidR="00B11F6A" w:rsidRPr="00B11F6A">
        <w:t xml:space="preserve">The board can call any witness or other individual to the hearing that it deems suitably equipped to supply evidence.  </w:t>
      </w:r>
    </w:p>
    <w:p w14:paraId="3B0A7647" w14:textId="77777777" w:rsidR="00BC127D" w:rsidRDefault="00BC127D" w:rsidP="00397251">
      <w:pPr>
        <w:rPr>
          <w:b/>
        </w:rPr>
      </w:pPr>
    </w:p>
    <w:p w14:paraId="3FA370AA" w14:textId="39A54BD7" w:rsidR="00B11F6A" w:rsidRPr="00B11F6A" w:rsidRDefault="00313D46" w:rsidP="00397251">
      <w:pPr>
        <w:rPr>
          <w:b/>
        </w:rPr>
      </w:pPr>
      <w:r>
        <w:t>8</w:t>
      </w:r>
      <w:r w:rsidR="00B11F6A" w:rsidRPr="00B11F6A">
        <w:t xml:space="preserve">.9 </w:t>
      </w:r>
      <w:r w:rsidR="00BC127D">
        <w:rPr>
          <w:b/>
        </w:rPr>
        <w:tab/>
      </w:r>
      <w:r w:rsidR="00B11F6A" w:rsidRPr="00B11F6A">
        <w:t xml:space="preserve">The student is entitled to be present through the presentation of evidence unless exceptional circumstances </w:t>
      </w:r>
      <w:proofErr w:type="gramStart"/>
      <w:r w:rsidR="00B11F6A" w:rsidRPr="00B11F6A">
        <w:t>exist</w:t>
      </w:r>
      <w:proofErr w:type="gramEnd"/>
      <w:r w:rsidR="00B11F6A" w:rsidRPr="00B11F6A">
        <w:t xml:space="preserve"> and the chair of the board approves the presentation of evidence in a ‘closed’ hearing and asks the student to temporarily leave the board hearing.  </w:t>
      </w:r>
    </w:p>
    <w:p w14:paraId="0AECA5EB" w14:textId="77777777" w:rsidR="00BC127D" w:rsidRDefault="00BC127D" w:rsidP="00397251">
      <w:pPr>
        <w:rPr>
          <w:b/>
        </w:rPr>
      </w:pPr>
    </w:p>
    <w:p w14:paraId="7C260DEF" w14:textId="155B494E" w:rsidR="00B11F6A" w:rsidRPr="00B11F6A" w:rsidRDefault="00AD3247" w:rsidP="00397251">
      <w:pPr>
        <w:rPr>
          <w:b/>
        </w:rPr>
      </w:pPr>
      <w:r>
        <w:t>8</w:t>
      </w:r>
      <w:r w:rsidR="00B11F6A" w:rsidRPr="00B11F6A">
        <w:t xml:space="preserve">.10 </w:t>
      </w:r>
      <w:r w:rsidR="00BC127D">
        <w:rPr>
          <w:b/>
        </w:rPr>
        <w:tab/>
      </w:r>
      <w:r w:rsidR="00B11F6A" w:rsidRPr="00B11F6A">
        <w:t xml:space="preserve">The student has the right to present any evidence by way of mitigation. Mitigation is not a defence for academic misconduct; however, this can be used as evidence by an academic misconduct board to lessen the penalty given.  </w:t>
      </w:r>
    </w:p>
    <w:p w14:paraId="7E45F61C" w14:textId="77777777" w:rsidR="00BC127D" w:rsidRDefault="00BC127D" w:rsidP="00397251">
      <w:pPr>
        <w:rPr>
          <w:b/>
        </w:rPr>
      </w:pPr>
    </w:p>
    <w:p w14:paraId="5AF18468" w14:textId="6A17F2C6" w:rsidR="00B11F6A" w:rsidRPr="00B11F6A" w:rsidRDefault="00AD3247" w:rsidP="00397251">
      <w:pPr>
        <w:rPr>
          <w:b/>
        </w:rPr>
      </w:pPr>
      <w:r>
        <w:t>8</w:t>
      </w:r>
      <w:r w:rsidR="00B11F6A" w:rsidRPr="00B11F6A">
        <w:t xml:space="preserve">.11 </w:t>
      </w:r>
      <w:r w:rsidR="00BC127D">
        <w:rPr>
          <w:b/>
        </w:rPr>
        <w:tab/>
      </w:r>
      <w:r w:rsidR="00B11F6A" w:rsidRPr="00B11F6A">
        <w:t xml:space="preserve">The chair will determine when satisfactory evidence has been received following which the board must make their decision in private. The decision will require the board to consider whether the allegation is proven or unproven. If proven, the board must determine what penalties will be imposed.  </w:t>
      </w:r>
    </w:p>
    <w:p w14:paraId="548056F7" w14:textId="77777777" w:rsidR="00BC127D" w:rsidRDefault="00BC127D" w:rsidP="00397251">
      <w:pPr>
        <w:rPr>
          <w:b/>
        </w:rPr>
      </w:pPr>
    </w:p>
    <w:p w14:paraId="7E7169E9" w14:textId="33C99409" w:rsidR="00B11F6A" w:rsidRPr="00B11F6A" w:rsidRDefault="00AD3247" w:rsidP="00397251">
      <w:pPr>
        <w:rPr>
          <w:b/>
        </w:rPr>
      </w:pPr>
      <w:r>
        <w:t>8</w:t>
      </w:r>
      <w:r w:rsidR="00B11F6A" w:rsidRPr="00B11F6A">
        <w:t xml:space="preserve">.12 </w:t>
      </w:r>
      <w:r w:rsidR="00BC127D">
        <w:rPr>
          <w:b/>
        </w:rPr>
        <w:tab/>
      </w:r>
      <w:r w:rsidR="00B11F6A" w:rsidRPr="00B11F6A">
        <w:t xml:space="preserve">The board must consider the unintended impact of its decisions and avoid imposing penalties, where possible, that severely impact the student more than the severity of the misconduct committed.  </w:t>
      </w:r>
    </w:p>
    <w:p w14:paraId="5FF91192" w14:textId="77777777" w:rsidR="00B11F6A" w:rsidRPr="00B11F6A" w:rsidRDefault="00B11F6A" w:rsidP="00397251">
      <w:pPr>
        <w:rPr>
          <w:b/>
        </w:rPr>
      </w:pPr>
      <w:r w:rsidRPr="00B11F6A">
        <w:t xml:space="preserve"> </w:t>
      </w:r>
    </w:p>
    <w:p w14:paraId="7123E6AD" w14:textId="45AC7513" w:rsidR="00B11F6A" w:rsidRPr="00BC127D" w:rsidRDefault="00B11F6A" w:rsidP="00BC127D">
      <w:pPr>
        <w:pStyle w:val="Heading1"/>
      </w:pPr>
      <w:bookmarkStart w:id="8" w:name="_Toc179299178"/>
      <w:r w:rsidRPr="00BC127D">
        <w:t>Cautions and Penalties for other awarding bodies</w:t>
      </w:r>
      <w:bookmarkEnd w:id="8"/>
      <w:r w:rsidRPr="00BC127D">
        <w:t xml:space="preserve"> </w:t>
      </w:r>
    </w:p>
    <w:p w14:paraId="2EAF1B6F" w14:textId="5740EBA5" w:rsidR="00B11F6A" w:rsidRPr="00B11F6A" w:rsidRDefault="00AD3247" w:rsidP="00397251">
      <w:pPr>
        <w:rPr>
          <w:b/>
        </w:rPr>
      </w:pPr>
      <w:r>
        <w:t>9</w:t>
      </w:r>
      <w:r w:rsidR="00B11F6A" w:rsidRPr="00B11F6A">
        <w:t xml:space="preserve">.1 </w:t>
      </w:r>
      <w:r w:rsidR="0041613E">
        <w:rPr>
          <w:b/>
        </w:rPr>
        <w:tab/>
      </w:r>
      <w:r w:rsidR="00B11F6A" w:rsidRPr="00B11F6A">
        <w:t xml:space="preserve">When determining what cautions or penalties must be imposed, the academic misconduct board will adhere to the relevant awarding body regulations and </w:t>
      </w:r>
      <w:proofErr w:type="gramStart"/>
      <w:r w:rsidR="00B11F6A" w:rsidRPr="00B11F6A">
        <w:t>take into account</w:t>
      </w:r>
      <w:proofErr w:type="gramEnd"/>
      <w:r w:rsidR="00B11F6A" w:rsidRPr="00B11F6A">
        <w:t xml:space="preserve"> the nature and severity of the conduct, the number of breaches, stage of study and any mitigating circumstances.  </w:t>
      </w:r>
    </w:p>
    <w:p w14:paraId="5604D7A7" w14:textId="77777777" w:rsidR="0041613E" w:rsidRDefault="0041613E" w:rsidP="0041613E">
      <w:pPr>
        <w:pStyle w:val="Heading1"/>
        <w:numPr>
          <w:ilvl w:val="0"/>
          <w:numId w:val="0"/>
        </w:numPr>
        <w:ind w:left="576" w:hanging="576"/>
        <w:rPr>
          <w:b w:val="0"/>
          <w:bCs/>
        </w:rPr>
      </w:pPr>
    </w:p>
    <w:p w14:paraId="0EBC477F" w14:textId="75E32937" w:rsidR="00B11F6A" w:rsidRPr="0041613E" w:rsidRDefault="00B11F6A" w:rsidP="0041613E">
      <w:pPr>
        <w:pStyle w:val="Heading1"/>
      </w:pPr>
      <w:bookmarkStart w:id="9" w:name="_Toc179299179"/>
      <w:r w:rsidRPr="0041613E">
        <w:t>Cautions and Penalties for Hull College awards</w:t>
      </w:r>
      <w:bookmarkEnd w:id="9"/>
      <w:r w:rsidRPr="0041613E">
        <w:t xml:space="preserve"> </w:t>
      </w:r>
    </w:p>
    <w:p w14:paraId="680F8244" w14:textId="0860E694" w:rsidR="00B11F6A" w:rsidRPr="00397251" w:rsidRDefault="00397251" w:rsidP="00397251">
      <w:pPr>
        <w:rPr>
          <w:b/>
          <w:bCs/>
        </w:rPr>
      </w:pPr>
      <w:r>
        <w:rPr>
          <w:b/>
          <w:bCs/>
        </w:rPr>
        <w:tab/>
      </w:r>
      <w:r w:rsidR="00B11F6A" w:rsidRPr="00397251">
        <w:rPr>
          <w:b/>
          <w:bCs/>
        </w:rPr>
        <w:t xml:space="preserve">Development Engagement </w:t>
      </w:r>
    </w:p>
    <w:p w14:paraId="0496297D" w14:textId="709CF2A1" w:rsidR="00B11F6A" w:rsidRPr="00B11F6A" w:rsidRDefault="00AD3247" w:rsidP="00397251">
      <w:pPr>
        <w:rPr>
          <w:b/>
        </w:rPr>
      </w:pPr>
      <w:r>
        <w:t>10</w:t>
      </w:r>
      <w:r w:rsidR="00B11F6A" w:rsidRPr="00B11F6A">
        <w:t xml:space="preserve">.1 </w:t>
      </w:r>
      <w:r w:rsidR="0041613E">
        <w:rPr>
          <w:b/>
        </w:rPr>
        <w:tab/>
      </w:r>
      <w:r w:rsidR="00B11F6A" w:rsidRPr="00B11F6A">
        <w:t xml:space="preserve">For students studying at foundation year (level 3) or level 4, where academic misconduct is not extensive (does not represent more than 20% of the element of the assessment) and is a first offence, the programme leader can deal with this through developmental engagement and will inform the student of the details of the academic misconduct that may have occurred.  </w:t>
      </w:r>
    </w:p>
    <w:p w14:paraId="74D75BD6" w14:textId="77777777" w:rsidR="0041613E" w:rsidRDefault="0041613E" w:rsidP="00397251">
      <w:pPr>
        <w:rPr>
          <w:b/>
        </w:rPr>
      </w:pPr>
    </w:p>
    <w:p w14:paraId="0FC258E9" w14:textId="5014F496" w:rsidR="00B11F6A" w:rsidRPr="00B11F6A" w:rsidRDefault="00AD3247" w:rsidP="00397251">
      <w:pPr>
        <w:rPr>
          <w:b/>
        </w:rPr>
      </w:pPr>
      <w:r>
        <w:t>10</w:t>
      </w:r>
      <w:r w:rsidR="00B11F6A" w:rsidRPr="00B11F6A">
        <w:t xml:space="preserve">.2 </w:t>
      </w:r>
      <w:r w:rsidR="0041613E">
        <w:rPr>
          <w:b/>
        </w:rPr>
        <w:tab/>
      </w:r>
      <w:r w:rsidR="00B11F6A" w:rsidRPr="00B11F6A">
        <w:t xml:space="preserve">The programme leader will inform the student that if academic misconduct occurs in the </w:t>
      </w:r>
      <w:proofErr w:type="gramStart"/>
      <w:r w:rsidR="00B11F6A" w:rsidRPr="00B11F6A">
        <w:t>future</w:t>
      </w:r>
      <w:proofErr w:type="gramEnd"/>
      <w:r w:rsidR="00B11F6A" w:rsidRPr="00B11F6A">
        <w:t xml:space="preserve"> it will be dealt with through a formal meeting: the Academic Misconduct Board.  </w:t>
      </w:r>
    </w:p>
    <w:p w14:paraId="1A37B9EA" w14:textId="77777777" w:rsidR="0041613E" w:rsidRDefault="0041613E" w:rsidP="00397251">
      <w:pPr>
        <w:rPr>
          <w:b/>
        </w:rPr>
      </w:pPr>
    </w:p>
    <w:p w14:paraId="2DD99479" w14:textId="4EF80020" w:rsidR="00B11F6A" w:rsidRPr="00B11F6A" w:rsidRDefault="00AD3247" w:rsidP="00397251">
      <w:pPr>
        <w:rPr>
          <w:b/>
        </w:rPr>
      </w:pPr>
      <w:r>
        <w:t>10</w:t>
      </w:r>
      <w:r w:rsidR="00B11F6A" w:rsidRPr="00B11F6A">
        <w:t xml:space="preserve">.3 </w:t>
      </w:r>
      <w:r w:rsidR="0041613E">
        <w:rPr>
          <w:b/>
        </w:rPr>
        <w:tab/>
      </w:r>
      <w:r w:rsidR="00B11F6A" w:rsidRPr="00B11F6A">
        <w:t xml:space="preserve">As the developmental engagement meeting with the programme leader is developmental in nature, students should be advised how to avoid academic misconduct in the future, should be referred to material on the website or should be referred to the Student Success Officer or staff within the library/elevate.  </w:t>
      </w:r>
    </w:p>
    <w:p w14:paraId="171B5BD1" w14:textId="77777777" w:rsidR="0041613E" w:rsidRDefault="0041613E" w:rsidP="00397251">
      <w:pPr>
        <w:rPr>
          <w:b/>
        </w:rPr>
      </w:pPr>
    </w:p>
    <w:p w14:paraId="0F21B7C8" w14:textId="1B29991A" w:rsidR="00B11F6A" w:rsidRPr="00B11F6A" w:rsidRDefault="00AD3247" w:rsidP="00397251">
      <w:pPr>
        <w:rPr>
          <w:b/>
        </w:rPr>
      </w:pPr>
      <w:r>
        <w:t>10</w:t>
      </w:r>
      <w:r w:rsidR="00B11F6A" w:rsidRPr="00B11F6A">
        <w:t xml:space="preserve">.4 </w:t>
      </w:r>
      <w:r w:rsidR="0041613E">
        <w:rPr>
          <w:b/>
        </w:rPr>
        <w:tab/>
      </w:r>
      <w:r w:rsidR="00B11F6A" w:rsidRPr="00B11F6A">
        <w:t xml:space="preserve">At the meeting the programme leader must complete a Developmental Engagement proforma (HE11B) which will outline the advice </w:t>
      </w:r>
      <w:proofErr w:type="gramStart"/>
      <w:r w:rsidR="00B11F6A" w:rsidRPr="00B11F6A">
        <w:t>given, and</w:t>
      </w:r>
      <w:proofErr w:type="gramEnd"/>
      <w:r w:rsidR="00B11F6A" w:rsidRPr="00B11F6A">
        <w:t xml:space="preserve"> be signed by both the student and programme leader.  </w:t>
      </w:r>
    </w:p>
    <w:p w14:paraId="451A6296" w14:textId="77777777" w:rsidR="0041613E" w:rsidRDefault="0041613E" w:rsidP="00397251">
      <w:pPr>
        <w:rPr>
          <w:b/>
        </w:rPr>
      </w:pPr>
    </w:p>
    <w:p w14:paraId="1B94349F" w14:textId="25E34D3E" w:rsidR="00B11F6A" w:rsidRPr="00B11F6A" w:rsidRDefault="00AD3247" w:rsidP="00397251">
      <w:pPr>
        <w:rPr>
          <w:b/>
        </w:rPr>
      </w:pPr>
      <w:r>
        <w:lastRenderedPageBreak/>
        <w:t>10</w:t>
      </w:r>
      <w:r w:rsidR="00B11F6A" w:rsidRPr="00B11F6A">
        <w:t xml:space="preserve">.5 </w:t>
      </w:r>
      <w:r w:rsidR="0041613E">
        <w:rPr>
          <w:b/>
        </w:rPr>
        <w:tab/>
      </w:r>
      <w:r w:rsidR="00B11F6A" w:rsidRPr="00B11F6A">
        <w:t xml:space="preserve">A log of each developmental engagement will be maintained </w:t>
      </w:r>
      <w:proofErr w:type="gramStart"/>
      <w:r w:rsidR="00B11F6A" w:rsidRPr="00B11F6A">
        <w:t>in order to</w:t>
      </w:r>
      <w:proofErr w:type="gramEnd"/>
      <w:r w:rsidR="00B11F6A" w:rsidRPr="00B11F6A">
        <w:t xml:space="preserve"> take appropriate action if further offences occur. The element of assessment will be marked and no cap will be applied. </w:t>
      </w:r>
    </w:p>
    <w:p w14:paraId="093D26E0" w14:textId="77777777" w:rsidR="003021D5" w:rsidRDefault="003021D5" w:rsidP="00397251">
      <w:pPr>
        <w:rPr>
          <w:b/>
        </w:rPr>
      </w:pPr>
    </w:p>
    <w:p w14:paraId="1FB37DBF" w14:textId="35EABC0E" w:rsidR="00B11F6A" w:rsidRPr="00397251" w:rsidRDefault="003021D5" w:rsidP="00397251">
      <w:pPr>
        <w:rPr>
          <w:b/>
          <w:bCs/>
        </w:rPr>
      </w:pPr>
      <w:r w:rsidRPr="00397251">
        <w:rPr>
          <w:b/>
          <w:bCs/>
        </w:rPr>
        <w:tab/>
      </w:r>
      <w:r w:rsidR="00B11F6A" w:rsidRPr="00397251">
        <w:rPr>
          <w:b/>
          <w:bCs/>
        </w:rPr>
        <w:t xml:space="preserve">Academic Misconduct Board </w:t>
      </w:r>
    </w:p>
    <w:p w14:paraId="4952F3C3" w14:textId="1C17125A" w:rsidR="00B11F6A" w:rsidRPr="00B11F6A" w:rsidRDefault="00AD3247" w:rsidP="00397251">
      <w:pPr>
        <w:rPr>
          <w:b/>
        </w:rPr>
      </w:pPr>
      <w:r>
        <w:t>10</w:t>
      </w:r>
      <w:r w:rsidR="00B11F6A" w:rsidRPr="00B11F6A">
        <w:t xml:space="preserve">.6 </w:t>
      </w:r>
      <w:r w:rsidR="003021D5">
        <w:rPr>
          <w:b/>
        </w:rPr>
        <w:tab/>
      </w:r>
      <w:r w:rsidR="00B11F6A" w:rsidRPr="00B11F6A">
        <w:t xml:space="preserve">Where an allegation of academic misconduct falls outside of Developmental Engagement, the matter shall be investigated and determined by the Academic Misconduct Board.  </w:t>
      </w:r>
    </w:p>
    <w:p w14:paraId="0C17FBBE" w14:textId="77777777" w:rsidR="003021D5" w:rsidRDefault="003021D5" w:rsidP="00397251">
      <w:pPr>
        <w:rPr>
          <w:b/>
        </w:rPr>
      </w:pPr>
    </w:p>
    <w:p w14:paraId="0E5E5DE1" w14:textId="3C27BD78" w:rsidR="00B11F6A" w:rsidRPr="00B11F6A" w:rsidRDefault="00AD3247" w:rsidP="00397251">
      <w:pPr>
        <w:rPr>
          <w:b/>
        </w:rPr>
      </w:pPr>
      <w:r>
        <w:t>10</w:t>
      </w:r>
      <w:r w:rsidR="00B11F6A" w:rsidRPr="00B11F6A">
        <w:t xml:space="preserve">.7 </w:t>
      </w:r>
      <w:r w:rsidR="003021D5">
        <w:rPr>
          <w:b/>
        </w:rPr>
        <w:tab/>
      </w:r>
      <w:r w:rsidR="00B11F6A" w:rsidRPr="00B11F6A">
        <w:t xml:space="preserve">Where there is evidence of academic misconduct in multiple assignments that were submitted at the same time, this type of practice shall be treated as a single occurrence.  </w:t>
      </w:r>
    </w:p>
    <w:p w14:paraId="6E3C9E58" w14:textId="77777777" w:rsidR="00AD3247" w:rsidRDefault="00AD3247" w:rsidP="00CA0E64">
      <w:pPr>
        <w:ind w:left="0" w:firstLine="0"/>
      </w:pPr>
    </w:p>
    <w:p w14:paraId="554432A4" w14:textId="5B9C75F7" w:rsidR="00B11F6A" w:rsidRPr="00B11F6A" w:rsidRDefault="00AD3247" w:rsidP="00397251">
      <w:pPr>
        <w:rPr>
          <w:b/>
        </w:rPr>
      </w:pPr>
      <w:r>
        <w:t>10</w:t>
      </w:r>
      <w:r w:rsidR="00B11F6A" w:rsidRPr="00B11F6A">
        <w:t xml:space="preserve">.8 </w:t>
      </w:r>
      <w:r w:rsidR="003021D5">
        <w:rPr>
          <w:b/>
        </w:rPr>
        <w:tab/>
      </w:r>
      <w:r w:rsidR="00B11F6A" w:rsidRPr="00B11F6A">
        <w:t xml:space="preserve">Where academic misconduct has occurred at level 3 and level 4 and is a first offence, once the investigation has been completed by the HE Quality Officer, the penalty can be delegated to a chair’s action of the Academic Misconduct Board. This cannot be used for formal written invigilated exams.   </w:t>
      </w:r>
    </w:p>
    <w:p w14:paraId="69D27625" w14:textId="77777777" w:rsidR="003021D5" w:rsidRDefault="003021D5" w:rsidP="00397251">
      <w:pPr>
        <w:rPr>
          <w:b/>
        </w:rPr>
      </w:pPr>
    </w:p>
    <w:p w14:paraId="3457965F" w14:textId="1C66689D" w:rsidR="00B11F6A" w:rsidRPr="00B11F6A" w:rsidRDefault="00AD3247" w:rsidP="00397251">
      <w:pPr>
        <w:rPr>
          <w:b/>
        </w:rPr>
      </w:pPr>
      <w:r>
        <w:t>10</w:t>
      </w:r>
      <w:r w:rsidR="00B11F6A" w:rsidRPr="00B11F6A">
        <w:t xml:space="preserve">.9 </w:t>
      </w:r>
      <w:r w:rsidR="003021D5">
        <w:rPr>
          <w:b/>
        </w:rPr>
        <w:tab/>
      </w:r>
      <w:r w:rsidR="00B11F6A" w:rsidRPr="00B11F6A">
        <w:t xml:space="preserve">Where the procedure in 9.8 has been implemented, a student who wishes to appeal the decision will have their case referred to a full Academic Misconduct Board where the full range of penalties could be applied.   </w:t>
      </w:r>
    </w:p>
    <w:p w14:paraId="6374F6DE" w14:textId="77777777" w:rsidR="003021D5" w:rsidRDefault="003021D5" w:rsidP="00397251">
      <w:pPr>
        <w:rPr>
          <w:b/>
        </w:rPr>
      </w:pPr>
    </w:p>
    <w:p w14:paraId="1F30775B" w14:textId="3E5A9252" w:rsidR="00B11F6A" w:rsidRPr="00B11F6A" w:rsidRDefault="00AD3247" w:rsidP="00397251">
      <w:pPr>
        <w:rPr>
          <w:b/>
        </w:rPr>
      </w:pPr>
      <w:r>
        <w:t>10</w:t>
      </w:r>
      <w:r w:rsidR="00B11F6A" w:rsidRPr="00B11F6A">
        <w:t xml:space="preserve">.10 All chair’s actions must be formally reported into Hull College Group HE AQC Committee.  </w:t>
      </w:r>
    </w:p>
    <w:p w14:paraId="1A9E74C6" w14:textId="77777777" w:rsidR="003021D5" w:rsidRDefault="003021D5" w:rsidP="00397251">
      <w:pPr>
        <w:rPr>
          <w:b/>
        </w:rPr>
      </w:pPr>
    </w:p>
    <w:p w14:paraId="215FA46B" w14:textId="33AC1B7F" w:rsidR="00B11F6A" w:rsidRPr="00B11F6A" w:rsidRDefault="00AD3247" w:rsidP="00397251">
      <w:pPr>
        <w:rPr>
          <w:b/>
        </w:rPr>
      </w:pPr>
      <w:r>
        <w:t>10</w:t>
      </w:r>
      <w:r w:rsidR="00B11F6A" w:rsidRPr="00B11F6A">
        <w:t xml:space="preserve">.11 The following tariff of penalties is to be applied to students found to have committed acts of academic misconduct in assessed work other than examinations. The Chair of the Academic Misconduct Board or equivalent can consider whether or not a particular penalty should be applied or lessened in the light of any statement of mitigation submitted by a student and/or any other factors deemed relevant.  </w:t>
      </w:r>
    </w:p>
    <w:p w14:paraId="764032C4" w14:textId="77777777" w:rsidR="003021D5" w:rsidRDefault="003021D5" w:rsidP="00397251">
      <w:pPr>
        <w:rPr>
          <w:b/>
        </w:rPr>
      </w:pPr>
    </w:p>
    <w:p w14:paraId="6D3365D9" w14:textId="6CA7AA74" w:rsidR="00B11F6A" w:rsidRPr="00B11F6A" w:rsidRDefault="00AD3247" w:rsidP="00397251">
      <w:pPr>
        <w:rPr>
          <w:b/>
        </w:rPr>
      </w:pPr>
      <w:r>
        <w:t>10</w:t>
      </w:r>
      <w:r w:rsidR="00B11F6A" w:rsidRPr="00B11F6A">
        <w:t xml:space="preserve">.12 It is not necessary for intent to be proven. It is sufficient that the particular act has occurred. A case will be considered on the base of evidence.  </w:t>
      </w:r>
    </w:p>
    <w:p w14:paraId="57D86FE4" w14:textId="77777777" w:rsidR="003021D5" w:rsidRDefault="003021D5" w:rsidP="00397251">
      <w:pPr>
        <w:rPr>
          <w:b/>
        </w:rPr>
      </w:pPr>
    </w:p>
    <w:p w14:paraId="67D732E3" w14:textId="774323BE" w:rsidR="00B11F6A" w:rsidRPr="00B11F6A" w:rsidRDefault="00AD3247" w:rsidP="00397251">
      <w:pPr>
        <w:rPr>
          <w:b/>
        </w:rPr>
      </w:pPr>
      <w:r>
        <w:t>10</w:t>
      </w:r>
      <w:r w:rsidR="00B11F6A" w:rsidRPr="00B11F6A">
        <w:t xml:space="preserve">.13 Where academic misconduct has occurred at level 3 (foundation year) and 4 (except in formal written invigilated examination) the following penalties must be awarded:  </w:t>
      </w:r>
    </w:p>
    <w:p w14:paraId="45C80E73" w14:textId="7BAF6308" w:rsidR="00B11F6A" w:rsidRPr="00397251" w:rsidRDefault="00B11F6A" w:rsidP="00397251">
      <w:pPr>
        <w:pStyle w:val="ListParagraph"/>
        <w:numPr>
          <w:ilvl w:val="0"/>
          <w:numId w:val="46"/>
        </w:numPr>
        <w:ind w:left="936"/>
        <w:rPr>
          <w:b/>
        </w:rPr>
      </w:pPr>
      <w:r w:rsidRPr="00B11F6A">
        <w:t xml:space="preserve">For a first offence where the academic misconduct is not extensive (i.e. less than 20% of the element of assessment), a written warning with no reduction in marks can be given. The warning will be carried forward to the module board of examiners. </w:t>
      </w:r>
    </w:p>
    <w:p w14:paraId="26DF1F68" w14:textId="77777777" w:rsidR="00B11F6A" w:rsidRPr="00397251" w:rsidRDefault="00B11F6A" w:rsidP="00397251">
      <w:pPr>
        <w:pStyle w:val="ListParagraph"/>
        <w:numPr>
          <w:ilvl w:val="0"/>
          <w:numId w:val="46"/>
        </w:numPr>
        <w:ind w:left="936"/>
        <w:rPr>
          <w:b/>
        </w:rPr>
      </w:pPr>
      <w:r w:rsidRPr="00B11F6A">
        <w:t xml:space="preserve">For a first offence where the academic misconduct is extensive (i.e. greater than 20% of the element of assessment) a written warning and a mark of 0 for the element will be given. The mark of 0 will be carried forward to the module board of examiners. The student will be able to </w:t>
      </w:r>
      <w:proofErr w:type="spellStart"/>
      <w:r w:rsidRPr="00B11F6A">
        <w:t>resit</w:t>
      </w:r>
      <w:proofErr w:type="spellEnd"/>
      <w:r w:rsidRPr="00B11F6A">
        <w:t xml:space="preserve"> the work at the next available opportunity. </w:t>
      </w:r>
    </w:p>
    <w:p w14:paraId="58C49326" w14:textId="77777777" w:rsidR="00B11F6A" w:rsidRPr="00397251" w:rsidRDefault="00B11F6A" w:rsidP="00397251">
      <w:pPr>
        <w:pStyle w:val="ListParagraph"/>
        <w:numPr>
          <w:ilvl w:val="0"/>
          <w:numId w:val="46"/>
        </w:numPr>
        <w:ind w:left="936"/>
        <w:rPr>
          <w:b/>
        </w:rPr>
      </w:pPr>
      <w:r w:rsidRPr="00B11F6A">
        <w:t xml:space="preserve">For a second offence in any module within the same programme of study a further warning and a mark of 0 for the module in which the second offence occurred will be given. The mark of 0 will be carried forward to the module board of examiners. The student will be able to </w:t>
      </w:r>
      <w:proofErr w:type="spellStart"/>
      <w:r w:rsidRPr="00B11F6A">
        <w:t>resit</w:t>
      </w:r>
      <w:proofErr w:type="spellEnd"/>
      <w:r w:rsidRPr="00B11F6A">
        <w:t xml:space="preserve"> the work at the next available opportunity. </w:t>
      </w:r>
    </w:p>
    <w:p w14:paraId="084E05C1" w14:textId="77777777" w:rsidR="00B11F6A" w:rsidRPr="00397251" w:rsidRDefault="00B11F6A" w:rsidP="00397251">
      <w:pPr>
        <w:pStyle w:val="ListParagraph"/>
        <w:numPr>
          <w:ilvl w:val="0"/>
          <w:numId w:val="46"/>
        </w:numPr>
        <w:ind w:left="936"/>
        <w:rPr>
          <w:b/>
        </w:rPr>
      </w:pPr>
      <w:r w:rsidRPr="00B11F6A">
        <w:t xml:space="preserve">For any subsequent offence anywhere within the same programme of study the student will be terminated from programme.  </w:t>
      </w:r>
    </w:p>
    <w:p w14:paraId="343F74A3" w14:textId="2DBAD64A" w:rsidR="00B11F6A" w:rsidRPr="00B11F6A" w:rsidRDefault="00B11F6A" w:rsidP="00397251">
      <w:pPr>
        <w:rPr>
          <w:b/>
        </w:rPr>
      </w:pPr>
    </w:p>
    <w:p w14:paraId="016A5B8C" w14:textId="65BF16C0" w:rsidR="00B11F6A" w:rsidRPr="00B11F6A" w:rsidRDefault="00AD3247" w:rsidP="00397251">
      <w:pPr>
        <w:rPr>
          <w:b/>
        </w:rPr>
      </w:pPr>
      <w:r>
        <w:t>10</w:t>
      </w:r>
      <w:r w:rsidR="00B11F6A" w:rsidRPr="00B11F6A">
        <w:t xml:space="preserve">.14 Where academic misconduct has occurred at level 5 (except in formal written invigilated examination) the following penalties must be awarded:  </w:t>
      </w:r>
    </w:p>
    <w:p w14:paraId="6846C487" w14:textId="77777777" w:rsidR="00B11F6A" w:rsidRPr="00397251" w:rsidRDefault="00B11F6A" w:rsidP="00397251">
      <w:pPr>
        <w:pStyle w:val="ListParagraph"/>
        <w:numPr>
          <w:ilvl w:val="0"/>
          <w:numId w:val="47"/>
        </w:numPr>
        <w:ind w:left="936"/>
        <w:rPr>
          <w:b/>
        </w:rPr>
      </w:pPr>
      <w:r w:rsidRPr="00B11F6A">
        <w:t xml:space="preserve">Where there is no previous record in any academic level of academic misconduct and it represents not more than 20% of the element of assessment; a mark of 0 for the element will be given.  The student will be able to </w:t>
      </w:r>
      <w:proofErr w:type="spellStart"/>
      <w:r w:rsidRPr="00B11F6A">
        <w:t>resit</w:t>
      </w:r>
      <w:proofErr w:type="spellEnd"/>
      <w:r w:rsidRPr="00B11F6A">
        <w:t xml:space="preserve"> the work at the next available opportunity. </w:t>
      </w:r>
    </w:p>
    <w:p w14:paraId="7DEE517F" w14:textId="77777777" w:rsidR="00B11F6A" w:rsidRPr="00397251" w:rsidRDefault="00B11F6A" w:rsidP="00397251">
      <w:pPr>
        <w:pStyle w:val="ListParagraph"/>
        <w:numPr>
          <w:ilvl w:val="0"/>
          <w:numId w:val="47"/>
        </w:numPr>
        <w:ind w:left="936"/>
        <w:rPr>
          <w:b/>
        </w:rPr>
      </w:pPr>
      <w:r w:rsidRPr="00B11F6A">
        <w:t xml:space="preserve">Where there is no previous record in any academic level of academic misconduct and it represents more than 20% of the element of assessment a mark of 0 for the module will be given. The student will be able to </w:t>
      </w:r>
      <w:proofErr w:type="spellStart"/>
      <w:r w:rsidRPr="00B11F6A">
        <w:t>resit</w:t>
      </w:r>
      <w:proofErr w:type="spellEnd"/>
      <w:r w:rsidRPr="00B11F6A">
        <w:t xml:space="preserve"> the work at the next available opportunity. </w:t>
      </w:r>
    </w:p>
    <w:p w14:paraId="3AB9745E" w14:textId="77777777" w:rsidR="00B11F6A" w:rsidRPr="00397251" w:rsidRDefault="00B11F6A" w:rsidP="00397251">
      <w:pPr>
        <w:pStyle w:val="ListParagraph"/>
        <w:numPr>
          <w:ilvl w:val="0"/>
          <w:numId w:val="47"/>
        </w:numPr>
        <w:ind w:left="936"/>
        <w:rPr>
          <w:b/>
        </w:rPr>
      </w:pPr>
      <w:r w:rsidRPr="00B11F6A">
        <w:t xml:space="preserve">For any subsequent offence anywhere within the same programme of study the student will be terminated from programme. </w:t>
      </w:r>
    </w:p>
    <w:p w14:paraId="5BDA3F98" w14:textId="07507976" w:rsidR="00B11F6A" w:rsidRPr="00B11F6A" w:rsidRDefault="00B11F6A" w:rsidP="00397251">
      <w:pPr>
        <w:rPr>
          <w:b/>
        </w:rPr>
      </w:pPr>
      <w:r w:rsidRPr="00B11F6A">
        <w:lastRenderedPageBreak/>
        <w:t xml:space="preserve"> </w:t>
      </w:r>
      <w:r w:rsidR="00AD3247">
        <w:t>10</w:t>
      </w:r>
      <w:r w:rsidRPr="00B11F6A">
        <w:t xml:space="preserve">.15 Where academic misconduct has occurred during a formal written invigilated examination at any level of the programme the following penalties must be awarded: </w:t>
      </w:r>
    </w:p>
    <w:p w14:paraId="5EC68C13" w14:textId="77777777" w:rsidR="00B11F6A" w:rsidRPr="008C7BB9" w:rsidRDefault="00B11F6A" w:rsidP="008C7BB9">
      <w:pPr>
        <w:pStyle w:val="ListParagraph"/>
        <w:numPr>
          <w:ilvl w:val="0"/>
          <w:numId w:val="48"/>
        </w:numPr>
        <w:ind w:left="936"/>
        <w:rPr>
          <w:b/>
        </w:rPr>
      </w:pPr>
      <w:r w:rsidRPr="00B11F6A">
        <w:t xml:space="preserve">Where there is no previous record of in any level of academic misconduct within the same programme of study a mark of 0 will be awarded to the module in which the examination sits.  The student will be able to </w:t>
      </w:r>
      <w:proofErr w:type="spellStart"/>
      <w:r w:rsidRPr="00B11F6A">
        <w:t>resit</w:t>
      </w:r>
      <w:proofErr w:type="spellEnd"/>
      <w:r w:rsidRPr="00B11F6A">
        <w:t xml:space="preserve"> the examination at the next available opportunity. </w:t>
      </w:r>
    </w:p>
    <w:p w14:paraId="01F8AE4A" w14:textId="77777777" w:rsidR="00B11F6A" w:rsidRPr="008C7BB9" w:rsidRDefault="00B11F6A" w:rsidP="008C7BB9">
      <w:pPr>
        <w:pStyle w:val="ListParagraph"/>
        <w:numPr>
          <w:ilvl w:val="0"/>
          <w:numId w:val="48"/>
        </w:numPr>
        <w:ind w:left="936"/>
        <w:rPr>
          <w:b/>
        </w:rPr>
      </w:pPr>
      <w:r w:rsidRPr="00B11F6A">
        <w:t xml:space="preserve">For any subsequent offence anywhere within the same programme of study the student will be terminated from programme. </w:t>
      </w:r>
    </w:p>
    <w:p w14:paraId="3C430A40" w14:textId="1F589572" w:rsidR="00B11F6A" w:rsidRPr="00B11F6A" w:rsidRDefault="00B11F6A" w:rsidP="00F63793">
      <w:pPr>
        <w:pStyle w:val="Heading1"/>
        <w:numPr>
          <w:ilvl w:val="0"/>
          <w:numId w:val="0"/>
        </w:numPr>
        <w:ind w:left="576"/>
        <w:rPr>
          <w:b w:val="0"/>
          <w:bCs/>
        </w:rPr>
      </w:pPr>
    </w:p>
    <w:p w14:paraId="0AA671AF" w14:textId="3F077DCB" w:rsidR="00B11F6A" w:rsidRPr="00F63793" w:rsidRDefault="00B11F6A" w:rsidP="00F63793">
      <w:pPr>
        <w:pStyle w:val="Heading1"/>
        <w:jc w:val="both"/>
      </w:pPr>
      <w:bookmarkStart w:id="10" w:name="_Toc179299180"/>
      <w:r w:rsidRPr="00F63793">
        <w:t>Pearson awards</w:t>
      </w:r>
      <w:bookmarkEnd w:id="10"/>
      <w:r w:rsidRPr="00F63793">
        <w:t xml:space="preserve"> </w:t>
      </w:r>
      <w:r w:rsidRPr="00F63793">
        <w:rPr>
          <w:b w:val="0"/>
          <w:bCs/>
        </w:rPr>
        <w:t xml:space="preserve"> </w:t>
      </w:r>
    </w:p>
    <w:p w14:paraId="2E63F076" w14:textId="3AB98114" w:rsidR="00B11F6A" w:rsidRPr="00B11F6A" w:rsidRDefault="00B11F6A" w:rsidP="008C7BB9">
      <w:pPr>
        <w:rPr>
          <w:b/>
        </w:rPr>
      </w:pPr>
      <w:r w:rsidRPr="00B11F6A">
        <w:t>1</w:t>
      </w:r>
      <w:r w:rsidR="00AD3247">
        <w:t>1</w:t>
      </w:r>
      <w:r w:rsidRPr="00B11F6A">
        <w:t xml:space="preserve">.1 </w:t>
      </w:r>
      <w:r w:rsidR="00F63793">
        <w:rPr>
          <w:b/>
        </w:rPr>
        <w:tab/>
      </w:r>
      <w:r w:rsidRPr="00B11F6A">
        <w:t xml:space="preserve">For Pearson provision the following will also apply: </w:t>
      </w:r>
    </w:p>
    <w:p w14:paraId="3F6D8814" w14:textId="77777777" w:rsidR="00B11F6A" w:rsidRPr="008C7BB9" w:rsidRDefault="00B11F6A" w:rsidP="008C7BB9">
      <w:pPr>
        <w:pStyle w:val="ListParagraph"/>
        <w:numPr>
          <w:ilvl w:val="0"/>
          <w:numId w:val="49"/>
        </w:numPr>
        <w:ind w:left="936"/>
        <w:rPr>
          <w:b/>
        </w:rPr>
      </w:pPr>
      <w:r w:rsidRPr="00B11F6A">
        <w:t xml:space="preserve">Where the conduct is a first offence, minimal and the student is studying on the first year of the programme, a caution letter may be issued and no other penalty applied. </w:t>
      </w:r>
    </w:p>
    <w:p w14:paraId="680A2BE6" w14:textId="77777777" w:rsidR="00B11F6A" w:rsidRPr="008C7BB9" w:rsidRDefault="00B11F6A" w:rsidP="008C7BB9">
      <w:pPr>
        <w:pStyle w:val="ListParagraph"/>
        <w:numPr>
          <w:ilvl w:val="0"/>
          <w:numId w:val="49"/>
        </w:numPr>
        <w:ind w:left="936"/>
        <w:rPr>
          <w:b/>
        </w:rPr>
      </w:pPr>
      <w:r w:rsidRPr="00B11F6A">
        <w:t xml:space="preserve">Where the conduct ranges from minimum to moderate, the penalty must be imposed via a reduction of the mark to the module for example Distinction to Merit, Merit to Pass or Pass to Fail. However, where the conduct is extensive and exact, the penalty must be a </w:t>
      </w:r>
      <w:proofErr w:type="gramStart"/>
      <w:r w:rsidRPr="00B11F6A">
        <w:t>fail</w:t>
      </w:r>
      <w:proofErr w:type="gramEnd"/>
      <w:r w:rsidRPr="00B11F6A">
        <w:t xml:space="preserve">. </w:t>
      </w:r>
    </w:p>
    <w:p w14:paraId="6942FF14" w14:textId="77777777" w:rsidR="00B11F6A" w:rsidRPr="008C7BB9" w:rsidRDefault="00B11F6A" w:rsidP="008C7BB9">
      <w:pPr>
        <w:pStyle w:val="ListParagraph"/>
        <w:numPr>
          <w:ilvl w:val="0"/>
          <w:numId w:val="49"/>
        </w:numPr>
        <w:ind w:left="936"/>
        <w:rPr>
          <w:b/>
        </w:rPr>
      </w:pPr>
      <w:r w:rsidRPr="00B11F6A">
        <w:t xml:space="preserve">Where a previous breach has been committed (and has not occurred at the same time as the second, or the student has not had notification of the first breach before committing the second), the board must begin with the presumption of a maximum penalty. </w:t>
      </w:r>
    </w:p>
    <w:p w14:paraId="4A408B04" w14:textId="77777777" w:rsidR="00B11F6A" w:rsidRPr="008C7BB9" w:rsidRDefault="00B11F6A" w:rsidP="008C7BB9">
      <w:pPr>
        <w:pStyle w:val="ListParagraph"/>
        <w:numPr>
          <w:ilvl w:val="0"/>
          <w:numId w:val="49"/>
        </w:numPr>
        <w:ind w:left="936"/>
        <w:rPr>
          <w:b/>
        </w:rPr>
      </w:pPr>
      <w:r w:rsidRPr="00B11F6A">
        <w:t xml:space="preserve">The maximum penalty is a termination of the programme of study. </w:t>
      </w:r>
    </w:p>
    <w:p w14:paraId="2921EFBF" w14:textId="4CCBA4E4" w:rsidR="00B11F6A" w:rsidRPr="00B11F6A" w:rsidRDefault="00B11F6A" w:rsidP="00F63793">
      <w:pPr>
        <w:pStyle w:val="Heading1"/>
        <w:numPr>
          <w:ilvl w:val="0"/>
          <w:numId w:val="0"/>
        </w:numPr>
        <w:ind w:left="576"/>
        <w:rPr>
          <w:b w:val="0"/>
          <w:bCs/>
        </w:rPr>
      </w:pPr>
    </w:p>
    <w:p w14:paraId="15F73D51" w14:textId="7701214F" w:rsidR="00B11F6A" w:rsidRPr="00F63793" w:rsidRDefault="00B11F6A" w:rsidP="00F63793">
      <w:pPr>
        <w:pStyle w:val="Heading1"/>
      </w:pPr>
      <w:bookmarkStart w:id="11" w:name="_Toc179299181"/>
      <w:r w:rsidRPr="00F63793">
        <w:t>University Partners</w:t>
      </w:r>
      <w:bookmarkEnd w:id="11"/>
      <w:r w:rsidRPr="00F63793">
        <w:t xml:space="preserve">  </w:t>
      </w:r>
    </w:p>
    <w:p w14:paraId="70CFE82B" w14:textId="7999B727" w:rsidR="00B11F6A" w:rsidRPr="00B11F6A" w:rsidRDefault="00B11F6A" w:rsidP="008C7BB9">
      <w:pPr>
        <w:rPr>
          <w:b/>
        </w:rPr>
      </w:pPr>
      <w:r w:rsidRPr="00B11F6A">
        <w:t>1</w:t>
      </w:r>
      <w:r w:rsidR="00AD3247">
        <w:t>2</w:t>
      </w:r>
      <w:r w:rsidRPr="00B11F6A">
        <w:t xml:space="preserve">.1 </w:t>
      </w:r>
      <w:r w:rsidR="00F63793">
        <w:rPr>
          <w:b/>
        </w:rPr>
        <w:tab/>
      </w:r>
      <w:r w:rsidRPr="00B11F6A">
        <w:t xml:space="preserve">Penalties for offences under the University of Hull awards are stored in their handbook.  Click on Assessment and Academic Misconduct.   </w:t>
      </w:r>
    </w:p>
    <w:p w14:paraId="730AB061" w14:textId="77777777" w:rsidR="00B11F6A" w:rsidRPr="00B11F6A" w:rsidRDefault="00B11F6A" w:rsidP="008C7BB9">
      <w:pPr>
        <w:rPr>
          <w:b/>
        </w:rPr>
      </w:pPr>
      <w:r w:rsidRPr="00B11F6A">
        <w:t xml:space="preserve"> </w:t>
      </w:r>
    </w:p>
    <w:p w14:paraId="7C1D75B1" w14:textId="191439AC" w:rsidR="00B11F6A" w:rsidRPr="00B11F6A" w:rsidRDefault="00B11F6A" w:rsidP="008C7BB9">
      <w:pPr>
        <w:rPr>
          <w:b/>
        </w:rPr>
      </w:pPr>
      <w:r w:rsidRPr="00B11F6A">
        <w:t>1</w:t>
      </w:r>
      <w:r w:rsidR="00AD3247">
        <w:t>2</w:t>
      </w:r>
      <w:r w:rsidRPr="00B11F6A">
        <w:t xml:space="preserve">.2 </w:t>
      </w:r>
      <w:r w:rsidR="00F63793">
        <w:rPr>
          <w:b/>
        </w:rPr>
        <w:tab/>
      </w:r>
      <w:r w:rsidRPr="00B11F6A">
        <w:t xml:space="preserve">Penalties for offences under the University of Huddersfield awards are stored in their handbook.   </w:t>
      </w:r>
    </w:p>
    <w:p w14:paraId="1138FC44" w14:textId="77777777" w:rsidR="00B11F6A" w:rsidRPr="00B11F6A" w:rsidRDefault="00B11F6A" w:rsidP="00F63793">
      <w:pPr>
        <w:pStyle w:val="Heading1"/>
        <w:numPr>
          <w:ilvl w:val="0"/>
          <w:numId w:val="0"/>
        </w:numPr>
        <w:ind w:left="576" w:hanging="576"/>
        <w:rPr>
          <w:b w:val="0"/>
          <w:bCs/>
        </w:rPr>
      </w:pPr>
      <w:r w:rsidRPr="00B11F6A">
        <w:rPr>
          <w:b w:val="0"/>
          <w:bCs/>
        </w:rPr>
        <w:t xml:space="preserve"> </w:t>
      </w:r>
    </w:p>
    <w:p w14:paraId="52328502" w14:textId="211A6B9B" w:rsidR="00B11F6A" w:rsidRPr="00F63793" w:rsidRDefault="00B11F6A" w:rsidP="00F63793">
      <w:pPr>
        <w:pStyle w:val="Heading1"/>
      </w:pPr>
      <w:bookmarkStart w:id="12" w:name="_Toc179299182"/>
      <w:r w:rsidRPr="00F63793">
        <w:t>Appeals</w:t>
      </w:r>
      <w:bookmarkEnd w:id="12"/>
      <w:r w:rsidRPr="00F63793">
        <w:t xml:space="preserve"> </w:t>
      </w:r>
    </w:p>
    <w:p w14:paraId="75099498" w14:textId="37F5418B" w:rsidR="00B11F6A" w:rsidRPr="00B11F6A" w:rsidRDefault="00B11F6A" w:rsidP="008C7BB9">
      <w:pPr>
        <w:rPr>
          <w:b/>
        </w:rPr>
      </w:pPr>
      <w:r w:rsidRPr="00B11F6A">
        <w:t>1</w:t>
      </w:r>
      <w:r w:rsidR="00AD3247">
        <w:t>3</w:t>
      </w:r>
      <w:r w:rsidRPr="00B11F6A">
        <w:t xml:space="preserve">.1 </w:t>
      </w:r>
      <w:r w:rsidR="00F63793">
        <w:rPr>
          <w:b/>
        </w:rPr>
        <w:tab/>
      </w:r>
      <w:r w:rsidRPr="00B11F6A">
        <w:t xml:space="preserve">A student may lodge an appeal against the decision of the academic misconduct board within 10 working days of the date on which the outcome of the board’s decision is served to the student (served meaning posted using email). </w:t>
      </w:r>
    </w:p>
    <w:p w14:paraId="0B9674F2" w14:textId="77777777" w:rsidR="00B11F6A" w:rsidRPr="00B11F6A" w:rsidRDefault="00B11F6A" w:rsidP="008C7BB9">
      <w:pPr>
        <w:rPr>
          <w:b/>
        </w:rPr>
      </w:pPr>
      <w:r w:rsidRPr="00B11F6A">
        <w:t xml:space="preserve"> </w:t>
      </w:r>
    </w:p>
    <w:p w14:paraId="261126C8" w14:textId="56E044F7" w:rsidR="00B11F6A" w:rsidRPr="00B11F6A" w:rsidRDefault="00B11F6A" w:rsidP="008C7BB9">
      <w:pPr>
        <w:rPr>
          <w:b/>
        </w:rPr>
      </w:pPr>
      <w:r w:rsidRPr="00B11F6A">
        <w:t>1</w:t>
      </w:r>
      <w:r w:rsidR="00AD3247">
        <w:t>3</w:t>
      </w:r>
      <w:r w:rsidRPr="00B11F6A">
        <w:t xml:space="preserve">.2 </w:t>
      </w:r>
      <w:r w:rsidR="00F63793">
        <w:rPr>
          <w:b/>
        </w:rPr>
        <w:tab/>
      </w:r>
      <w:r w:rsidRPr="00B11F6A">
        <w:t xml:space="preserve">Appeals must be made under the provision of HE16 Academic Appeals. Details of this policy and how to lodge an appeal can be found on the college website or by requesting a copy from HERegistry@hull-college.ac.uk  </w:t>
      </w:r>
    </w:p>
    <w:sectPr w:rsidR="00B11F6A" w:rsidRPr="00B11F6A" w:rsidSect="001B1C5D">
      <w:footerReference w:type="even" r:id="rId13"/>
      <w:footerReference w:type="default" r:id="rId14"/>
      <w:headerReference w:type="first" r:id="rId15"/>
      <w:footerReference w:type="first" r:id="rId16"/>
      <w:type w:val="continuous"/>
      <w:pgSz w:w="11909" w:h="16834" w:code="9"/>
      <w:pgMar w:top="562" w:right="1123" w:bottom="562" w:left="1138"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3541F" w14:textId="77777777" w:rsidR="00D34076" w:rsidRDefault="00D34076" w:rsidP="00CF09DE">
      <w:r>
        <w:separator/>
      </w:r>
    </w:p>
  </w:endnote>
  <w:endnote w:type="continuationSeparator" w:id="0">
    <w:p w14:paraId="41FF5719" w14:textId="77777777" w:rsidR="00D34076" w:rsidRDefault="00D34076" w:rsidP="00CF09DE">
      <w:r>
        <w:continuationSeparator/>
      </w:r>
    </w:p>
  </w:endnote>
  <w:endnote w:type="continuationNotice" w:id="1">
    <w:p w14:paraId="26D67B61" w14:textId="77777777" w:rsidR="00D34076" w:rsidRDefault="00D3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59177" w14:textId="77777777" w:rsidR="001A0FAB" w:rsidRDefault="001A0FAB">
    <w:pPr>
      <w:spacing w:after="160" w:line="259" w:lineRule="auto"/>
      <w:ind w:left="0" w:firstLine="0"/>
    </w:pPr>
  </w:p>
  <w:p w14:paraId="333F40DC" w14:textId="77777777" w:rsidR="006868D3" w:rsidRDefault="006868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sz w:val="20"/>
        <w:szCs w:val="20"/>
      </w:rPr>
      <w:id w:val="-412626966"/>
      <w:docPartObj>
        <w:docPartGallery w:val="Page Numbers (Bottom of Page)"/>
        <w:docPartUnique/>
      </w:docPartObj>
    </w:sdtPr>
    <w:sdtEndPr>
      <w:rPr>
        <w:sz w:val="16"/>
        <w:szCs w:val="16"/>
      </w:rPr>
    </w:sdtEndPr>
    <w:sdtContent>
      <w:sdt>
        <w:sdtPr>
          <w:rPr>
            <w:rFonts w:cs="Tahoma"/>
            <w:sz w:val="20"/>
            <w:szCs w:val="20"/>
          </w:rPr>
          <w:id w:val="-2125923174"/>
          <w:docPartObj>
            <w:docPartGallery w:val="Page Numbers (Top of Page)"/>
            <w:docPartUnique/>
          </w:docPartObj>
        </w:sdtPr>
        <w:sdtEndPr>
          <w:rPr>
            <w:sz w:val="16"/>
            <w:szCs w:val="16"/>
          </w:rPr>
        </w:sdtEndPr>
        <w:sdtContent>
          <w:p w14:paraId="684A8CD3" w14:textId="47C5B625" w:rsidR="006868D3" w:rsidRPr="00B34566" w:rsidRDefault="004F15CD" w:rsidP="00B34566">
            <w:pPr>
              <w:pStyle w:val="Footer"/>
              <w:jc w:val="center"/>
              <w:rPr>
                <w:rFonts w:cs="Tahoma"/>
                <w:sz w:val="16"/>
                <w:szCs w:val="16"/>
              </w:rPr>
            </w:pPr>
            <w:r w:rsidRPr="004F15CD">
              <w:rPr>
                <w:rFonts w:cs="Tahoma"/>
                <w:sz w:val="16"/>
                <w:szCs w:val="16"/>
              </w:rPr>
              <w:t xml:space="preserve">Page </w:t>
            </w:r>
            <w:r w:rsidRPr="004F15CD">
              <w:rPr>
                <w:rFonts w:cs="Tahoma"/>
                <w:sz w:val="16"/>
                <w:szCs w:val="16"/>
              </w:rPr>
              <w:fldChar w:fldCharType="begin"/>
            </w:r>
            <w:r w:rsidRPr="004F15CD">
              <w:rPr>
                <w:rFonts w:cs="Tahoma"/>
                <w:sz w:val="16"/>
                <w:szCs w:val="16"/>
              </w:rPr>
              <w:instrText>PAGE</w:instrText>
            </w:r>
            <w:r w:rsidRPr="004F15CD">
              <w:rPr>
                <w:rFonts w:cs="Tahoma"/>
                <w:sz w:val="16"/>
                <w:szCs w:val="16"/>
              </w:rPr>
              <w:fldChar w:fldCharType="separate"/>
            </w:r>
            <w:r w:rsidRPr="004F15CD">
              <w:rPr>
                <w:rFonts w:cs="Tahoma"/>
                <w:sz w:val="16"/>
                <w:szCs w:val="16"/>
              </w:rPr>
              <w:t>2</w:t>
            </w:r>
            <w:r w:rsidRPr="004F15CD">
              <w:rPr>
                <w:rFonts w:cs="Tahoma"/>
                <w:sz w:val="16"/>
                <w:szCs w:val="16"/>
              </w:rPr>
              <w:fldChar w:fldCharType="end"/>
            </w:r>
            <w:r w:rsidRPr="004F15CD">
              <w:rPr>
                <w:rFonts w:cs="Tahoma"/>
                <w:sz w:val="16"/>
                <w:szCs w:val="16"/>
              </w:rPr>
              <w:t xml:space="preserve"> of </w:t>
            </w:r>
            <w:r w:rsidRPr="004F15CD">
              <w:rPr>
                <w:rFonts w:cs="Tahoma"/>
                <w:sz w:val="16"/>
                <w:szCs w:val="16"/>
              </w:rPr>
              <w:fldChar w:fldCharType="begin"/>
            </w:r>
            <w:r w:rsidRPr="004F15CD">
              <w:rPr>
                <w:rFonts w:cs="Tahoma"/>
                <w:sz w:val="16"/>
                <w:szCs w:val="16"/>
              </w:rPr>
              <w:instrText>NUMPAGES</w:instrText>
            </w:r>
            <w:r w:rsidRPr="004F15CD">
              <w:rPr>
                <w:rFonts w:cs="Tahoma"/>
                <w:sz w:val="16"/>
                <w:szCs w:val="16"/>
              </w:rPr>
              <w:fldChar w:fldCharType="separate"/>
            </w:r>
            <w:r w:rsidRPr="004F15CD">
              <w:rPr>
                <w:rFonts w:cs="Tahoma"/>
                <w:sz w:val="16"/>
                <w:szCs w:val="16"/>
              </w:rPr>
              <w:t>2</w:t>
            </w:r>
            <w:r w:rsidRPr="004F15CD">
              <w:rPr>
                <w:rFonts w:cs="Tahoma"/>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sz w:val="16"/>
        <w:szCs w:val="16"/>
      </w:rPr>
      <w:id w:val="-1486775734"/>
      <w:docPartObj>
        <w:docPartGallery w:val="Page Numbers (Bottom of Page)"/>
        <w:docPartUnique/>
      </w:docPartObj>
    </w:sdtPr>
    <w:sdtEndPr/>
    <w:sdtContent>
      <w:sdt>
        <w:sdtPr>
          <w:rPr>
            <w:rFonts w:cs="Tahoma"/>
            <w:sz w:val="16"/>
            <w:szCs w:val="16"/>
          </w:rPr>
          <w:id w:val="1728636285"/>
          <w:docPartObj>
            <w:docPartGallery w:val="Page Numbers (Top of Page)"/>
            <w:docPartUnique/>
          </w:docPartObj>
        </w:sdtPr>
        <w:sdtEndPr/>
        <w:sdtContent>
          <w:p w14:paraId="4BA3DB24" w14:textId="6E0C915A" w:rsidR="001A0FAB" w:rsidRPr="004F15CD" w:rsidRDefault="004F15CD" w:rsidP="004F15CD">
            <w:pPr>
              <w:pStyle w:val="Footer"/>
              <w:jc w:val="center"/>
              <w:rPr>
                <w:rFonts w:cs="Tahoma"/>
                <w:sz w:val="16"/>
                <w:szCs w:val="16"/>
              </w:rPr>
            </w:pPr>
            <w:r w:rsidRPr="004F15CD">
              <w:rPr>
                <w:rFonts w:cs="Tahoma"/>
                <w:sz w:val="16"/>
                <w:szCs w:val="16"/>
              </w:rPr>
              <w:t xml:space="preserve">Page </w:t>
            </w:r>
            <w:r w:rsidRPr="004F15CD">
              <w:rPr>
                <w:rFonts w:cs="Tahoma"/>
                <w:sz w:val="16"/>
                <w:szCs w:val="16"/>
              </w:rPr>
              <w:fldChar w:fldCharType="begin"/>
            </w:r>
            <w:r w:rsidRPr="004F15CD">
              <w:rPr>
                <w:rFonts w:cs="Tahoma"/>
                <w:sz w:val="16"/>
                <w:szCs w:val="16"/>
              </w:rPr>
              <w:instrText>PAGE</w:instrText>
            </w:r>
            <w:r w:rsidRPr="004F15CD">
              <w:rPr>
                <w:rFonts w:cs="Tahoma"/>
                <w:sz w:val="16"/>
                <w:szCs w:val="16"/>
              </w:rPr>
              <w:fldChar w:fldCharType="separate"/>
            </w:r>
            <w:r w:rsidRPr="004F15CD">
              <w:rPr>
                <w:rFonts w:cs="Tahoma"/>
                <w:sz w:val="16"/>
                <w:szCs w:val="16"/>
              </w:rPr>
              <w:t>2</w:t>
            </w:r>
            <w:r w:rsidRPr="004F15CD">
              <w:rPr>
                <w:rFonts w:cs="Tahoma"/>
                <w:sz w:val="16"/>
                <w:szCs w:val="16"/>
              </w:rPr>
              <w:fldChar w:fldCharType="end"/>
            </w:r>
            <w:r w:rsidRPr="004F15CD">
              <w:rPr>
                <w:rFonts w:cs="Tahoma"/>
                <w:sz w:val="16"/>
                <w:szCs w:val="16"/>
              </w:rPr>
              <w:t xml:space="preserve"> of </w:t>
            </w:r>
            <w:r w:rsidRPr="004F15CD">
              <w:rPr>
                <w:rFonts w:cs="Tahoma"/>
                <w:sz w:val="16"/>
                <w:szCs w:val="16"/>
              </w:rPr>
              <w:fldChar w:fldCharType="begin"/>
            </w:r>
            <w:r w:rsidRPr="004F15CD">
              <w:rPr>
                <w:rFonts w:cs="Tahoma"/>
                <w:sz w:val="16"/>
                <w:szCs w:val="16"/>
              </w:rPr>
              <w:instrText>NUMPAGES</w:instrText>
            </w:r>
            <w:r w:rsidRPr="004F15CD">
              <w:rPr>
                <w:rFonts w:cs="Tahoma"/>
                <w:sz w:val="16"/>
                <w:szCs w:val="16"/>
              </w:rPr>
              <w:fldChar w:fldCharType="separate"/>
            </w:r>
            <w:r w:rsidRPr="004F15CD">
              <w:rPr>
                <w:rFonts w:cs="Tahoma"/>
                <w:sz w:val="16"/>
                <w:szCs w:val="16"/>
              </w:rPr>
              <w:t>2</w:t>
            </w:r>
            <w:r w:rsidRPr="004F15CD">
              <w:rPr>
                <w:rFonts w:cs="Tahoma"/>
                <w:sz w:val="16"/>
                <w:szCs w:val="16"/>
              </w:rPr>
              <w:fldChar w:fldCharType="end"/>
            </w:r>
          </w:p>
        </w:sdtContent>
      </w:sdt>
    </w:sdtContent>
  </w:sdt>
  <w:p w14:paraId="57EFB726" w14:textId="77777777" w:rsidR="006868D3" w:rsidRDefault="006868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33F45" w14:textId="77777777" w:rsidR="00D34076" w:rsidRDefault="00D34076" w:rsidP="00CF09DE">
      <w:r>
        <w:separator/>
      </w:r>
    </w:p>
  </w:footnote>
  <w:footnote w:type="continuationSeparator" w:id="0">
    <w:p w14:paraId="689D1D99" w14:textId="77777777" w:rsidR="00D34076" w:rsidRDefault="00D34076" w:rsidP="00CF09DE">
      <w:r>
        <w:continuationSeparator/>
      </w:r>
    </w:p>
  </w:footnote>
  <w:footnote w:type="continuationNotice" w:id="1">
    <w:p w14:paraId="0E704E1F" w14:textId="77777777" w:rsidR="00D34076" w:rsidRDefault="00D3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A6194" w14:textId="2F6FC1B3" w:rsidR="004F15CD" w:rsidRDefault="004F15CD">
    <w:pPr>
      <w:pStyle w:val="Header"/>
    </w:pPr>
    <w:bookmarkStart w:id="13" w:name="_Hlk173847435"/>
    <w:bookmarkEnd w:id="13"/>
    <w:r>
      <w:rPr>
        <w:rFonts w:ascii="Arial" w:hAnsi="Arial" w:cs="Arial"/>
        <w:noProof/>
        <w:sz w:val="20"/>
        <w:szCs w:val="20"/>
      </w:rPr>
      <w:drawing>
        <wp:anchor distT="0" distB="0" distL="114300" distR="114300" simplePos="0" relativeHeight="251659264" behindDoc="1" locked="0" layoutInCell="1" allowOverlap="1" wp14:anchorId="6D66C78B" wp14:editId="7108EEA2">
          <wp:simplePos x="0" y="0"/>
          <wp:positionH relativeFrom="column">
            <wp:posOffset>5543950</wp:posOffset>
          </wp:positionH>
          <wp:positionV relativeFrom="paragraph">
            <wp:posOffset>-307566</wp:posOffset>
          </wp:positionV>
          <wp:extent cx="1056746" cy="1058174"/>
          <wp:effectExtent l="0" t="0" r="0" b="8890"/>
          <wp:wrapNone/>
          <wp:docPr id="1113608829"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p w14:paraId="6240404A" w14:textId="77777777" w:rsidR="006868D3" w:rsidRDefault="006868D3"/>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7D0"/>
    <w:multiLevelType w:val="hybridMultilevel"/>
    <w:tmpl w:val="FDCA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2016"/>
    <w:multiLevelType w:val="hybridMultilevel"/>
    <w:tmpl w:val="4058BA3E"/>
    <w:lvl w:ilvl="0" w:tplc="4AB0917C">
      <w:start w:val="1"/>
      <w:numFmt w:val="lowerRoman"/>
      <w:lvlText w:val="%1."/>
      <w:lvlJc w:val="left"/>
      <w:pPr>
        <w:ind w:left="936" w:hanging="57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62215"/>
    <w:multiLevelType w:val="hybridMultilevel"/>
    <w:tmpl w:val="AC06DFFE"/>
    <w:lvl w:ilvl="0" w:tplc="8E8AABC8">
      <w:start w:val="1"/>
      <w:numFmt w:val="lowerRoman"/>
      <w:lvlText w:val="%1."/>
      <w:lvlJc w:val="left"/>
      <w:pPr>
        <w:ind w:left="936" w:hanging="57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326D5"/>
    <w:multiLevelType w:val="hybridMultilevel"/>
    <w:tmpl w:val="D1BA5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B1EA0"/>
    <w:multiLevelType w:val="hybridMultilevel"/>
    <w:tmpl w:val="AA006772"/>
    <w:lvl w:ilvl="0" w:tplc="CEBED0AA">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0FB66A7D"/>
    <w:multiLevelType w:val="hybridMultilevel"/>
    <w:tmpl w:val="BD866064"/>
    <w:lvl w:ilvl="0" w:tplc="4FAE2846">
      <w:start w:val="1"/>
      <w:numFmt w:val="lowerRoman"/>
      <w:lvlText w:val="%1."/>
      <w:lvlJc w:val="left"/>
      <w:pPr>
        <w:ind w:left="936" w:hanging="57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3963B0"/>
    <w:multiLevelType w:val="multilevel"/>
    <w:tmpl w:val="302A12C0"/>
    <w:lvl w:ilvl="0">
      <w:start w:val="5"/>
      <w:numFmt w:val="decimal"/>
      <w:lvlText w:val="%1"/>
      <w:lvlJc w:val="left"/>
      <w:pPr>
        <w:ind w:left="360" w:hanging="360"/>
      </w:pPr>
      <w:rPr>
        <w:rFonts w:hint="default"/>
      </w:rPr>
    </w:lvl>
    <w:lvl w:ilvl="1">
      <w:start w:val="9"/>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8" w15:restartNumberingAfterBreak="0">
    <w:nsid w:val="14982E49"/>
    <w:multiLevelType w:val="hybridMultilevel"/>
    <w:tmpl w:val="B1AEE8A8"/>
    <w:lvl w:ilvl="0" w:tplc="39061D16">
      <w:start w:val="1"/>
      <w:numFmt w:val="lowerRoman"/>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9" w15:restartNumberingAfterBreak="0">
    <w:nsid w:val="14F821DA"/>
    <w:multiLevelType w:val="hybridMultilevel"/>
    <w:tmpl w:val="68ECBF0A"/>
    <w:lvl w:ilvl="0" w:tplc="806C25EA">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072E32"/>
    <w:multiLevelType w:val="hybridMultilevel"/>
    <w:tmpl w:val="35BE0FF6"/>
    <w:lvl w:ilvl="0" w:tplc="958E05AE">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8131E"/>
    <w:multiLevelType w:val="multilevel"/>
    <w:tmpl w:val="104A48F2"/>
    <w:lvl w:ilvl="0">
      <w:start w:val="9"/>
      <w:numFmt w:val="decimal"/>
      <w:lvlText w:val="%1"/>
      <w:lvlJc w:val="left"/>
      <w:pPr>
        <w:ind w:left="360" w:hanging="360"/>
      </w:pPr>
      <w:rPr>
        <w:rFonts w:hint="default"/>
      </w:rPr>
    </w:lvl>
    <w:lvl w:ilvl="1">
      <w:start w:val="1"/>
      <w:numFmt w:val="decimal"/>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2" w15:restartNumberingAfterBreak="0">
    <w:nsid w:val="22EA2FEA"/>
    <w:multiLevelType w:val="multilevel"/>
    <w:tmpl w:val="CFE65086"/>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3" w15:restartNumberingAfterBreak="0">
    <w:nsid w:val="27D37AD7"/>
    <w:multiLevelType w:val="hybridMultilevel"/>
    <w:tmpl w:val="CE120F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457F3E"/>
    <w:multiLevelType w:val="multilevel"/>
    <w:tmpl w:val="B016CF08"/>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5" w15:restartNumberingAfterBreak="0">
    <w:nsid w:val="2DB252C6"/>
    <w:multiLevelType w:val="hybridMultilevel"/>
    <w:tmpl w:val="69707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53356"/>
    <w:multiLevelType w:val="hybridMultilevel"/>
    <w:tmpl w:val="56046A7C"/>
    <w:lvl w:ilvl="0" w:tplc="39061D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67175"/>
    <w:multiLevelType w:val="multilevel"/>
    <w:tmpl w:val="CFE65086"/>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8" w15:restartNumberingAfterBreak="0">
    <w:nsid w:val="303A6AAF"/>
    <w:multiLevelType w:val="hybridMultilevel"/>
    <w:tmpl w:val="7F509112"/>
    <w:lvl w:ilvl="0" w:tplc="B7A015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54321E"/>
    <w:multiLevelType w:val="hybridMultilevel"/>
    <w:tmpl w:val="E5BC036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0" w15:restartNumberingAfterBreak="0">
    <w:nsid w:val="31362585"/>
    <w:multiLevelType w:val="hybridMultilevel"/>
    <w:tmpl w:val="2D0441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1746BFD"/>
    <w:multiLevelType w:val="multilevel"/>
    <w:tmpl w:val="1FAC7732"/>
    <w:lvl w:ilvl="0">
      <w:start w:val="1"/>
      <w:numFmt w:val="decimal"/>
      <w:pStyle w:val="Heading1"/>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3230157"/>
    <w:multiLevelType w:val="hybridMultilevel"/>
    <w:tmpl w:val="3DF8DC38"/>
    <w:lvl w:ilvl="0" w:tplc="4F4A2CC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389034E1"/>
    <w:multiLevelType w:val="hybridMultilevel"/>
    <w:tmpl w:val="4D923208"/>
    <w:lvl w:ilvl="0" w:tplc="E552FC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87974"/>
    <w:multiLevelType w:val="hybridMultilevel"/>
    <w:tmpl w:val="621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A5DFA"/>
    <w:multiLevelType w:val="hybridMultilevel"/>
    <w:tmpl w:val="2174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A875F2"/>
    <w:multiLevelType w:val="hybridMultilevel"/>
    <w:tmpl w:val="1EC612D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48EF2EA7"/>
    <w:multiLevelType w:val="hybridMultilevel"/>
    <w:tmpl w:val="DD0E20E0"/>
    <w:lvl w:ilvl="0" w:tplc="85CAF618">
      <w:start w:val="1"/>
      <w:numFmt w:val="lowerRoman"/>
      <w:lvlText w:val="%1."/>
      <w:lvlJc w:val="left"/>
      <w:pPr>
        <w:ind w:left="936" w:hanging="57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D84F76"/>
    <w:multiLevelType w:val="hybridMultilevel"/>
    <w:tmpl w:val="89D067AC"/>
    <w:lvl w:ilvl="0" w:tplc="CB448E6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683C97"/>
    <w:multiLevelType w:val="hybridMultilevel"/>
    <w:tmpl w:val="B63227BE"/>
    <w:lvl w:ilvl="0" w:tplc="F24E499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ED2F08"/>
    <w:multiLevelType w:val="multilevel"/>
    <w:tmpl w:val="1D7694B2"/>
    <w:lvl w:ilvl="0">
      <w:start w:val="9"/>
      <w:numFmt w:val="decimal"/>
      <w:lvlText w:val="%1"/>
      <w:lvlJc w:val="left"/>
      <w:pPr>
        <w:ind w:left="360" w:hanging="360"/>
      </w:pPr>
      <w:rPr>
        <w:rFonts w:hint="default"/>
      </w:rPr>
    </w:lvl>
    <w:lvl w:ilvl="1">
      <w:start w:val="2"/>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1" w15:restartNumberingAfterBreak="0">
    <w:nsid w:val="4FDC6FD8"/>
    <w:multiLevelType w:val="hybridMultilevel"/>
    <w:tmpl w:val="0700C680"/>
    <w:lvl w:ilvl="0" w:tplc="0A20B1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E56A42"/>
    <w:multiLevelType w:val="hybridMultilevel"/>
    <w:tmpl w:val="975641DE"/>
    <w:lvl w:ilvl="0" w:tplc="4FE8F7EA">
      <w:start w:val="1"/>
      <w:numFmt w:val="decimal"/>
      <w:lvlText w:val="%1."/>
      <w:lvlJc w:val="left"/>
      <w:pPr>
        <w:ind w:left="936" w:hanging="576"/>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56FE8"/>
    <w:multiLevelType w:val="multilevel"/>
    <w:tmpl w:val="C09A5B3C"/>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4" w15:restartNumberingAfterBreak="0">
    <w:nsid w:val="5EF11F62"/>
    <w:multiLevelType w:val="multilevel"/>
    <w:tmpl w:val="DF3E10FC"/>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5" w15:restartNumberingAfterBreak="0">
    <w:nsid w:val="5EF474E3"/>
    <w:multiLevelType w:val="hybridMultilevel"/>
    <w:tmpl w:val="82A43E90"/>
    <w:lvl w:ilvl="0" w:tplc="687A92BC">
      <w:start w:val="1"/>
      <w:numFmt w:val="lowerRoman"/>
      <w:lvlText w:val="%1."/>
      <w:lvlJc w:val="left"/>
      <w:pPr>
        <w:ind w:left="-432" w:hanging="360"/>
      </w:pPr>
      <w:rPr>
        <w:rFonts w:hint="default"/>
        <w:b w:val="0"/>
        <w:bCs/>
      </w:rPr>
    </w:lvl>
    <w:lvl w:ilvl="1" w:tplc="08090019" w:tentative="1">
      <w:start w:val="1"/>
      <w:numFmt w:val="lowerLetter"/>
      <w:lvlText w:val="%2."/>
      <w:lvlJc w:val="left"/>
      <w:pPr>
        <w:ind w:left="288" w:hanging="360"/>
      </w:pPr>
    </w:lvl>
    <w:lvl w:ilvl="2" w:tplc="0809001B" w:tentative="1">
      <w:start w:val="1"/>
      <w:numFmt w:val="lowerRoman"/>
      <w:lvlText w:val="%3."/>
      <w:lvlJc w:val="right"/>
      <w:pPr>
        <w:ind w:left="1008" w:hanging="180"/>
      </w:pPr>
    </w:lvl>
    <w:lvl w:ilvl="3" w:tplc="0809000F" w:tentative="1">
      <w:start w:val="1"/>
      <w:numFmt w:val="decimal"/>
      <w:lvlText w:val="%4."/>
      <w:lvlJc w:val="left"/>
      <w:pPr>
        <w:ind w:left="1728" w:hanging="360"/>
      </w:pPr>
    </w:lvl>
    <w:lvl w:ilvl="4" w:tplc="08090019" w:tentative="1">
      <w:start w:val="1"/>
      <w:numFmt w:val="lowerLetter"/>
      <w:lvlText w:val="%5."/>
      <w:lvlJc w:val="left"/>
      <w:pPr>
        <w:ind w:left="2448" w:hanging="360"/>
      </w:pPr>
    </w:lvl>
    <w:lvl w:ilvl="5" w:tplc="0809001B" w:tentative="1">
      <w:start w:val="1"/>
      <w:numFmt w:val="lowerRoman"/>
      <w:lvlText w:val="%6."/>
      <w:lvlJc w:val="right"/>
      <w:pPr>
        <w:ind w:left="3168" w:hanging="180"/>
      </w:pPr>
    </w:lvl>
    <w:lvl w:ilvl="6" w:tplc="0809000F" w:tentative="1">
      <w:start w:val="1"/>
      <w:numFmt w:val="decimal"/>
      <w:lvlText w:val="%7."/>
      <w:lvlJc w:val="left"/>
      <w:pPr>
        <w:ind w:left="3888" w:hanging="360"/>
      </w:pPr>
    </w:lvl>
    <w:lvl w:ilvl="7" w:tplc="08090019" w:tentative="1">
      <w:start w:val="1"/>
      <w:numFmt w:val="lowerLetter"/>
      <w:lvlText w:val="%8."/>
      <w:lvlJc w:val="left"/>
      <w:pPr>
        <w:ind w:left="4608" w:hanging="360"/>
      </w:pPr>
    </w:lvl>
    <w:lvl w:ilvl="8" w:tplc="0809001B" w:tentative="1">
      <w:start w:val="1"/>
      <w:numFmt w:val="lowerRoman"/>
      <w:lvlText w:val="%9."/>
      <w:lvlJc w:val="right"/>
      <w:pPr>
        <w:ind w:left="5328" w:hanging="180"/>
      </w:pPr>
    </w:lvl>
  </w:abstractNum>
  <w:abstractNum w:abstractNumId="36" w15:restartNumberingAfterBreak="0">
    <w:nsid w:val="65AD6C63"/>
    <w:multiLevelType w:val="multilevel"/>
    <w:tmpl w:val="B120BB12"/>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7" w15:restartNumberingAfterBreak="0">
    <w:nsid w:val="6A737F68"/>
    <w:multiLevelType w:val="hybridMultilevel"/>
    <w:tmpl w:val="173EF27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8" w15:restartNumberingAfterBreak="0">
    <w:nsid w:val="6AE11953"/>
    <w:multiLevelType w:val="multilevel"/>
    <w:tmpl w:val="724E9FF4"/>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9" w15:restartNumberingAfterBreak="0">
    <w:nsid w:val="6B670BA0"/>
    <w:multiLevelType w:val="multilevel"/>
    <w:tmpl w:val="4D5ADF6C"/>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40" w15:restartNumberingAfterBreak="0">
    <w:nsid w:val="6BAA29DA"/>
    <w:multiLevelType w:val="hybridMultilevel"/>
    <w:tmpl w:val="E53A760A"/>
    <w:lvl w:ilvl="0" w:tplc="07024A7C">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1" w15:restartNumberingAfterBreak="0">
    <w:nsid w:val="6F277474"/>
    <w:multiLevelType w:val="hybridMultilevel"/>
    <w:tmpl w:val="C6983B88"/>
    <w:lvl w:ilvl="0" w:tplc="26920966">
      <w:start w:val="1"/>
      <w:numFmt w:val="lowerRoman"/>
      <w:lvlText w:val="%1."/>
      <w:lvlJc w:val="left"/>
      <w:pPr>
        <w:ind w:left="936" w:hanging="57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814D0F"/>
    <w:multiLevelType w:val="hybridMultilevel"/>
    <w:tmpl w:val="0F0C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A3747"/>
    <w:multiLevelType w:val="hybridMultilevel"/>
    <w:tmpl w:val="C95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F5C55"/>
    <w:multiLevelType w:val="hybridMultilevel"/>
    <w:tmpl w:val="5BD0BFA2"/>
    <w:lvl w:ilvl="0" w:tplc="30046BC0">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072E2"/>
    <w:multiLevelType w:val="hybridMultilevel"/>
    <w:tmpl w:val="D0888294"/>
    <w:lvl w:ilvl="0" w:tplc="0A20B10A">
      <w:start w:val="1"/>
      <w:numFmt w:val="lowerRoman"/>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6" w15:restartNumberingAfterBreak="0">
    <w:nsid w:val="77F119F8"/>
    <w:multiLevelType w:val="hybridMultilevel"/>
    <w:tmpl w:val="48C653EE"/>
    <w:lvl w:ilvl="0" w:tplc="51C0C910">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8505F7"/>
    <w:multiLevelType w:val="multilevel"/>
    <w:tmpl w:val="238C08BE"/>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ascii="Tahoma" w:hAnsi="Tahoma" w:cs="Tahoma"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48" w15:restartNumberingAfterBreak="0">
    <w:nsid w:val="7B454838"/>
    <w:multiLevelType w:val="multilevel"/>
    <w:tmpl w:val="7FD24082"/>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bullet"/>
      <w:lvlText w:val=""/>
      <w:lvlJc w:val="left"/>
      <w:pPr>
        <w:ind w:left="1041" w:hanging="360"/>
      </w:pPr>
      <w:rPr>
        <w:rFonts w:ascii="Symbol" w:hAnsi="Symbol"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49" w15:restartNumberingAfterBreak="0">
    <w:nsid w:val="7BB51CFD"/>
    <w:multiLevelType w:val="hybridMultilevel"/>
    <w:tmpl w:val="57467F64"/>
    <w:lvl w:ilvl="0" w:tplc="39061D16">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BBA5692"/>
    <w:multiLevelType w:val="hybridMultilevel"/>
    <w:tmpl w:val="157EE384"/>
    <w:lvl w:ilvl="0" w:tplc="E6A04D90">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1" w15:restartNumberingAfterBreak="0">
    <w:nsid w:val="7DA1547E"/>
    <w:multiLevelType w:val="multilevel"/>
    <w:tmpl w:val="58985B6C"/>
    <w:lvl w:ilvl="0">
      <w:start w:val="1"/>
      <w:numFmt w:val="decimal"/>
      <w:lvlText w:val="%1."/>
      <w:lvlJc w:val="left"/>
      <w:pPr>
        <w:ind w:left="473" w:hanging="360"/>
      </w:pPr>
      <w:rPr>
        <w:rFonts w:hint="default"/>
      </w:rPr>
    </w:lvl>
    <w:lvl w:ilvl="1">
      <w:start w:val="1"/>
      <w:numFmt w:val="lowerRoman"/>
      <w:lvlText w:val="%2."/>
      <w:lvlJc w:val="left"/>
      <w:pPr>
        <w:ind w:left="473" w:hanging="360"/>
      </w:pPr>
      <w:rPr>
        <w:rFonts w:hint="default"/>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52" w15:restartNumberingAfterBreak="0">
    <w:nsid w:val="7EC64350"/>
    <w:multiLevelType w:val="hybridMultilevel"/>
    <w:tmpl w:val="B0788E02"/>
    <w:lvl w:ilvl="0" w:tplc="871A8A80">
      <w:start w:val="1"/>
      <w:numFmt w:val="lowerRoman"/>
      <w:lvlText w:val="%1)"/>
      <w:lvlJc w:val="left"/>
      <w:pPr>
        <w:ind w:left="1223" w:hanging="72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53" w15:restartNumberingAfterBreak="0">
    <w:nsid w:val="7EC77BCC"/>
    <w:multiLevelType w:val="multilevel"/>
    <w:tmpl w:val="7FD24082"/>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bullet"/>
      <w:lvlText w:val=""/>
      <w:lvlJc w:val="left"/>
      <w:pPr>
        <w:ind w:left="1041" w:hanging="360"/>
      </w:pPr>
      <w:rPr>
        <w:rFonts w:ascii="Symbol" w:hAnsi="Symbol"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54" w15:restartNumberingAfterBreak="0">
    <w:nsid w:val="7F941C81"/>
    <w:multiLevelType w:val="hybridMultilevel"/>
    <w:tmpl w:val="7FC639E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366296685">
    <w:abstractNumId w:val="6"/>
  </w:num>
  <w:num w:numId="2" w16cid:durableId="521015557">
    <w:abstractNumId w:val="47"/>
  </w:num>
  <w:num w:numId="3" w16cid:durableId="1876573205">
    <w:abstractNumId w:val="54"/>
  </w:num>
  <w:num w:numId="4" w16cid:durableId="964580226">
    <w:abstractNumId w:val="43"/>
  </w:num>
  <w:num w:numId="5" w16cid:durableId="355352614">
    <w:abstractNumId w:val="37"/>
  </w:num>
  <w:num w:numId="6" w16cid:durableId="1975603263">
    <w:abstractNumId w:val="15"/>
  </w:num>
  <w:num w:numId="7" w16cid:durableId="772483798">
    <w:abstractNumId w:val="52"/>
  </w:num>
  <w:num w:numId="8" w16cid:durableId="1090808600">
    <w:abstractNumId w:val="51"/>
  </w:num>
  <w:num w:numId="9" w16cid:durableId="294533255">
    <w:abstractNumId w:val="7"/>
  </w:num>
  <w:num w:numId="10" w16cid:durableId="35938124">
    <w:abstractNumId w:val="4"/>
  </w:num>
  <w:num w:numId="11" w16cid:durableId="929780055">
    <w:abstractNumId w:val="16"/>
  </w:num>
  <w:num w:numId="12" w16cid:durableId="1875194109">
    <w:abstractNumId w:val="8"/>
  </w:num>
  <w:num w:numId="13" w16cid:durableId="1925871617">
    <w:abstractNumId w:val="40"/>
  </w:num>
  <w:num w:numId="14" w16cid:durableId="2073117644">
    <w:abstractNumId w:val="12"/>
  </w:num>
  <w:num w:numId="15" w16cid:durableId="1301571267">
    <w:abstractNumId w:val="22"/>
  </w:num>
  <w:num w:numId="16" w16cid:durableId="1633244924">
    <w:abstractNumId w:val="30"/>
  </w:num>
  <w:num w:numId="17" w16cid:durableId="643506447">
    <w:abstractNumId w:val="17"/>
  </w:num>
  <w:num w:numId="18" w16cid:durableId="1583098237">
    <w:abstractNumId w:val="53"/>
  </w:num>
  <w:num w:numId="19" w16cid:durableId="695934137">
    <w:abstractNumId w:val="48"/>
  </w:num>
  <w:num w:numId="20" w16cid:durableId="774204613">
    <w:abstractNumId w:val="36"/>
  </w:num>
  <w:num w:numId="21" w16cid:durableId="2070299929">
    <w:abstractNumId w:val="39"/>
  </w:num>
  <w:num w:numId="22" w16cid:durableId="1111901820">
    <w:abstractNumId w:val="38"/>
  </w:num>
  <w:num w:numId="23" w16cid:durableId="250361171">
    <w:abstractNumId w:val="34"/>
  </w:num>
  <w:num w:numId="24" w16cid:durableId="741101469">
    <w:abstractNumId w:val="33"/>
  </w:num>
  <w:num w:numId="25" w16cid:durableId="59445752">
    <w:abstractNumId w:val="14"/>
  </w:num>
  <w:num w:numId="26" w16cid:durableId="820926590">
    <w:abstractNumId w:val="20"/>
  </w:num>
  <w:num w:numId="27" w16cid:durableId="124659808">
    <w:abstractNumId w:val="11"/>
  </w:num>
  <w:num w:numId="28" w16cid:durableId="313031464">
    <w:abstractNumId w:val="13"/>
  </w:num>
  <w:num w:numId="29" w16cid:durableId="615067478">
    <w:abstractNumId w:val="18"/>
  </w:num>
  <w:num w:numId="30" w16cid:durableId="154227390">
    <w:abstractNumId w:val="49"/>
  </w:num>
  <w:num w:numId="31" w16cid:durableId="2129658237">
    <w:abstractNumId w:val="3"/>
  </w:num>
  <w:num w:numId="32" w16cid:durableId="1464734339">
    <w:abstractNumId w:val="32"/>
  </w:num>
  <w:num w:numId="33" w16cid:durableId="880288781">
    <w:abstractNumId w:val="21"/>
  </w:num>
  <w:num w:numId="34" w16cid:durableId="297341510">
    <w:abstractNumId w:val="50"/>
  </w:num>
  <w:num w:numId="35" w16cid:durableId="719137197">
    <w:abstractNumId w:val="45"/>
  </w:num>
  <w:num w:numId="36" w16cid:durableId="1286932896">
    <w:abstractNumId w:val="27"/>
  </w:num>
  <w:num w:numId="37" w16cid:durableId="1982031366">
    <w:abstractNumId w:val="41"/>
  </w:num>
  <w:num w:numId="38" w16cid:durableId="1339774308">
    <w:abstractNumId w:val="23"/>
  </w:num>
  <w:num w:numId="39" w16cid:durableId="2002418393">
    <w:abstractNumId w:val="2"/>
  </w:num>
  <w:num w:numId="40" w16cid:durableId="220407518">
    <w:abstractNumId w:val="1"/>
  </w:num>
  <w:num w:numId="41" w16cid:durableId="1153519710">
    <w:abstractNumId w:val="5"/>
  </w:num>
  <w:num w:numId="42" w16cid:durableId="558979537">
    <w:abstractNumId w:val="29"/>
  </w:num>
  <w:num w:numId="43" w16cid:durableId="661616138">
    <w:abstractNumId w:val="35"/>
  </w:num>
  <w:num w:numId="44" w16cid:durableId="2025590840">
    <w:abstractNumId w:val="31"/>
  </w:num>
  <w:num w:numId="45" w16cid:durableId="180168561">
    <w:abstractNumId w:val="9"/>
  </w:num>
  <w:num w:numId="46" w16cid:durableId="461113212">
    <w:abstractNumId w:val="28"/>
  </w:num>
  <w:num w:numId="47" w16cid:durableId="2047023206">
    <w:abstractNumId w:val="10"/>
  </w:num>
  <w:num w:numId="48" w16cid:durableId="1903053512">
    <w:abstractNumId w:val="46"/>
  </w:num>
  <w:num w:numId="49" w16cid:durableId="1302880655">
    <w:abstractNumId w:val="44"/>
  </w:num>
  <w:num w:numId="50" w16cid:durableId="1001272368">
    <w:abstractNumId w:val="26"/>
  </w:num>
  <w:num w:numId="51" w16cid:durableId="407658555">
    <w:abstractNumId w:val="19"/>
  </w:num>
  <w:num w:numId="52" w16cid:durableId="1973557529">
    <w:abstractNumId w:val="25"/>
  </w:num>
  <w:num w:numId="53" w16cid:durableId="959145023">
    <w:abstractNumId w:val="24"/>
  </w:num>
  <w:num w:numId="54" w16cid:durableId="155414778">
    <w:abstractNumId w:val="0"/>
  </w:num>
  <w:num w:numId="55" w16cid:durableId="644898802">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17D5C"/>
    <w:rsid w:val="00022361"/>
    <w:rsid w:val="00033355"/>
    <w:rsid w:val="000335A1"/>
    <w:rsid w:val="00033C2E"/>
    <w:rsid w:val="00034C3B"/>
    <w:rsid w:val="00035510"/>
    <w:rsid w:val="00040969"/>
    <w:rsid w:val="000425E3"/>
    <w:rsid w:val="00043873"/>
    <w:rsid w:val="000449D2"/>
    <w:rsid w:val="00045C07"/>
    <w:rsid w:val="00047DF8"/>
    <w:rsid w:val="00051BA3"/>
    <w:rsid w:val="00053079"/>
    <w:rsid w:val="000648DE"/>
    <w:rsid w:val="0007092D"/>
    <w:rsid w:val="00071CED"/>
    <w:rsid w:val="0007447A"/>
    <w:rsid w:val="00076EA0"/>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215E"/>
    <w:rsid w:val="000B4537"/>
    <w:rsid w:val="000B638E"/>
    <w:rsid w:val="000B6C99"/>
    <w:rsid w:val="000C3105"/>
    <w:rsid w:val="000C3CE5"/>
    <w:rsid w:val="000C3D76"/>
    <w:rsid w:val="000C55CC"/>
    <w:rsid w:val="000C5A69"/>
    <w:rsid w:val="000C5F42"/>
    <w:rsid w:val="000D644B"/>
    <w:rsid w:val="000E3A7D"/>
    <w:rsid w:val="000E41D3"/>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176A0"/>
    <w:rsid w:val="00122DFF"/>
    <w:rsid w:val="00124715"/>
    <w:rsid w:val="00126B1D"/>
    <w:rsid w:val="00127690"/>
    <w:rsid w:val="0013028C"/>
    <w:rsid w:val="00130411"/>
    <w:rsid w:val="001313DC"/>
    <w:rsid w:val="0013440A"/>
    <w:rsid w:val="0013624D"/>
    <w:rsid w:val="00140222"/>
    <w:rsid w:val="001402F9"/>
    <w:rsid w:val="001423DC"/>
    <w:rsid w:val="00146462"/>
    <w:rsid w:val="00146AD5"/>
    <w:rsid w:val="001477C3"/>
    <w:rsid w:val="0015002D"/>
    <w:rsid w:val="00155A6B"/>
    <w:rsid w:val="00157F78"/>
    <w:rsid w:val="0016386C"/>
    <w:rsid w:val="00165DC3"/>
    <w:rsid w:val="00166275"/>
    <w:rsid w:val="00171274"/>
    <w:rsid w:val="00173C2D"/>
    <w:rsid w:val="00173E10"/>
    <w:rsid w:val="00176AB8"/>
    <w:rsid w:val="00177C82"/>
    <w:rsid w:val="00181B12"/>
    <w:rsid w:val="001830A9"/>
    <w:rsid w:val="0018326C"/>
    <w:rsid w:val="001839D2"/>
    <w:rsid w:val="00183F23"/>
    <w:rsid w:val="00184FC8"/>
    <w:rsid w:val="0018535D"/>
    <w:rsid w:val="00186EC5"/>
    <w:rsid w:val="00187A79"/>
    <w:rsid w:val="001963BB"/>
    <w:rsid w:val="001A0FAB"/>
    <w:rsid w:val="001A311F"/>
    <w:rsid w:val="001A7422"/>
    <w:rsid w:val="001B1C5D"/>
    <w:rsid w:val="001B21F4"/>
    <w:rsid w:val="001B5059"/>
    <w:rsid w:val="001C1436"/>
    <w:rsid w:val="001C2B36"/>
    <w:rsid w:val="001D156A"/>
    <w:rsid w:val="001D440B"/>
    <w:rsid w:val="001D45FA"/>
    <w:rsid w:val="001D501C"/>
    <w:rsid w:val="001D507F"/>
    <w:rsid w:val="001E331E"/>
    <w:rsid w:val="001F05B4"/>
    <w:rsid w:val="001F15F2"/>
    <w:rsid w:val="001F1E26"/>
    <w:rsid w:val="001F3B0D"/>
    <w:rsid w:val="001F642E"/>
    <w:rsid w:val="00200FEA"/>
    <w:rsid w:val="00201933"/>
    <w:rsid w:val="00201F67"/>
    <w:rsid w:val="00201F96"/>
    <w:rsid w:val="00202190"/>
    <w:rsid w:val="00204392"/>
    <w:rsid w:val="0020454D"/>
    <w:rsid w:val="002046F7"/>
    <w:rsid w:val="00205C4A"/>
    <w:rsid w:val="002065DE"/>
    <w:rsid w:val="002109D9"/>
    <w:rsid w:val="0021254A"/>
    <w:rsid w:val="002151AC"/>
    <w:rsid w:val="002157DB"/>
    <w:rsid w:val="0021635B"/>
    <w:rsid w:val="00224D3C"/>
    <w:rsid w:val="0022649E"/>
    <w:rsid w:val="00226533"/>
    <w:rsid w:val="00226883"/>
    <w:rsid w:val="00227E66"/>
    <w:rsid w:val="00233339"/>
    <w:rsid w:val="0023379A"/>
    <w:rsid w:val="00233E7B"/>
    <w:rsid w:val="00234DFE"/>
    <w:rsid w:val="00235B7E"/>
    <w:rsid w:val="002422B1"/>
    <w:rsid w:val="002422C9"/>
    <w:rsid w:val="00242FD5"/>
    <w:rsid w:val="002433B3"/>
    <w:rsid w:val="0024638E"/>
    <w:rsid w:val="0024785A"/>
    <w:rsid w:val="00250578"/>
    <w:rsid w:val="00252F0C"/>
    <w:rsid w:val="002539B8"/>
    <w:rsid w:val="002627F2"/>
    <w:rsid w:val="00262AC1"/>
    <w:rsid w:val="00262E10"/>
    <w:rsid w:val="002662E9"/>
    <w:rsid w:val="0026636C"/>
    <w:rsid w:val="00266BD8"/>
    <w:rsid w:val="002714CA"/>
    <w:rsid w:val="002725FC"/>
    <w:rsid w:val="00275B71"/>
    <w:rsid w:val="0028149C"/>
    <w:rsid w:val="00283355"/>
    <w:rsid w:val="00285598"/>
    <w:rsid w:val="00294045"/>
    <w:rsid w:val="00295AAC"/>
    <w:rsid w:val="00296C12"/>
    <w:rsid w:val="002A0030"/>
    <w:rsid w:val="002A0677"/>
    <w:rsid w:val="002A1A10"/>
    <w:rsid w:val="002A3718"/>
    <w:rsid w:val="002B0360"/>
    <w:rsid w:val="002B089C"/>
    <w:rsid w:val="002B139C"/>
    <w:rsid w:val="002B2D30"/>
    <w:rsid w:val="002B5908"/>
    <w:rsid w:val="002B686A"/>
    <w:rsid w:val="002B6AAC"/>
    <w:rsid w:val="002B70EF"/>
    <w:rsid w:val="002B7680"/>
    <w:rsid w:val="002C06C7"/>
    <w:rsid w:val="002C0955"/>
    <w:rsid w:val="002C366E"/>
    <w:rsid w:val="002C4C82"/>
    <w:rsid w:val="002D03CB"/>
    <w:rsid w:val="002D4992"/>
    <w:rsid w:val="002D5FDB"/>
    <w:rsid w:val="002D6E0C"/>
    <w:rsid w:val="002D77C8"/>
    <w:rsid w:val="002D78B2"/>
    <w:rsid w:val="002D7ED3"/>
    <w:rsid w:val="002E14C3"/>
    <w:rsid w:val="002E243A"/>
    <w:rsid w:val="002E2901"/>
    <w:rsid w:val="002E2D3C"/>
    <w:rsid w:val="002E35E1"/>
    <w:rsid w:val="002E4E52"/>
    <w:rsid w:val="002E5B3F"/>
    <w:rsid w:val="002F270A"/>
    <w:rsid w:val="002F5521"/>
    <w:rsid w:val="002F6633"/>
    <w:rsid w:val="003021D5"/>
    <w:rsid w:val="003041FF"/>
    <w:rsid w:val="003051F5"/>
    <w:rsid w:val="00307B3E"/>
    <w:rsid w:val="00313D46"/>
    <w:rsid w:val="00313E63"/>
    <w:rsid w:val="003156A4"/>
    <w:rsid w:val="00322E31"/>
    <w:rsid w:val="00326448"/>
    <w:rsid w:val="00327274"/>
    <w:rsid w:val="003367CD"/>
    <w:rsid w:val="00341ACE"/>
    <w:rsid w:val="0034330D"/>
    <w:rsid w:val="00344522"/>
    <w:rsid w:val="003461FF"/>
    <w:rsid w:val="00352BFF"/>
    <w:rsid w:val="00354B38"/>
    <w:rsid w:val="0036002C"/>
    <w:rsid w:val="00362941"/>
    <w:rsid w:val="00363CE8"/>
    <w:rsid w:val="003720C7"/>
    <w:rsid w:val="003739B6"/>
    <w:rsid w:val="00373BD1"/>
    <w:rsid w:val="00373DBE"/>
    <w:rsid w:val="00374B81"/>
    <w:rsid w:val="00384DA1"/>
    <w:rsid w:val="00386DDC"/>
    <w:rsid w:val="00387D19"/>
    <w:rsid w:val="00391437"/>
    <w:rsid w:val="00392CD2"/>
    <w:rsid w:val="00397251"/>
    <w:rsid w:val="003A0AFA"/>
    <w:rsid w:val="003A1619"/>
    <w:rsid w:val="003A4813"/>
    <w:rsid w:val="003A4DF5"/>
    <w:rsid w:val="003A5A4E"/>
    <w:rsid w:val="003A6285"/>
    <w:rsid w:val="003A73F0"/>
    <w:rsid w:val="003B092F"/>
    <w:rsid w:val="003B4CA4"/>
    <w:rsid w:val="003B5608"/>
    <w:rsid w:val="003B7F37"/>
    <w:rsid w:val="003C00CC"/>
    <w:rsid w:val="003C29D0"/>
    <w:rsid w:val="003C4737"/>
    <w:rsid w:val="003D0E2F"/>
    <w:rsid w:val="003D7198"/>
    <w:rsid w:val="003E2057"/>
    <w:rsid w:val="003E3733"/>
    <w:rsid w:val="003E3B88"/>
    <w:rsid w:val="003E4234"/>
    <w:rsid w:val="003F034F"/>
    <w:rsid w:val="003F0D47"/>
    <w:rsid w:val="003F0DD4"/>
    <w:rsid w:val="003F1054"/>
    <w:rsid w:val="003F74F1"/>
    <w:rsid w:val="00401FE0"/>
    <w:rsid w:val="0040502D"/>
    <w:rsid w:val="00407678"/>
    <w:rsid w:val="00407BF0"/>
    <w:rsid w:val="00410CCA"/>
    <w:rsid w:val="00411510"/>
    <w:rsid w:val="00411793"/>
    <w:rsid w:val="00411DD9"/>
    <w:rsid w:val="0041613E"/>
    <w:rsid w:val="00417B4F"/>
    <w:rsid w:val="004201E6"/>
    <w:rsid w:val="00422D16"/>
    <w:rsid w:val="00423E0B"/>
    <w:rsid w:val="004300D6"/>
    <w:rsid w:val="00430DBE"/>
    <w:rsid w:val="0044207F"/>
    <w:rsid w:val="0044281A"/>
    <w:rsid w:val="00446FE7"/>
    <w:rsid w:val="00450477"/>
    <w:rsid w:val="00452F1D"/>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596B"/>
    <w:rsid w:val="004C50F8"/>
    <w:rsid w:val="004D5754"/>
    <w:rsid w:val="004D679E"/>
    <w:rsid w:val="004D7B1C"/>
    <w:rsid w:val="004E1094"/>
    <w:rsid w:val="004E15AC"/>
    <w:rsid w:val="004F15CD"/>
    <w:rsid w:val="004F405F"/>
    <w:rsid w:val="004F4594"/>
    <w:rsid w:val="004F554B"/>
    <w:rsid w:val="004F65EF"/>
    <w:rsid w:val="004F6EA6"/>
    <w:rsid w:val="00500D73"/>
    <w:rsid w:val="00505E56"/>
    <w:rsid w:val="00510213"/>
    <w:rsid w:val="0051140E"/>
    <w:rsid w:val="0051262C"/>
    <w:rsid w:val="00516637"/>
    <w:rsid w:val="0051761B"/>
    <w:rsid w:val="00521922"/>
    <w:rsid w:val="005219B0"/>
    <w:rsid w:val="00523617"/>
    <w:rsid w:val="00525D96"/>
    <w:rsid w:val="0052627E"/>
    <w:rsid w:val="00526EE3"/>
    <w:rsid w:val="005274F4"/>
    <w:rsid w:val="00530CB0"/>
    <w:rsid w:val="00531773"/>
    <w:rsid w:val="0053651D"/>
    <w:rsid w:val="00536C60"/>
    <w:rsid w:val="0053729A"/>
    <w:rsid w:val="00537453"/>
    <w:rsid w:val="00537BDF"/>
    <w:rsid w:val="0054310D"/>
    <w:rsid w:val="005438FB"/>
    <w:rsid w:val="0054410E"/>
    <w:rsid w:val="005453BA"/>
    <w:rsid w:val="00546A9C"/>
    <w:rsid w:val="0055188C"/>
    <w:rsid w:val="00552D6B"/>
    <w:rsid w:val="00553224"/>
    <w:rsid w:val="00557689"/>
    <w:rsid w:val="00561C7F"/>
    <w:rsid w:val="0056444B"/>
    <w:rsid w:val="0056659C"/>
    <w:rsid w:val="00570881"/>
    <w:rsid w:val="00574219"/>
    <w:rsid w:val="00575B08"/>
    <w:rsid w:val="00576744"/>
    <w:rsid w:val="00576D9B"/>
    <w:rsid w:val="005779FB"/>
    <w:rsid w:val="005815C9"/>
    <w:rsid w:val="005832D6"/>
    <w:rsid w:val="00584196"/>
    <w:rsid w:val="00584CB7"/>
    <w:rsid w:val="00585144"/>
    <w:rsid w:val="0058618D"/>
    <w:rsid w:val="0059036C"/>
    <w:rsid w:val="00590C6E"/>
    <w:rsid w:val="00591068"/>
    <w:rsid w:val="0059458D"/>
    <w:rsid w:val="00596149"/>
    <w:rsid w:val="005A0DE9"/>
    <w:rsid w:val="005A19F6"/>
    <w:rsid w:val="005A2603"/>
    <w:rsid w:val="005A3BD8"/>
    <w:rsid w:val="005A65A3"/>
    <w:rsid w:val="005B2FFF"/>
    <w:rsid w:val="005B5145"/>
    <w:rsid w:val="005B6827"/>
    <w:rsid w:val="005C4112"/>
    <w:rsid w:val="005C41F7"/>
    <w:rsid w:val="005C4216"/>
    <w:rsid w:val="005C6E6E"/>
    <w:rsid w:val="005D30AB"/>
    <w:rsid w:val="005D5C55"/>
    <w:rsid w:val="005D779D"/>
    <w:rsid w:val="005E0EB8"/>
    <w:rsid w:val="005E5160"/>
    <w:rsid w:val="005F0B02"/>
    <w:rsid w:val="005F3754"/>
    <w:rsid w:val="005F3BC8"/>
    <w:rsid w:val="005F7D18"/>
    <w:rsid w:val="006015D2"/>
    <w:rsid w:val="0060306A"/>
    <w:rsid w:val="0060751B"/>
    <w:rsid w:val="00607E74"/>
    <w:rsid w:val="006111CE"/>
    <w:rsid w:val="00615AD7"/>
    <w:rsid w:val="006231E5"/>
    <w:rsid w:val="00624384"/>
    <w:rsid w:val="006248B3"/>
    <w:rsid w:val="006365F2"/>
    <w:rsid w:val="00636724"/>
    <w:rsid w:val="0064085C"/>
    <w:rsid w:val="00645281"/>
    <w:rsid w:val="00646B9F"/>
    <w:rsid w:val="00651B57"/>
    <w:rsid w:val="00652231"/>
    <w:rsid w:val="00652B40"/>
    <w:rsid w:val="00660B45"/>
    <w:rsid w:val="00662848"/>
    <w:rsid w:val="00664800"/>
    <w:rsid w:val="00670054"/>
    <w:rsid w:val="006702DA"/>
    <w:rsid w:val="006711C8"/>
    <w:rsid w:val="00672009"/>
    <w:rsid w:val="0067478B"/>
    <w:rsid w:val="00675775"/>
    <w:rsid w:val="006770E1"/>
    <w:rsid w:val="00677DF8"/>
    <w:rsid w:val="00681B28"/>
    <w:rsid w:val="00683DE1"/>
    <w:rsid w:val="006849A1"/>
    <w:rsid w:val="00685E2B"/>
    <w:rsid w:val="006868D3"/>
    <w:rsid w:val="0069249C"/>
    <w:rsid w:val="0069437A"/>
    <w:rsid w:val="00695140"/>
    <w:rsid w:val="00695E2A"/>
    <w:rsid w:val="006A23D0"/>
    <w:rsid w:val="006A68F2"/>
    <w:rsid w:val="006B6CD2"/>
    <w:rsid w:val="006B7759"/>
    <w:rsid w:val="006C2938"/>
    <w:rsid w:val="006C2A45"/>
    <w:rsid w:val="006C4E0B"/>
    <w:rsid w:val="006C5B00"/>
    <w:rsid w:val="006D30F7"/>
    <w:rsid w:val="006D6EBD"/>
    <w:rsid w:val="006E0C28"/>
    <w:rsid w:val="006E1D58"/>
    <w:rsid w:val="006E2F1B"/>
    <w:rsid w:val="006E3280"/>
    <w:rsid w:val="006E44A3"/>
    <w:rsid w:val="006E538F"/>
    <w:rsid w:val="006E695D"/>
    <w:rsid w:val="006E7D87"/>
    <w:rsid w:val="006F025C"/>
    <w:rsid w:val="006F252B"/>
    <w:rsid w:val="007034C1"/>
    <w:rsid w:val="0070356D"/>
    <w:rsid w:val="0070755C"/>
    <w:rsid w:val="00712594"/>
    <w:rsid w:val="00713C80"/>
    <w:rsid w:val="00713F23"/>
    <w:rsid w:val="00716D8D"/>
    <w:rsid w:val="00717377"/>
    <w:rsid w:val="00722CC5"/>
    <w:rsid w:val="00732E5A"/>
    <w:rsid w:val="0073642A"/>
    <w:rsid w:val="00736579"/>
    <w:rsid w:val="00743F96"/>
    <w:rsid w:val="00751AD9"/>
    <w:rsid w:val="00751E32"/>
    <w:rsid w:val="0075220B"/>
    <w:rsid w:val="00752C49"/>
    <w:rsid w:val="00754635"/>
    <w:rsid w:val="007608C6"/>
    <w:rsid w:val="007612A8"/>
    <w:rsid w:val="00763CE1"/>
    <w:rsid w:val="0076461D"/>
    <w:rsid w:val="0076792F"/>
    <w:rsid w:val="0077598C"/>
    <w:rsid w:val="00783E86"/>
    <w:rsid w:val="00785547"/>
    <w:rsid w:val="007912EC"/>
    <w:rsid w:val="00791BAE"/>
    <w:rsid w:val="007938FF"/>
    <w:rsid w:val="00796AF9"/>
    <w:rsid w:val="007A0DCE"/>
    <w:rsid w:val="007A4814"/>
    <w:rsid w:val="007A4F43"/>
    <w:rsid w:val="007A5A0B"/>
    <w:rsid w:val="007B0B21"/>
    <w:rsid w:val="007B0FE1"/>
    <w:rsid w:val="007B2521"/>
    <w:rsid w:val="007B25AB"/>
    <w:rsid w:val="007B28A6"/>
    <w:rsid w:val="007B38BD"/>
    <w:rsid w:val="007B480F"/>
    <w:rsid w:val="007B49AC"/>
    <w:rsid w:val="007C1F9D"/>
    <w:rsid w:val="007C625B"/>
    <w:rsid w:val="007C69A2"/>
    <w:rsid w:val="007C7314"/>
    <w:rsid w:val="007D04D1"/>
    <w:rsid w:val="007D0B1F"/>
    <w:rsid w:val="007D346E"/>
    <w:rsid w:val="007D499E"/>
    <w:rsid w:val="007D60B2"/>
    <w:rsid w:val="007D6BCD"/>
    <w:rsid w:val="007D79FC"/>
    <w:rsid w:val="007E068D"/>
    <w:rsid w:val="007E5EC0"/>
    <w:rsid w:val="007F0097"/>
    <w:rsid w:val="007F0428"/>
    <w:rsid w:val="007F09B5"/>
    <w:rsid w:val="007F366B"/>
    <w:rsid w:val="007F53E3"/>
    <w:rsid w:val="007F6D05"/>
    <w:rsid w:val="00801057"/>
    <w:rsid w:val="00801370"/>
    <w:rsid w:val="00812CE7"/>
    <w:rsid w:val="00812D6C"/>
    <w:rsid w:val="008152C4"/>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45CEE"/>
    <w:rsid w:val="008533AC"/>
    <w:rsid w:val="00856253"/>
    <w:rsid w:val="008621E2"/>
    <w:rsid w:val="00862AC1"/>
    <w:rsid w:val="00866E06"/>
    <w:rsid w:val="00867230"/>
    <w:rsid w:val="008708EC"/>
    <w:rsid w:val="00871053"/>
    <w:rsid w:val="00872588"/>
    <w:rsid w:val="008773C2"/>
    <w:rsid w:val="008776EA"/>
    <w:rsid w:val="00880F94"/>
    <w:rsid w:val="00881BE6"/>
    <w:rsid w:val="00882234"/>
    <w:rsid w:val="008822A8"/>
    <w:rsid w:val="00883540"/>
    <w:rsid w:val="0088366A"/>
    <w:rsid w:val="00893A49"/>
    <w:rsid w:val="00894627"/>
    <w:rsid w:val="00895662"/>
    <w:rsid w:val="00895A0E"/>
    <w:rsid w:val="0089781C"/>
    <w:rsid w:val="0089781D"/>
    <w:rsid w:val="00897E7A"/>
    <w:rsid w:val="008A2DF1"/>
    <w:rsid w:val="008A5C6D"/>
    <w:rsid w:val="008A7DAA"/>
    <w:rsid w:val="008B04D6"/>
    <w:rsid w:val="008B4469"/>
    <w:rsid w:val="008B6470"/>
    <w:rsid w:val="008B7BC1"/>
    <w:rsid w:val="008B7D40"/>
    <w:rsid w:val="008C277E"/>
    <w:rsid w:val="008C360E"/>
    <w:rsid w:val="008C7BB9"/>
    <w:rsid w:val="008D0843"/>
    <w:rsid w:val="008D47EC"/>
    <w:rsid w:val="008D52A2"/>
    <w:rsid w:val="008D5EE2"/>
    <w:rsid w:val="008E0BAD"/>
    <w:rsid w:val="008E46E7"/>
    <w:rsid w:val="008E5ADC"/>
    <w:rsid w:val="008F0740"/>
    <w:rsid w:val="008F0D3B"/>
    <w:rsid w:val="008F1C01"/>
    <w:rsid w:val="008F428E"/>
    <w:rsid w:val="008F5D41"/>
    <w:rsid w:val="009071EE"/>
    <w:rsid w:val="00913B8A"/>
    <w:rsid w:val="009150D8"/>
    <w:rsid w:val="00916CAE"/>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13E2"/>
    <w:rsid w:val="00974555"/>
    <w:rsid w:val="00975640"/>
    <w:rsid w:val="00982171"/>
    <w:rsid w:val="009836FB"/>
    <w:rsid w:val="009837CE"/>
    <w:rsid w:val="00984A73"/>
    <w:rsid w:val="00984BD4"/>
    <w:rsid w:val="00986301"/>
    <w:rsid w:val="00991446"/>
    <w:rsid w:val="009951ED"/>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5EE0"/>
    <w:rsid w:val="009D6749"/>
    <w:rsid w:val="009D6ECB"/>
    <w:rsid w:val="009D7BB9"/>
    <w:rsid w:val="009E10BE"/>
    <w:rsid w:val="009E2644"/>
    <w:rsid w:val="009E63B8"/>
    <w:rsid w:val="009E6DE9"/>
    <w:rsid w:val="009F0381"/>
    <w:rsid w:val="009F184B"/>
    <w:rsid w:val="009F2363"/>
    <w:rsid w:val="009F4BA9"/>
    <w:rsid w:val="009F6115"/>
    <w:rsid w:val="009F6560"/>
    <w:rsid w:val="00A04738"/>
    <w:rsid w:val="00A0623D"/>
    <w:rsid w:val="00A07633"/>
    <w:rsid w:val="00A07E1E"/>
    <w:rsid w:val="00A11400"/>
    <w:rsid w:val="00A11FEB"/>
    <w:rsid w:val="00A135E1"/>
    <w:rsid w:val="00A17F86"/>
    <w:rsid w:val="00A20FED"/>
    <w:rsid w:val="00A23255"/>
    <w:rsid w:val="00A30293"/>
    <w:rsid w:val="00A30350"/>
    <w:rsid w:val="00A3102A"/>
    <w:rsid w:val="00A33D17"/>
    <w:rsid w:val="00A35A80"/>
    <w:rsid w:val="00A36C5D"/>
    <w:rsid w:val="00A373F8"/>
    <w:rsid w:val="00A37FED"/>
    <w:rsid w:val="00A40829"/>
    <w:rsid w:val="00A42D4C"/>
    <w:rsid w:val="00A42FD7"/>
    <w:rsid w:val="00A43512"/>
    <w:rsid w:val="00A527FD"/>
    <w:rsid w:val="00A575DC"/>
    <w:rsid w:val="00A64B69"/>
    <w:rsid w:val="00A65CEB"/>
    <w:rsid w:val="00A67C53"/>
    <w:rsid w:val="00A67C7F"/>
    <w:rsid w:val="00A706AD"/>
    <w:rsid w:val="00A744CF"/>
    <w:rsid w:val="00A76A08"/>
    <w:rsid w:val="00A76FE9"/>
    <w:rsid w:val="00A80255"/>
    <w:rsid w:val="00A811C5"/>
    <w:rsid w:val="00A81ACB"/>
    <w:rsid w:val="00A81CE6"/>
    <w:rsid w:val="00A85323"/>
    <w:rsid w:val="00A877BF"/>
    <w:rsid w:val="00A9767A"/>
    <w:rsid w:val="00AA2044"/>
    <w:rsid w:val="00AB0A8A"/>
    <w:rsid w:val="00AB2314"/>
    <w:rsid w:val="00AB43B9"/>
    <w:rsid w:val="00AB725D"/>
    <w:rsid w:val="00AD234E"/>
    <w:rsid w:val="00AD2F47"/>
    <w:rsid w:val="00AD3247"/>
    <w:rsid w:val="00AD4E02"/>
    <w:rsid w:val="00AD6C59"/>
    <w:rsid w:val="00AE1858"/>
    <w:rsid w:val="00AE1888"/>
    <w:rsid w:val="00AE1D28"/>
    <w:rsid w:val="00AE3359"/>
    <w:rsid w:val="00AF03C9"/>
    <w:rsid w:val="00AF15D2"/>
    <w:rsid w:val="00AF26DD"/>
    <w:rsid w:val="00AF3F07"/>
    <w:rsid w:val="00AF6DDE"/>
    <w:rsid w:val="00B00FF5"/>
    <w:rsid w:val="00B01785"/>
    <w:rsid w:val="00B02608"/>
    <w:rsid w:val="00B112E5"/>
    <w:rsid w:val="00B11F6A"/>
    <w:rsid w:val="00B14203"/>
    <w:rsid w:val="00B1511F"/>
    <w:rsid w:val="00B16307"/>
    <w:rsid w:val="00B169E9"/>
    <w:rsid w:val="00B16FA5"/>
    <w:rsid w:val="00B179C6"/>
    <w:rsid w:val="00B17F36"/>
    <w:rsid w:val="00B20577"/>
    <w:rsid w:val="00B23AD9"/>
    <w:rsid w:val="00B26BE9"/>
    <w:rsid w:val="00B26C54"/>
    <w:rsid w:val="00B26ED2"/>
    <w:rsid w:val="00B3136D"/>
    <w:rsid w:val="00B316E3"/>
    <w:rsid w:val="00B32BCD"/>
    <w:rsid w:val="00B32DC0"/>
    <w:rsid w:val="00B34566"/>
    <w:rsid w:val="00B351AB"/>
    <w:rsid w:val="00B35AA9"/>
    <w:rsid w:val="00B42C99"/>
    <w:rsid w:val="00B45183"/>
    <w:rsid w:val="00B451EB"/>
    <w:rsid w:val="00B45BF3"/>
    <w:rsid w:val="00B45C15"/>
    <w:rsid w:val="00B45F8F"/>
    <w:rsid w:val="00B4625F"/>
    <w:rsid w:val="00B55812"/>
    <w:rsid w:val="00B57886"/>
    <w:rsid w:val="00B601B6"/>
    <w:rsid w:val="00B62AFA"/>
    <w:rsid w:val="00B63E07"/>
    <w:rsid w:val="00B66D6A"/>
    <w:rsid w:val="00B67DB6"/>
    <w:rsid w:val="00B70870"/>
    <w:rsid w:val="00B771EC"/>
    <w:rsid w:val="00B8084B"/>
    <w:rsid w:val="00B822F2"/>
    <w:rsid w:val="00B82AA9"/>
    <w:rsid w:val="00B84103"/>
    <w:rsid w:val="00B854DA"/>
    <w:rsid w:val="00B90301"/>
    <w:rsid w:val="00B957F9"/>
    <w:rsid w:val="00BA051B"/>
    <w:rsid w:val="00BA0BFD"/>
    <w:rsid w:val="00BA7852"/>
    <w:rsid w:val="00BA7903"/>
    <w:rsid w:val="00BB0A7F"/>
    <w:rsid w:val="00BB60EB"/>
    <w:rsid w:val="00BC06D9"/>
    <w:rsid w:val="00BC0C25"/>
    <w:rsid w:val="00BC127D"/>
    <w:rsid w:val="00BC29BE"/>
    <w:rsid w:val="00BC2F24"/>
    <w:rsid w:val="00BC47DF"/>
    <w:rsid w:val="00BC4C31"/>
    <w:rsid w:val="00BC5A24"/>
    <w:rsid w:val="00BC5E90"/>
    <w:rsid w:val="00BC659E"/>
    <w:rsid w:val="00BD1D32"/>
    <w:rsid w:val="00BD7C82"/>
    <w:rsid w:val="00BE59AD"/>
    <w:rsid w:val="00BF019A"/>
    <w:rsid w:val="00BF2A65"/>
    <w:rsid w:val="00BF5721"/>
    <w:rsid w:val="00C026BA"/>
    <w:rsid w:val="00C068C3"/>
    <w:rsid w:val="00C122F6"/>
    <w:rsid w:val="00C125F7"/>
    <w:rsid w:val="00C12A17"/>
    <w:rsid w:val="00C15CDD"/>
    <w:rsid w:val="00C161F1"/>
    <w:rsid w:val="00C2106C"/>
    <w:rsid w:val="00C21472"/>
    <w:rsid w:val="00C33C04"/>
    <w:rsid w:val="00C34EAF"/>
    <w:rsid w:val="00C43CCD"/>
    <w:rsid w:val="00C45B23"/>
    <w:rsid w:val="00C4708F"/>
    <w:rsid w:val="00C52A12"/>
    <w:rsid w:val="00C540B9"/>
    <w:rsid w:val="00C57B97"/>
    <w:rsid w:val="00C6110B"/>
    <w:rsid w:val="00C63B7A"/>
    <w:rsid w:val="00C63FCD"/>
    <w:rsid w:val="00C6536C"/>
    <w:rsid w:val="00C74CF2"/>
    <w:rsid w:val="00C75110"/>
    <w:rsid w:val="00C85606"/>
    <w:rsid w:val="00C86395"/>
    <w:rsid w:val="00C86BAD"/>
    <w:rsid w:val="00C903F5"/>
    <w:rsid w:val="00C90B34"/>
    <w:rsid w:val="00C90FF4"/>
    <w:rsid w:val="00C911A7"/>
    <w:rsid w:val="00C9519C"/>
    <w:rsid w:val="00C9597F"/>
    <w:rsid w:val="00C96AF7"/>
    <w:rsid w:val="00CA0E64"/>
    <w:rsid w:val="00CA1D14"/>
    <w:rsid w:val="00CA34B0"/>
    <w:rsid w:val="00CA45DA"/>
    <w:rsid w:val="00CA4B76"/>
    <w:rsid w:val="00CB11FF"/>
    <w:rsid w:val="00CB1FFB"/>
    <w:rsid w:val="00CB5782"/>
    <w:rsid w:val="00CB5DC6"/>
    <w:rsid w:val="00CC2515"/>
    <w:rsid w:val="00CC2B2A"/>
    <w:rsid w:val="00CC4FD1"/>
    <w:rsid w:val="00CC51E4"/>
    <w:rsid w:val="00CC589E"/>
    <w:rsid w:val="00CC5F8A"/>
    <w:rsid w:val="00CC7C0D"/>
    <w:rsid w:val="00CC7C4E"/>
    <w:rsid w:val="00CC7E2A"/>
    <w:rsid w:val="00CD2A25"/>
    <w:rsid w:val="00CD3FC9"/>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5F79"/>
    <w:rsid w:val="00D06D13"/>
    <w:rsid w:val="00D10ABE"/>
    <w:rsid w:val="00D13BCE"/>
    <w:rsid w:val="00D15F48"/>
    <w:rsid w:val="00D168A4"/>
    <w:rsid w:val="00D172FD"/>
    <w:rsid w:val="00D222BC"/>
    <w:rsid w:val="00D32107"/>
    <w:rsid w:val="00D32CEC"/>
    <w:rsid w:val="00D34076"/>
    <w:rsid w:val="00D341DD"/>
    <w:rsid w:val="00D34D91"/>
    <w:rsid w:val="00D40E84"/>
    <w:rsid w:val="00D41F18"/>
    <w:rsid w:val="00D47091"/>
    <w:rsid w:val="00D47E40"/>
    <w:rsid w:val="00D50019"/>
    <w:rsid w:val="00D506D1"/>
    <w:rsid w:val="00D52D8C"/>
    <w:rsid w:val="00D5357D"/>
    <w:rsid w:val="00D55349"/>
    <w:rsid w:val="00D61EA6"/>
    <w:rsid w:val="00D63A29"/>
    <w:rsid w:val="00D64081"/>
    <w:rsid w:val="00D649C2"/>
    <w:rsid w:val="00D66A3F"/>
    <w:rsid w:val="00D67867"/>
    <w:rsid w:val="00D70176"/>
    <w:rsid w:val="00D74A3E"/>
    <w:rsid w:val="00D7566B"/>
    <w:rsid w:val="00D7687D"/>
    <w:rsid w:val="00D8595F"/>
    <w:rsid w:val="00D86689"/>
    <w:rsid w:val="00D919F2"/>
    <w:rsid w:val="00D93A77"/>
    <w:rsid w:val="00D95686"/>
    <w:rsid w:val="00DA0830"/>
    <w:rsid w:val="00DA0C04"/>
    <w:rsid w:val="00DA6659"/>
    <w:rsid w:val="00DB11C0"/>
    <w:rsid w:val="00DB2702"/>
    <w:rsid w:val="00DB3D94"/>
    <w:rsid w:val="00DB4964"/>
    <w:rsid w:val="00DB62A8"/>
    <w:rsid w:val="00DB7694"/>
    <w:rsid w:val="00DC0C7D"/>
    <w:rsid w:val="00DC37CA"/>
    <w:rsid w:val="00DC3FE0"/>
    <w:rsid w:val="00DC5742"/>
    <w:rsid w:val="00DC75E3"/>
    <w:rsid w:val="00DC7658"/>
    <w:rsid w:val="00DC7D8A"/>
    <w:rsid w:val="00DD0955"/>
    <w:rsid w:val="00DD16E5"/>
    <w:rsid w:val="00DD38FD"/>
    <w:rsid w:val="00DE031B"/>
    <w:rsid w:val="00DE28A8"/>
    <w:rsid w:val="00DE45BF"/>
    <w:rsid w:val="00DF1B89"/>
    <w:rsid w:val="00DF4A9D"/>
    <w:rsid w:val="00DF61DD"/>
    <w:rsid w:val="00E01F8D"/>
    <w:rsid w:val="00E04C14"/>
    <w:rsid w:val="00E050E2"/>
    <w:rsid w:val="00E069D5"/>
    <w:rsid w:val="00E06DDC"/>
    <w:rsid w:val="00E07A54"/>
    <w:rsid w:val="00E07CD2"/>
    <w:rsid w:val="00E12280"/>
    <w:rsid w:val="00E122B9"/>
    <w:rsid w:val="00E13BF7"/>
    <w:rsid w:val="00E13DD2"/>
    <w:rsid w:val="00E16121"/>
    <w:rsid w:val="00E22BDB"/>
    <w:rsid w:val="00E24199"/>
    <w:rsid w:val="00E24338"/>
    <w:rsid w:val="00E300D4"/>
    <w:rsid w:val="00E3103C"/>
    <w:rsid w:val="00E31527"/>
    <w:rsid w:val="00E31B41"/>
    <w:rsid w:val="00E35024"/>
    <w:rsid w:val="00E35B55"/>
    <w:rsid w:val="00E42B5A"/>
    <w:rsid w:val="00E479E6"/>
    <w:rsid w:val="00E47F9E"/>
    <w:rsid w:val="00E53456"/>
    <w:rsid w:val="00E53941"/>
    <w:rsid w:val="00E749CC"/>
    <w:rsid w:val="00E831E9"/>
    <w:rsid w:val="00E85FE7"/>
    <w:rsid w:val="00E92337"/>
    <w:rsid w:val="00E92C5C"/>
    <w:rsid w:val="00E972CF"/>
    <w:rsid w:val="00EA04B2"/>
    <w:rsid w:val="00EA6150"/>
    <w:rsid w:val="00EA7BCE"/>
    <w:rsid w:val="00EB115F"/>
    <w:rsid w:val="00EB7098"/>
    <w:rsid w:val="00EC0045"/>
    <w:rsid w:val="00EC1256"/>
    <w:rsid w:val="00EC577F"/>
    <w:rsid w:val="00EC6E23"/>
    <w:rsid w:val="00EC7AE7"/>
    <w:rsid w:val="00ED5202"/>
    <w:rsid w:val="00EE200C"/>
    <w:rsid w:val="00EE620C"/>
    <w:rsid w:val="00EF0346"/>
    <w:rsid w:val="00EF170E"/>
    <w:rsid w:val="00EF1820"/>
    <w:rsid w:val="00EF4036"/>
    <w:rsid w:val="00EF5F64"/>
    <w:rsid w:val="00EF6D98"/>
    <w:rsid w:val="00EF700C"/>
    <w:rsid w:val="00F0161B"/>
    <w:rsid w:val="00F07D84"/>
    <w:rsid w:val="00F12B1C"/>
    <w:rsid w:val="00F1333B"/>
    <w:rsid w:val="00F14684"/>
    <w:rsid w:val="00F14CB3"/>
    <w:rsid w:val="00F251CC"/>
    <w:rsid w:val="00F26363"/>
    <w:rsid w:val="00F2689F"/>
    <w:rsid w:val="00F32CA4"/>
    <w:rsid w:val="00F339F7"/>
    <w:rsid w:val="00F4002F"/>
    <w:rsid w:val="00F41A5F"/>
    <w:rsid w:val="00F437D1"/>
    <w:rsid w:val="00F43F8B"/>
    <w:rsid w:val="00F46A16"/>
    <w:rsid w:val="00F47F04"/>
    <w:rsid w:val="00F564EF"/>
    <w:rsid w:val="00F573B4"/>
    <w:rsid w:val="00F616DD"/>
    <w:rsid w:val="00F624F0"/>
    <w:rsid w:val="00F63590"/>
    <w:rsid w:val="00F63793"/>
    <w:rsid w:val="00F63BE6"/>
    <w:rsid w:val="00F64A42"/>
    <w:rsid w:val="00F7548D"/>
    <w:rsid w:val="00F76FE7"/>
    <w:rsid w:val="00F779BB"/>
    <w:rsid w:val="00F81DF8"/>
    <w:rsid w:val="00F860E8"/>
    <w:rsid w:val="00F919F1"/>
    <w:rsid w:val="00F91F7B"/>
    <w:rsid w:val="00F92016"/>
    <w:rsid w:val="00F93462"/>
    <w:rsid w:val="00F94F30"/>
    <w:rsid w:val="00F95CD5"/>
    <w:rsid w:val="00FA1E20"/>
    <w:rsid w:val="00FB1EAC"/>
    <w:rsid w:val="00FB2F01"/>
    <w:rsid w:val="00FB4A51"/>
    <w:rsid w:val="00FB5A99"/>
    <w:rsid w:val="00FC2025"/>
    <w:rsid w:val="00FD0423"/>
    <w:rsid w:val="00FD28EC"/>
    <w:rsid w:val="00FD373A"/>
    <w:rsid w:val="00FD4E24"/>
    <w:rsid w:val="00FD5138"/>
    <w:rsid w:val="00FD5D33"/>
    <w:rsid w:val="00FD6750"/>
    <w:rsid w:val="00FD6F29"/>
    <w:rsid w:val="00FE0D18"/>
    <w:rsid w:val="00FE6323"/>
    <w:rsid w:val="00FE64A1"/>
    <w:rsid w:val="00FF03BB"/>
    <w:rsid w:val="00FF1694"/>
    <w:rsid w:val="00FF1C61"/>
    <w:rsid w:val="00FF232C"/>
    <w:rsid w:val="00FF389C"/>
    <w:rsid w:val="08B15271"/>
    <w:rsid w:val="0CC85FFF"/>
    <w:rsid w:val="1100D089"/>
    <w:rsid w:val="1246D161"/>
    <w:rsid w:val="1F24DB37"/>
    <w:rsid w:val="3656C088"/>
    <w:rsid w:val="3B7D6A0B"/>
    <w:rsid w:val="75FC2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37"/>
    <w:pPr>
      <w:spacing w:before="0" w:line="240" w:lineRule="auto"/>
      <w:ind w:left="576" w:right="0" w:hanging="576"/>
      <w:jc w:val="left"/>
    </w:pPr>
    <w:rPr>
      <w:rFonts w:ascii="Tahoma" w:hAnsi="Tahoma"/>
    </w:rPr>
  </w:style>
  <w:style w:type="paragraph" w:styleId="Heading1">
    <w:name w:val="heading 1"/>
    <w:basedOn w:val="Normal"/>
    <w:link w:val="Heading1Char"/>
    <w:qFormat/>
    <w:rsid w:val="00505E56"/>
    <w:pPr>
      <w:keepNext/>
      <w:numPr>
        <w:numId w:val="33"/>
      </w:numPr>
      <w:ind w:left="576" w:hanging="576"/>
      <w:outlineLvl w:val="0"/>
    </w:pPr>
    <w:rPr>
      <w:rFonts w:eastAsia="SimSun" w:cs="Times New Roman"/>
      <w:b/>
      <w:kern w:val="28"/>
    </w:rPr>
  </w:style>
  <w:style w:type="paragraph" w:styleId="Heading2">
    <w:name w:val="heading 2"/>
    <w:basedOn w:val="Normal"/>
    <w:link w:val="Heading2Char"/>
    <w:uiPriority w:val="9"/>
    <w:qFormat/>
    <w:rsid w:val="005D30AB"/>
    <w:pPr>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480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05E56"/>
    <w:rPr>
      <w:rFonts w:ascii="Tahoma" w:eastAsia="SimSun" w:hAnsi="Tahoma" w:cs="Times New Roman"/>
      <w:b/>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character" w:customStyle="1" w:styleId="normaltextrun">
    <w:name w:val="normaltextrun"/>
    <w:basedOn w:val="DefaultParagraphFont"/>
    <w:rsid w:val="002D6E0C"/>
  </w:style>
  <w:style w:type="character" w:customStyle="1" w:styleId="eop">
    <w:name w:val="eop"/>
    <w:basedOn w:val="DefaultParagraphFont"/>
    <w:rsid w:val="002D6E0C"/>
  </w:style>
  <w:style w:type="paragraph" w:customStyle="1" w:styleId="paragraph">
    <w:name w:val="paragraph"/>
    <w:basedOn w:val="Normal"/>
    <w:rsid w:val="00BC4C31"/>
    <w:pPr>
      <w:spacing w:before="100" w:beforeAutospacing="1" w:after="100" w:afterAutospacing="1"/>
      <w:ind w:left="0" w:firstLine="0"/>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664800"/>
    <w:pPr>
      <w:keepLines/>
      <w:spacing w:before="240" w:line="259" w:lineRule="auto"/>
      <w:ind w:left="0" w:firstLine="0"/>
      <w:outlineLvl w:val="9"/>
    </w:pPr>
    <w:rPr>
      <w:rFonts w:asciiTheme="majorHAnsi" w:eastAsiaTheme="majorEastAsia" w:hAnsiTheme="majorHAnsi" w:cstheme="majorBidi"/>
      <w:b w:val="0"/>
      <w:caps/>
      <w:color w:val="2E74B5" w:themeColor="accent1" w:themeShade="BF"/>
      <w:kern w:val="0"/>
      <w:sz w:val="32"/>
      <w:szCs w:val="32"/>
      <w:lang w:val="en-US"/>
    </w:rPr>
  </w:style>
  <w:style w:type="paragraph" w:styleId="TOC2">
    <w:name w:val="toc 2"/>
    <w:basedOn w:val="Normal"/>
    <w:next w:val="Normal"/>
    <w:autoRedefine/>
    <w:uiPriority w:val="39"/>
    <w:unhideWhenUsed/>
    <w:rsid w:val="00664800"/>
    <w:pPr>
      <w:spacing w:after="100" w:line="259" w:lineRule="auto"/>
      <w:ind w:left="220" w:firstLine="0"/>
    </w:pPr>
  </w:style>
  <w:style w:type="paragraph" w:styleId="TOC3">
    <w:name w:val="toc 3"/>
    <w:basedOn w:val="Normal"/>
    <w:next w:val="Normal"/>
    <w:autoRedefine/>
    <w:uiPriority w:val="39"/>
    <w:unhideWhenUsed/>
    <w:rsid w:val="00664800"/>
    <w:pPr>
      <w:spacing w:after="100" w:line="259" w:lineRule="auto"/>
      <w:ind w:left="440" w:firstLine="0"/>
    </w:pPr>
  </w:style>
  <w:style w:type="paragraph" w:styleId="TOC1">
    <w:name w:val="toc 1"/>
    <w:basedOn w:val="Normal"/>
    <w:next w:val="Normal"/>
    <w:autoRedefine/>
    <w:uiPriority w:val="39"/>
    <w:unhideWhenUsed/>
    <w:rsid w:val="001313DC"/>
    <w:pPr>
      <w:tabs>
        <w:tab w:val="left" w:pos="440"/>
        <w:tab w:val="right" w:leader="dot" w:pos="9016"/>
      </w:tabs>
      <w:spacing w:after="100" w:line="259" w:lineRule="auto"/>
      <w:ind w:left="0" w:firstLine="0"/>
    </w:pPr>
  </w:style>
  <w:style w:type="character" w:customStyle="1" w:styleId="Heading5Char">
    <w:name w:val="Heading 5 Char"/>
    <w:basedOn w:val="DefaultParagraphFont"/>
    <w:link w:val="Heading5"/>
    <w:uiPriority w:val="9"/>
    <w:semiHidden/>
    <w:rsid w:val="00664800"/>
    <w:rPr>
      <w:rFonts w:asciiTheme="majorHAnsi" w:eastAsiaTheme="majorEastAsia" w:hAnsiTheme="majorHAnsi" w:cstheme="majorBidi"/>
      <w:color w:val="2E74B5" w:themeColor="accent1" w:themeShade="BF"/>
    </w:rPr>
  </w:style>
  <w:style w:type="table" w:customStyle="1" w:styleId="TableGrid1">
    <w:name w:val="Table Grid1"/>
    <w:rsid w:val="005A19F6"/>
    <w:pPr>
      <w:spacing w:before="0" w:line="240" w:lineRule="auto"/>
      <w:ind w:left="0" w:right="0" w:firstLine="0"/>
      <w:jc w:val="left"/>
    </w:pPr>
    <w:rPr>
      <w:rFonts w:eastAsiaTheme="minorEastAsia"/>
      <w:lang w:eastAsia="en-GB"/>
    </w:rPr>
    <w:tblPr>
      <w:tblCellMar>
        <w:top w:w="0" w:type="dxa"/>
        <w:left w:w="0" w:type="dxa"/>
        <w:bottom w:w="0" w:type="dxa"/>
        <w:right w:w="0" w:type="dxa"/>
      </w:tblCellMar>
    </w:tblPr>
  </w:style>
  <w:style w:type="table" w:customStyle="1" w:styleId="TableGrid0">
    <w:name w:val="TableGrid"/>
    <w:rsid w:val="00F94F30"/>
    <w:pPr>
      <w:spacing w:before="0" w:line="240" w:lineRule="auto"/>
      <w:ind w:left="0" w:right="0" w:firstLine="0"/>
      <w:jc w:val="left"/>
    </w:pPr>
    <w:rPr>
      <w:rFonts w:eastAsiaTheme="minorEastAsia"/>
      <w:lang w:val="en-US"/>
    </w:rPr>
    <w:tblPr>
      <w:tblCellMar>
        <w:top w:w="0" w:type="dxa"/>
        <w:left w:w="0" w:type="dxa"/>
        <w:bottom w:w="0" w:type="dxa"/>
        <w:right w:w="0" w:type="dxa"/>
      </w:tblCellMar>
    </w:tblPr>
  </w:style>
  <w:style w:type="paragraph" w:styleId="TOC4">
    <w:name w:val="toc 4"/>
    <w:basedOn w:val="Normal"/>
    <w:next w:val="Normal"/>
    <w:autoRedefine/>
    <w:uiPriority w:val="39"/>
    <w:unhideWhenUsed/>
    <w:rsid w:val="00391437"/>
    <w:pPr>
      <w:spacing w:after="100" w:line="278" w:lineRule="auto"/>
      <w:ind w:left="720" w:firstLine="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391437"/>
    <w:pPr>
      <w:spacing w:after="100" w:line="278" w:lineRule="auto"/>
      <w:ind w:left="960" w:firstLine="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391437"/>
    <w:pPr>
      <w:spacing w:after="100" w:line="278" w:lineRule="auto"/>
      <w:ind w:left="1200" w:firstLine="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391437"/>
    <w:pPr>
      <w:spacing w:after="100" w:line="278" w:lineRule="auto"/>
      <w:ind w:left="1440" w:firstLine="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391437"/>
    <w:pPr>
      <w:spacing w:after="100" w:line="278" w:lineRule="auto"/>
      <w:ind w:left="1680" w:firstLine="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391437"/>
    <w:pPr>
      <w:spacing w:after="100" w:line="278" w:lineRule="auto"/>
      <w:ind w:left="1920" w:firstLine="0"/>
    </w:pPr>
    <w:rPr>
      <w:rFonts w:eastAsiaTheme="minorEastAsia"/>
      <w:kern w:val="2"/>
      <w:sz w:val="24"/>
      <w:szCs w:val="24"/>
      <w:lang w:eastAsia="en-GB"/>
      <w14:ligatures w14:val="standardContextual"/>
    </w:rPr>
  </w:style>
  <w:style w:type="character" w:styleId="FollowedHyperlink">
    <w:name w:val="FollowedHyperlink"/>
    <w:basedOn w:val="DefaultParagraphFont"/>
    <w:uiPriority w:val="99"/>
    <w:semiHidden/>
    <w:unhideWhenUsed/>
    <w:rsid w:val="00131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370421964">
      <w:bodyDiv w:val="1"/>
      <w:marLeft w:val="0"/>
      <w:marRight w:val="0"/>
      <w:marTop w:val="0"/>
      <w:marBottom w:val="0"/>
      <w:divBdr>
        <w:top w:val="none" w:sz="0" w:space="0" w:color="auto"/>
        <w:left w:val="none" w:sz="0" w:space="0" w:color="auto"/>
        <w:bottom w:val="none" w:sz="0" w:space="0" w:color="auto"/>
        <w:right w:val="none" w:sz="0" w:space="0" w:color="auto"/>
      </w:divBdr>
      <w:divsChild>
        <w:div w:id="1499345288">
          <w:marLeft w:val="0"/>
          <w:marRight w:val="0"/>
          <w:marTop w:val="0"/>
          <w:marBottom w:val="0"/>
          <w:divBdr>
            <w:top w:val="none" w:sz="0" w:space="0" w:color="auto"/>
            <w:left w:val="none" w:sz="0" w:space="0" w:color="auto"/>
            <w:bottom w:val="none" w:sz="0" w:space="0" w:color="auto"/>
            <w:right w:val="none" w:sz="0" w:space="0" w:color="auto"/>
          </w:divBdr>
        </w:div>
        <w:div w:id="1159492850">
          <w:marLeft w:val="0"/>
          <w:marRight w:val="0"/>
          <w:marTop w:val="0"/>
          <w:marBottom w:val="0"/>
          <w:divBdr>
            <w:top w:val="none" w:sz="0" w:space="0" w:color="auto"/>
            <w:left w:val="none" w:sz="0" w:space="0" w:color="auto"/>
            <w:bottom w:val="none" w:sz="0" w:space="0" w:color="auto"/>
            <w:right w:val="none" w:sz="0" w:space="0" w:color="auto"/>
          </w:divBdr>
        </w:div>
      </w:divsChild>
    </w:div>
    <w:div w:id="609708267">
      <w:bodyDiv w:val="1"/>
      <w:marLeft w:val="0"/>
      <w:marRight w:val="0"/>
      <w:marTop w:val="0"/>
      <w:marBottom w:val="0"/>
      <w:divBdr>
        <w:top w:val="none" w:sz="0" w:space="0" w:color="auto"/>
        <w:left w:val="none" w:sz="0" w:space="0" w:color="auto"/>
        <w:bottom w:val="none" w:sz="0" w:space="0" w:color="auto"/>
        <w:right w:val="none" w:sz="0" w:space="0" w:color="auto"/>
      </w:divBdr>
      <w:divsChild>
        <w:div w:id="866413382">
          <w:marLeft w:val="0"/>
          <w:marRight w:val="0"/>
          <w:marTop w:val="0"/>
          <w:marBottom w:val="0"/>
          <w:divBdr>
            <w:top w:val="none" w:sz="0" w:space="0" w:color="auto"/>
            <w:left w:val="none" w:sz="0" w:space="0" w:color="auto"/>
            <w:bottom w:val="none" w:sz="0" w:space="0" w:color="auto"/>
            <w:right w:val="none" w:sz="0" w:space="0" w:color="auto"/>
          </w:divBdr>
        </w:div>
        <w:div w:id="176963098">
          <w:marLeft w:val="0"/>
          <w:marRight w:val="0"/>
          <w:marTop w:val="0"/>
          <w:marBottom w:val="0"/>
          <w:divBdr>
            <w:top w:val="none" w:sz="0" w:space="0" w:color="auto"/>
            <w:left w:val="none" w:sz="0" w:space="0" w:color="auto"/>
            <w:bottom w:val="none" w:sz="0" w:space="0" w:color="auto"/>
            <w:right w:val="none" w:sz="0" w:space="0" w:color="auto"/>
          </w:divBdr>
        </w:div>
        <w:div w:id="29688406">
          <w:marLeft w:val="0"/>
          <w:marRight w:val="0"/>
          <w:marTop w:val="0"/>
          <w:marBottom w:val="0"/>
          <w:divBdr>
            <w:top w:val="none" w:sz="0" w:space="0" w:color="auto"/>
            <w:left w:val="none" w:sz="0" w:space="0" w:color="auto"/>
            <w:bottom w:val="none" w:sz="0" w:space="0" w:color="auto"/>
            <w:right w:val="none" w:sz="0" w:space="0" w:color="auto"/>
          </w:divBdr>
        </w:div>
      </w:divsChild>
    </w:div>
    <w:div w:id="724448269">
      <w:bodyDiv w:val="1"/>
      <w:marLeft w:val="0"/>
      <w:marRight w:val="0"/>
      <w:marTop w:val="0"/>
      <w:marBottom w:val="0"/>
      <w:divBdr>
        <w:top w:val="none" w:sz="0" w:space="0" w:color="auto"/>
        <w:left w:val="none" w:sz="0" w:space="0" w:color="auto"/>
        <w:bottom w:val="none" w:sz="0" w:space="0" w:color="auto"/>
        <w:right w:val="none" w:sz="0" w:space="0" w:color="auto"/>
      </w:divBdr>
      <w:divsChild>
        <w:div w:id="645889950">
          <w:marLeft w:val="0"/>
          <w:marRight w:val="0"/>
          <w:marTop w:val="0"/>
          <w:marBottom w:val="0"/>
          <w:divBdr>
            <w:top w:val="none" w:sz="0" w:space="0" w:color="auto"/>
            <w:left w:val="none" w:sz="0" w:space="0" w:color="auto"/>
            <w:bottom w:val="none" w:sz="0" w:space="0" w:color="auto"/>
            <w:right w:val="none" w:sz="0" w:space="0" w:color="auto"/>
          </w:divBdr>
        </w:div>
        <w:div w:id="1999141709">
          <w:marLeft w:val="0"/>
          <w:marRight w:val="0"/>
          <w:marTop w:val="0"/>
          <w:marBottom w:val="0"/>
          <w:divBdr>
            <w:top w:val="none" w:sz="0" w:space="0" w:color="auto"/>
            <w:left w:val="none" w:sz="0" w:space="0" w:color="auto"/>
            <w:bottom w:val="none" w:sz="0" w:space="0" w:color="auto"/>
            <w:right w:val="none" w:sz="0" w:space="0" w:color="auto"/>
          </w:divBdr>
        </w:div>
        <w:div w:id="1691447945">
          <w:marLeft w:val="0"/>
          <w:marRight w:val="0"/>
          <w:marTop w:val="0"/>
          <w:marBottom w:val="0"/>
          <w:divBdr>
            <w:top w:val="none" w:sz="0" w:space="0" w:color="auto"/>
            <w:left w:val="none" w:sz="0" w:space="0" w:color="auto"/>
            <w:bottom w:val="none" w:sz="0" w:space="0" w:color="auto"/>
            <w:right w:val="none" w:sz="0" w:space="0" w:color="auto"/>
          </w:divBdr>
        </w:div>
        <w:div w:id="427196210">
          <w:marLeft w:val="0"/>
          <w:marRight w:val="0"/>
          <w:marTop w:val="0"/>
          <w:marBottom w:val="0"/>
          <w:divBdr>
            <w:top w:val="none" w:sz="0" w:space="0" w:color="auto"/>
            <w:left w:val="none" w:sz="0" w:space="0" w:color="auto"/>
            <w:bottom w:val="none" w:sz="0" w:space="0" w:color="auto"/>
            <w:right w:val="none" w:sz="0" w:space="0" w:color="auto"/>
          </w:divBdr>
        </w:div>
        <w:div w:id="1631472323">
          <w:marLeft w:val="0"/>
          <w:marRight w:val="0"/>
          <w:marTop w:val="0"/>
          <w:marBottom w:val="0"/>
          <w:divBdr>
            <w:top w:val="none" w:sz="0" w:space="0" w:color="auto"/>
            <w:left w:val="none" w:sz="0" w:space="0" w:color="auto"/>
            <w:bottom w:val="none" w:sz="0" w:space="0" w:color="auto"/>
            <w:right w:val="none" w:sz="0" w:space="0" w:color="auto"/>
          </w:divBdr>
        </w:div>
      </w:divsChild>
    </w:div>
    <w:div w:id="807237317">
      <w:bodyDiv w:val="1"/>
      <w:marLeft w:val="0"/>
      <w:marRight w:val="0"/>
      <w:marTop w:val="0"/>
      <w:marBottom w:val="0"/>
      <w:divBdr>
        <w:top w:val="none" w:sz="0" w:space="0" w:color="auto"/>
        <w:left w:val="none" w:sz="0" w:space="0" w:color="auto"/>
        <w:bottom w:val="none" w:sz="0" w:space="0" w:color="auto"/>
        <w:right w:val="none" w:sz="0" w:space="0" w:color="auto"/>
      </w:divBdr>
      <w:divsChild>
        <w:div w:id="84543357">
          <w:marLeft w:val="0"/>
          <w:marRight w:val="0"/>
          <w:marTop w:val="0"/>
          <w:marBottom w:val="0"/>
          <w:divBdr>
            <w:top w:val="none" w:sz="0" w:space="0" w:color="auto"/>
            <w:left w:val="none" w:sz="0" w:space="0" w:color="auto"/>
            <w:bottom w:val="none" w:sz="0" w:space="0" w:color="auto"/>
            <w:right w:val="none" w:sz="0" w:space="0" w:color="auto"/>
          </w:divBdr>
        </w:div>
        <w:div w:id="1123115427">
          <w:marLeft w:val="0"/>
          <w:marRight w:val="0"/>
          <w:marTop w:val="0"/>
          <w:marBottom w:val="0"/>
          <w:divBdr>
            <w:top w:val="none" w:sz="0" w:space="0" w:color="auto"/>
            <w:left w:val="none" w:sz="0" w:space="0" w:color="auto"/>
            <w:bottom w:val="none" w:sz="0" w:space="0" w:color="auto"/>
            <w:right w:val="none" w:sz="0" w:space="0" w:color="auto"/>
          </w:divBdr>
        </w:div>
        <w:div w:id="1611279733">
          <w:marLeft w:val="0"/>
          <w:marRight w:val="0"/>
          <w:marTop w:val="0"/>
          <w:marBottom w:val="0"/>
          <w:divBdr>
            <w:top w:val="none" w:sz="0" w:space="0" w:color="auto"/>
            <w:left w:val="none" w:sz="0" w:space="0" w:color="auto"/>
            <w:bottom w:val="none" w:sz="0" w:space="0" w:color="auto"/>
            <w:right w:val="none" w:sz="0" w:space="0" w:color="auto"/>
          </w:divBdr>
        </w:div>
        <w:div w:id="10838308">
          <w:marLeft w:val="0"/>
          <w:marRight w:val="0"/>
          <w:marTop w:val="0"/>
          <w:marBottom w:val="0"/>
          <w:divBdr>
            <w:top w:val="none" w:sz="0" w:space="0" w:color="auto"/>
            <w:left w:val="none" w:sz="0" w:space="0" w:color="auto"/>
            <w:bottom w:val="none" w:sz="0" w:space="0" w:color="auto"/>
            <w:right w:val="none" w:sz="0" w:space="0" w:color="auto"/>
          </w:divBdr>
        </w:div>
        <w:div w:id="1314602744">
          <w:marLeft w:val="0"/>
          <w:marRight w:val="0"/>
          <w:marTop w:val="0"/>
          <w:marBottom w:val="0"/>
          <w:divBdr>
            <w:top w:val="none" w:sz="0" w:space="0" w:color="auto"/>
            <w:left w:val="none" w:sz="0" w:space="0" w:color="auto"/>
            <w:bottom w:val="none" w:sz="0" w:space="0" w:color="auto"/>
            <w:right w:val="none" w:sz="0" w:space="0" w:color="auto"/>
          </w:divBdr>
        </w:div>
        <w:div w:id="1479494260">
          <w:marLeft w:val="0"/>
          <w:marRight w:val="0"/>
          <w:marTop w:val="0"/>
          <w:marBottom w:val="0"/>
          <w:divBdr>
            <w:top w:val="none" w:sz="0" w:space="0" w:color="auto"/>
            <w:left w:val="none" w:sz="0" w:space="0" w:color="auto"/>
            <w:bottom w:val="none" w:sz="0" w:space="0" w:color="auto"/>
            <w:right w:val="none" w:sz="0" w:space="0" w:color="auto"/>
          </w:divBdr>
        </w:div>
        <w:div w:id="1353188618">
          <w:marLeft w:val="0"/>
          <w:marRight w:val="0"/>
          <w:marTop w:val="0"/>
          <w:marBottom w:val="0"/>
          <w:divBdr>
            <w:top w:val="none" w:sz="0" w:space="0" w:color="auto"/>
            <w:left w:val="none" w:sz="0" w:space="0" w:color="auto"/>
            <w:bottom w:val="none" w:sz="0" w:space="0" w:color="auto"/>
            <w:right w:val="none" w:sz="0" w:space="0" w:color="auto"/>
          </w:divBdr>
        </w:div>
        <w:div w:id="1255626281">
          <w:marLeft w:val="0"/>
          <w:marRight w:val="0"/>
          <w:marTop w:val="0"/>
          <w:marBottom w:val="0"/>
          <w:divBdr>
            <w:top w:val="none" w:sz="0" w:space="0" w:color="auto"/>
            <w:left w:val="none" w:sz="0" w:space="0" w:color="auto"/>
            <w:bottom w:val="none" w:sz="0" w:space="0" w:color="auto"/>
            <w:right w:val="none" w:sz="0" w:space="0" w:color="auto"/>
          </w:divBdr>
        </w:div>
        <w:div w:id="75978946">
          <w:marLeft w:val="0"/>
          <w:marRight w:val="0"/>
          <w:marTop w:val="0"/>
          <w:marBottom w:val="0"/>
          <w:divBdr>
            <w:top w:val="none" w:sz="0" w:space="0" w:color="auto"/>
            <w:left w:val="none" w:sz="0" w:space="0" w:color="auto"/>
            <w:bottom w:val="none" w:sz="0" w:space="0" w:color="auto"/>
            <w:right w:val="none" w:sz="0" w:space="0" w:color="auto"/>
          </w:divBdr>
        </w:div>
      </w:divsChild>
    </w:div>
    <w:div w:id="1092700749">
      <w:bodyDiv w:val="1"/>
      <w:marLeft w:val="0"/>
      <w:marRight w:val="0"/>
      <w:marTop w:val="0"/>
      <w:marBottom w:val="0"/>
      <w:divBdr>
        <w:top w:val="none" w:sz="0" w:space="0" w:color="auto"/>
        <w:left w:val="none" w:sz="0" w:space="0" w:color="auto"/>
        <w:bottom w:val="none" w:sz="0" w:space="0" w:color="auto"/>
        <w:right w:val="none" w:sz="0" w:space="0" w:color="auto"/>
      </w:divBdr>
      <w:divsChild>
        <w:div w:id="456337244">
          <w:marLeft w:val="0"/>
          <w:marRight w:val="0"/>
          <w:marTop w:val="0"/>
          <w:marBottom w:val="0"/>
          <w:divBdr>
            <w:top w:val="none" w:sz="0" w:space="0" w:color="auto"/>
            <w:left w:val="none" w:sz="0" w:space="0" w:color="auto"/>
            <w:bottom w:val="none" w:sz="0" w:space="0" w:color="auto"/>
            <w:right w:val="none" w:sz="0" w:space="0" w:color="auto"/>
          </w:divBdr>
        </w:div>
        <w:div w:id="314188153">
          <w:marLeft w:val="0"/>
          <w:marRight w:val="0"/>
          <w:marTop w:val="0"/>
          <w:marBottom w:val="0"/>
          <w:divBdr>
            <w:top w:val="none" w:sz="0" w:space="0" w:color="auto"/>
            <w:left w:val="none" w:sz="0" w:space="0" w:color="auto"/>
            <w:bottom w:val="none" w:sz="0" w:space="0" w:color="auto"/>
            <w:right w:val="none" w:sz="0" w:space="0" w:color="auto"/>
          </w:divBdr>
        </w:div>
      </w:divsChild>
    </w:div>
    <w:div w:id="1320884568">
      <w:bodyDiv w:val="1"/>
      <w:marLeft w:val="0"/>
      <w:marRight w:val="0"/>
      <w:marTop w:val="0"/>
      <w:marBottom w:val="0"/>
      <w:divBdr>
        <w:top w:val="none" w:sz="0" w:space="0" w:color="auto"/>
        <w:left w:val="none" w:sz="0" w:space="0" w:color="auto"/>
        <w:bottom w:val="none" w:sz="0" w:space="0" w:color="auto"/>
        <w:right w:val="none" w:sz="0" w:space="0" w:color="auto"/>
      </w:divBdr>
      <w:divsChild>
        <w:div w:id="2055887311">
          <w:marLeft w:val="0"/>
          <w:marRight w:val="0"/>
          <w:marTop w:val="0"/>
          <w:marBottom w:val="0"/>
          <w:divBdr>
            <w:top w:val="none" w:sz="0" w:space="0" w:color="auto"/>
            <w:left w:val="none" w:sz="0" w:space="0" w:color="auto"/>
            <w:bottom w:val="none" w:sz="0" w:space="0" w:color="auto"/>
            <w:right w:val="none" w:sz="0" w:space="0" w:color="auto"/>
          </w:divBdr>
        </w:div>
        <w:div w:id="36660453">
          <w:marLeft w:val="0"/>
          <w:marRight w:val="0"/>
          <w:marTop w:val="0"/>
          <w:marBottom w:val="0"/>
          <w:divBdr>
            <w:top w:val="none" w:sz="0" w:space="0" w:color="auto"/>
            <w:left w:val="none" w:sz="0" w:space="0" w:color="auto"/>
            <w:bottom w:val="none" w:sz="0" w:space="0" w:color="auto"/>
            <w:right w:val="none" w:sz="0" w:space="0" w:color="auto"/>
          </w:divBdr>
        </w:div>
      </w:divsChild>
    </w:div>
    <w:div w:id="1576864271">
      <w:bodyDiv w:val="1"/>
      <w:marLeft w:val="0"/>
      <w:marRight w:val="0"/>
      <w:marTop w:val="0"/>
      <w:marBottom w:val="0"/>
      <w:divBdr>
        <w:top w:val="none" w:sz="0" w:space="0" w:color="auto"/>
        <w:left w:val="none" w:sz="0" w:space="0" w:color="auto"/>
        <w:bottom w:val="none" w:sz="0" w:space="0" w:color="auto"/>
        <w:right w:val="none" w:sz="0" w:space="0" w:color="auto"/>
      </w:divBdr>
      <w:divsChild>
        <w:div w:id="600532511">
          <w:marLeft w:val="0"/>
          <w:marRight w:val="0"/>
          <w:marTop w:val="0"/>
          <w:marBottom w:val="0"/>
          <w:divBdr>
            <w:top w:val="none" w:sz="0" w:space="0" w:color="auto"/>
            <w:left w:val="none" w:sz="0" w:space="0" w:color="auto"/>
            <w:bottom w:val="none" w:sz="0" w:space="0" w:color="auto"/>
            <w:right w:val="none" w:sz="0" w:space="0" w:color="auto"/>
          </w:divBdr>
        </w:div>
        <w:div w:id="1738823902">
          <w:marLeft w:val="0"/>
          <w:marRight w:val="0"/>
          <w:marTop w:val="0"/>
          <w:marBottom w:val="0"/>
          <w:divBdr>
            <w:top w:val="none" w:sz="0" w:space="0" w:color="auto"/>
            <w:left w:val="none" w:sz="0" w:space="0" w:color="auto"/>
            <w:bottom w:val="none" w:sz="0" w:space="0" w:color="auto"/>
            <w:right w:val="none" w:sz="0" w:space="0" w:color="auto"/>
          </w:divBdr>
        </w:div>
      </w:divsChild>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ai.com/blog/chatg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egistry@hull-college.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2d5f27-5011-4e27-8697-67a7238bfb72">
      <UserInfo>
        <DisplayName>Cheri Whitehead</DisplayName>
        <AccountId>40</AccountId>
        <AccountType/>
      </UserInfo>
    </SharedWithUsers>
    <_ip_UnifiedCompliancePolicyUIAction xmlns="http://schemas.microsoft.com/sharepoint/v3" xsi:nil="true"/>
    <lcf76f155ced4ddcb4097134ff3c332f xmlns="dae0a337-b6e0-42e7-970e-374a8d268e41">
      <Terms xmlns="http://schemas.microsoft.com/office/infopath/2007/PartnerControls"/>
    </lcf76f155ced4ddcb4097134ff3c332f>
    <_ip_UnifiedCompliancePolicyProperties xmlns="http://schemas.microsoft.com/sharepoint/v3" xsi:nil="true"/>
    <TaxCatchAll xmlns="102d5f27-5011-4e27-8697-67a7238bfb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077AC856BA8449AD517D42FD3FB48E" ma:contentTypeVersion="16" ma:contentTypeDescription="Create a new document." ma:contentTypeScope="" ma:versionID="c9d62bc2ebddc9bcfcd37ef7fd71d4bb">
  <xsd:schema xmlns:xsd="http://www.w3.org/2001/XMLSchema" xmlns:xs="http://www.w3.org/2001/XMLSchema" xmlns:p="http://schemas.microsoft.com/office/2006/metadata/properties" xmlns:ns1="http://schemas.microsoft.com/sharepoint/v3" xmlns:ns2="dae0a337-b6e0-42e7-970e-374a8d268e41" xmlns:ns3="102d5f27-5011-4e27-8697-67a7238bfb72" targetNamespace="http://schemas.microsoft.com/office/2006/metadata/properties" ma:root="true" ma:fieldsID="9d37071420d2c2fe68fc2a812ca1d078" ns1:_="" ns2:_="" ns3:_="">
    <xsd:import namespace="http://schemas.microsoft.com/sharepoint/v3"/>
    <xsd:import namespace="dae0a337-b6e0-42e7-970e-374a8d268e41"/>
    <xsd:import namespace="102d5f27-5011-4e27-8697-67a7238bfb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a337-b6e0-42e7-970e-374a8d268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5f27-5011-4e27-8697-67a7238bfb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77d8b8-2a9c-40ee-8cca-4cee1afd71bc}" ma:internalName="TaxCatchAll" ma:showField="CatchAllData" ma:web="102d5f27-5011-4e27-8697-67a7238b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microsoft.com/office/2006/documentManagement/types"/>
    <ds:schemaRef ds:uri="102d5f27-5011-4e27-8697-67a7238bfb72"/>
    <ds:schemaRef ds:uri="http://schemas.microsoft.com/sharepoint/v3"/>
    <ds:schemaRef ds:uri="http://purl.org/dc/elements/1.1/"/>
    <ds:schemaRef ds:uri="http://schemas.openxmlformats.org/package/2006/metadata/core-properties"/>
    <ds:schemaRef ds:uri="dae0a337-b6e0-42e7-970e-374a8d268e4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D7DDE020-5E51-452D-A3FE-43FC6F4E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e0a337-b6e0-42e7-970e-374a8d268e41"/>
    <ds:schemaRef ds:uri="102d5f27-5011-4e27-8697-67a7238bf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4403</Words>
  <Characters>24641</Characters>
  <Application>Microsoft Office Word</Application>
  <DocSecurity>0</DocSecurity>
  <Lines>2464</Lines>
  <Paragraphs>1161</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4</cp:revision>
  <cp:lastPrinted>2023-01-16T12:01:00Z</cp:lastPrinted>
  <dcterms:created xsi:type="dcterms:W3CDTF">2024-10-29T13:37:00Z</dcterms:created>
  <dcterms:modified xsi:type="dcterms:W3CDTF">2024-10-29T13:43:00Z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0x0101001E077AC856BA8449AD517D42FD3FB48E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