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FCE85" w14:textId="0CEECA35" w:rsidR="00D734FD" w:rsidRPr="0024638E" w:rsidRDefault="00D734FD" w:rsidP="00D812E4">
      <w:pPr>
        <w:tabs>
          <w:tab w:val="left" w:pos="2970"/>
        </w:tabs>
        <w:spacing w:before="0"/>
        <w:ind w:left="0" w:right="0" w:firstLine="0"/>
        <w:contextualSpacing/>
        <w:jc w:val="left"/>
        <w:rPr>
          <w:rFonts w:ascii="Tahoma" w:hAnsi="Tahoma" w:cs="Tahoma"/>
        </w:rPr>
      </w:pPr>
      <w:r w:rsidRPr="0024638E">
        <w:rPr>
          <w:rFonts w:ascii="Tahoma" w:hAnsi="Tahoma" w:cs="Tahoma"/>
          <w:b/>
          <w:bCs/>
        </w:rPr>
        <w:t>Created by:</w:t>
      </w:r>
      <w:r>
        <w:rPr>
          <w:rFonts w:ascii="Tahoma" w:hAnsi="Tahoma" w:cs="Tahoma"/>
        </w:rPr>
        <w:tab/>
      </w:r>
      <w:r w:rsidR="00501D43">
        <w:rPr>
          <w:rFonts w:ascii="Tahoma" w:hAnsi="Tahoma" w:cs="Tahoma"/>
        </w:rPr>
        <w:t>HE Registry</w:t>
      </w:r>
    </w:p>
    <w:p w14:paraId="5162AA72" w14:textId="094B8A73" w:rsidR="00D734FD" w:rsidRPr="0024638E" w:rsidRDefault="00D734FD" w:rsidP="00D812E4">
      <w:pPr>
        <w:tabs>
          <w:tab w:val="left" w:pos="2970"/>
        </w:tabs>
        <w:spacing w:before="0"/>
        <w:ind w:left="0" w:right="0" w:firstLine="0"/>
        <w:contextualSpacing/>
        <w:jc w:val="left"/>
        <w:rPr>
          <w:rFonts w:ascii="Tahoma" w:hAnsi="Tahoma" w:cs="Tahoma"/>
        </w:rPr>
      </w:pPr>
      <w:r w:rsidRPr="0024638E">
        <w:rPr>
          <w:rFonts w:ascii="Tahoma" w:hAnsi="Tahoma" w:cs="Tahoma"/>
          <w:b/>
          <w:bCs/>
        </w:rPr>
        <w:t>Approved by:</w:t>
      </w:r>
      <w:r w:rsidRPr="0024638E">
        <w:rPr>
          <w:rFonts w:ascii="Tahoma" w:hAnsi="Tahoma" w:cs="Tahoma"/>
          <w:b/>
          <w:bCs/>
        </w:rPr>
        <w:tab/>
      </w:r>
      <w:r w:rsidR="003B7FC2">
        <w:rPr>
          <w:rFonts w:ascii="Tahoma" w:hAnsi="Tahoma" w:cs="Tahoma"/>
        </w:rPr>
        <w:t>Standards Committee</w:t>
      </w:r>
    </w:p>
    <w:p w14:paraId="5131AF61" w14:textId="20B7DF85" w:rsidR="00D734FD" w:rsidRPr="00C11DD4" w:rsidRDefault="00D734FD" w:rsidP="00D812E4">
      <w:pPr>
        <w:tabs>
          <w:tab w:val="left" w:pos="2970"/>
        </w:tabs>
        <w:spacing w:before="0"/>
        <w:ind w:left="0" w:right="0" w:firstLine="0"/>
        <w:contextualSpacing/>
        <w:jc w:val="left"/>
        <w:rPr>
          <w:rFonts w:ascii="Tahoma" w:hAnsi="Tahoma" w:cs="Tahoma"/>
        </w:rPr>
      </w:pPr>
      <w:r w:rsidRPr="0024638E">
        <w:rPr>
          <w:rFonts w:ascii="Tahoma" w:hAnsi="Tahoma" w:cs="Tahoma"/>
          <w:b/>
          <w:bCs/>
        </w:rPr>
        <w:t>Date approved</w:t>
      </w:r>
      <w:r>
        <w:rPr>
          <w:rFonts w:ascii="Tahoma" w:hAnsi="Tahoma" w:cs="Tahoma"/>
          <w:b/>
          <w:bCs/>
        </w:rPr>
        <w:t>:</w:t>
      </w:r>
      <w:r w:rsidRPr="0024638E">
        <w:rPr>
          <w:rFonts w:ascii="Tahoma" w:hAnsi="Tahoma" w:cs="Tahoma"/>
          <w:b/>
          <w:bCs/>
        </w:rPr>
        <w:tab/>
      </w:r>
      <w:r w:rsidR="00395B4E">
        <w:rPr>
          <w:rFonts w:ascii="Tahoma" w:hAnsi="Tahoma" w:cs="Tahoma"/>
        </w:rPr>
        <w:t>November 2025</w:t>
      </w:r>
    </w:p>
    <w:p w14:paraId="4F905D7C" w14:textId="6A5524E9" w:rsidR="001B13B1" w:rsidRPr="00C11DD4" w:rsidRDefault="00D734FD" w:rsidP="001B13B1">
      <w:pPr>
        <w:tabs>
          <w:tab w:val="left" w:pos="2970"/>
        </w:tabs>
        <w:spacing w:before="0" w:line="240" w:lineRule="auto"/>
        <w:ind w:left="0" w:right="0" w:firstLine="0"/>
        <w:contextualSpacing/>
        <w:jc w:val="left"/>
        <w:rPr>
          <w:rFonts w:ascii="Tahoma" w:hAnsi="Tahoma" w:cs="Tahoma"/>
        </w:rPr>
      </w:pPr>
      <w:r w:rsidRPr="0024638E">
        <w:rPr>
          <w:rFonts w:ascii="Tahoma" w:hAnsi="Tahoma" w:cs="Tahoma"/>
          <w:b/>
          <w:bCs/>
        </w:rPr>
        <w:t>Policy review date:</w:t>
      </w:r>
      <w:r w:rsidR="00C11DD4">
        <w:rPr>
          <w:rFonts w:ascii="Tahoma" w:hAnsi="Tahoma" w:cs="Tahoma"/>
          <w:b/>
          <w:bCs/>
        </w:rPr>
        <w:tab/>
      </w:r>
      <w:r w:rsidR="00395B4E">
        <w:rPr>
          <w:rFonts w:ascii="Tahoma" w:hAnsi="Tahoma" w:cs="Tahoma"/>
        </w:rPr>
        <w:t>November 2026</w:t>
      </w:r>
    </w:p>
    <w:p w14:paraId="5D68E5A8" w14:textId="43DB4FC7" w:rsidR="002B139C" w:rsidRPr="0024638E" w:rsidRDefault="006E2F1B" w:rsidP="001B13B1">
      <w:pPr>
        <w:tabs>
          <w:tab w:val="left" w:pos="2970"/>
        </w:tabs>
        <w:spacing w:before="0" w:line="240" w:lineRule="auto"/>
        <w:ind w:left="0" w:right="0" w:firstLine="0"/>
        <w:contextualSpacing/>
        <w:jc w:val="left"/>
        <w:rPr>
          <w:rFonts w:ascii="Tahoma" w:hAnsi="Tahoma" w:cs="Tahoma"/>
        </w:rPr>
      </w:pPr>
      <w:r w:rsidRPr="0024638E">
        <w:rPr>
          <w:rFonts w:ascii="Tahoma" w:hAnsi="Tahoma" w:cs="Tahoma"/>
        </w:rPr>
        <w:tab/>
      </w:r>
    </w:p>
    <w:p w14:paraId="25A0AD59" w14:textId="569B5D97" w:rsidR="00D734FD" w:rsidRPr="0024638E" w:rsidRDefault="00D734FD" w:rsidP="00D734FD">
      <w:pPr>
        <w:tabs>
          <w:tab w:val="left" w:pos="2988"/>
          <w:tab w:val="left" w:pos="3240"/>
        </w:tabs>
        <w:spacing w:before="0"/>
        <w:ind w:left="0" w:right="0" w:firstLine="0"/>
        <w:contextualSpacing/>
        <w:jc w:val="left"/>
        <w:rPr>
          <w:rFonts w:ascii="Tahoma" w:hAnsi="Tahoma" w:cs="Tahoma"/>
          <w:b/>
          <w:bCs/>
        </w:rPr>
      </w:pPr>
      <w:r w:rsidRPr="0024638E">
        <w:rPr>
          <w:rFonts w:ascii="Tahoma" w:hAnsi="Tahoma" w:cs="Tahoma"/>
          <w:b/>
          <w:bCs/>
        </w:rPr>
        <w:t>Document Name:</w:t>
      </w:r>
      <w:r w:rsidRPr="0024638E">
        <w:rPr>
          <w:rFonts w:ascii="Tahoma" w:hAnsi="Tahoma" w:cs="Tahoma"/>
          <w:b/>
          <w:bCs/>
        </w:rPr>
        <w:tab/>
      </w:r>
      <w:r w:rsidR="00820C45">
        <w:rPr>
          <w:rFonts w:ascii="Tahoma" w:hAnsi="Tahoma" w:cs="Tahoma"/>
          <w:b/>
          <w:bCs/>
        </w:rPr>
        <w:t>Hardship Fund and Student Support Policy</w:t>
      </w:r>
    </w:p>
    <w:p w14:paraId="2026E608" w14:textId="067E8797" w:rsidR="00D734FD" w:rsidRPr="0024638E" w:rsidRDefault="00D734FD" w:rsidP="00D734FD">
      <w:pPr>
        <w:tabs>
          <w:tab w:val="left" w:pos="2988"/>
          <w:tab w:val="left" w:pos="3240"/>
        </w:tabs>
        <w:spacing w:before="0"/>
        <w:ind w:left="0" w:right="0" w:firstLine="0"/>
        <w:contextualSpacing/>
        <w:jc w:val="left"/>
        <w:rPr>
          <w:rFonts w:ascii="Tahoma" w:hAnsi="Tahoma" w:cs="Tahoma"/>
        </w:rPr>
      </w:pPr>
      <w:r w:rsidRPr="1447DFEA">
        <w:rPr>
          <w:rFonts w:ascii="Tahoma" w:hAnsi="Tahoma" w:cs="Tahoma"/>
          <w:b/>
          <w:bCs/>
        </w:rPr>
        <w:t>Document Ref:</w:t>
      </w:r>
      <w:r>
        <w:tab/>
      </w:r>
      <w:r w:rsidR="003C21BC" w:rsidRPr="1447DFEA">
        <w:rPr>
          <w:rFonts w:ascii="Tahoma" w:hAnsi="Tahoma" w:cs="Tahoma"/>
        </w:rPr>
        <w:t>HE</w:t>
      </w:r>
      <w:r w:rsidR="00404F7B">
        <w:rPr>
          <w:rFonts w:ascii="Tahoma" w:hAnsi="Tahoma" w:cs="Tahoma"/>
        </w:rPr>
        <w:t>03</w:t>
      </w:r>
    </w:p>
    <w:p w14:paraId="76AA6B63" w14:textId="6A359B44" w:rsidR="00D812E4" w:rsidRPr="00D812E4" w:rsidRDefault="00D812E4" w:rsidP="00D812E4">
      <w:pPr>
        <w:tabs>
          <w:tab w:val="left" w:pos="2988"/>
          <w:tab w:val="left" w:pos="3240"/>
        </w:tabs>
        <w:spacing w:before="0"/>
        <w:ind w:left="0" w:right="0" w:firstLine="0"/>
        <w:contextualSpacing/>
        <w:jc w:val="left"/>
        <w:rPr>
          <w:rFonts w:ascii="Tahoma" w:hAnsi="Tahoma" w:cs="Tahoma"/>
          <w:b/>
          <w:bCs/>
        </w:rPr>
      </w:pPr>
      <w:r w:rsidRPr="00D812E4">
        <w:rPr>
          <w:rFonts w:ascii="Tahoma" w:hAnsi="Tahoma" w:cs="Tahoma"/>
          <w:b/>
          <w:bCs/>
        </w:rPr>
        <w:t>Pre-approval at:</w:t>
      </w:r>
      <w:r w:rsidRPr="00D812E4">
        <w:rPr>
          <w:rFonts w:ascii="Tahoma" w:hAnsi="Tahoma" w:cs="Tahoma"/>
          <w:b/>
          <w:bCs/>
        </w:rPr>
        <w:tab/>
      </w:r>
      <w:r w:rsidRPr="00D812E4">
        <w:rPr>
          <w:rFonts w:ascii="Tahoma" w:hAnsi="Tahoma" w:cs="Tahoma"/>
        </w:rPr>
        <w:t>EMT/SMT/</w:t>
      </w:r>
      <w:r w:rsidR="00501D43">
        <w:rPr>
          <w:rFonts w:ascii="Tahoma" w:hAnsi="Tahoma" w:cs="Tahoma"/>
        </w:rPr>
        <w:t xml:space="preserve">Standards </w:t>
      </w:r>
      <w:r w:rsidRPr="00D812E4">
        <w:rPr>
          <w:rFonts w:ascii="Tahoma" w:hAnsi="Tahoma" w:cs="Tahoma"/>
        </w:rPr>
        <w:t>Committee</w:t>
      </w:r>
    </w:p>
    <w:p w14:paraId="02E6A583" w14:textId="61FDFC67" w:rsidR="00D812E4" w:rsidRPr="00D812E4" w:rsidRDefault="00D812E4" w:rsidP="00D812E4">
      <w:pPr>
        <w:tabs>
          <w:tab w:val="left" w:pos="2988"/>
          <w:tab w:val="left" w:pos="3240"/>
        </w:tabs>
        <w:spacing w:before="0"/>
        <w:ind w:left="0" w:right="0" w:firstLine="0"/>
        <w:contextualSpacing/>
        <w:jc w:val="left"/>
        <w:rPr>
          <w:rFonts w:ascii="Tahoma" w:hAnsi="Tahoma" w:cs="Tahoma"/>
          <w:b/>
          <w:bCs/>
        </w:rPr>
      </w:pPr>
      <w:r w:rsidRPr="00D812E4">
        <w:rPr>
          <w:rFonts w:ascii="Tahoma" w:hAnsi="Tahoma" w:cs="Tahoma"/>
          <w:b/>
          <w:bCs/>
        </w:rPr>
        <w:t>Type of Doc:</w:t>
      </w:r>
      <w:r w:rsidRPr="00D812E4">
        <w:rPr>
          <w:rFonts w:ascii="Tahoma" w:hAnsi="Tahoma" w:cs="Tahoma"/>
          <w:b/>
          <w:bCs/>
        </w:rPr>
        <w:tab/>
      </w:r>
      <w:r w:rsidR="00501D43">
        <w:rPr>
          <w:rFonts w:ascii="Tahoma" w:hAnsi="Tahoma" w:cs="Tahoma"/>
        </w:rPr>
        <w:t>Code of Practice</w:t>
      </w:r>
    </w:p>
    <w:p w14:paraId="66C8C2E0" w14:textId="70AD6EC9" w:rsidR="001B13B1" w:rsidRDefault="00D812E4" w:rsidP="001B13B1">
      <w:pPr>
        <w:tabs>
          <w:tab w:val="left" w:pos="2988"/>
          <w:tab w:val="left" w:pos="3240"/>
        </w:tabs>
        <w:spacing w:before="0" w:line="240" w:lineRule="auto"/>
        <w:ind w:left="0" w:right="0" w:firstLine="0"/>
        <w:contextualSpacing/>
        <w:jc w:val="left"/>
        <w:rPr>
          <w:rFonts w:ascii="Tahoma" w:hAnsi="Tahoma" w:cs="Tahoma"/>
        </w:rPr>
      </w:pPr>
      <w:r w:rsidRPr="00D812E4">
        <w:rPr>
          <w:rFonts w:ascii="Tahoma" w:hAnsi="Tahoma" w:cs="Tahoma"/>
          <w:b/>
          <w:bCs/>
        </w:rPr>
        <w:t>Publishing Requirement</w:t>
      </w:r>
      <w:r w:rsidRPr="00D812E4">
        <w:rPr>
          <w:rFonts w:ascii="Tahoma" w:hAnsi="Tahoma" w:cs="Tahoma"/>
          <w:b/>
          <w:bCs/>
        </w:rPr>
        <w:tab/>
      </w:r>
      <w:r w:rsidRPr="00D812E4">
        <w:rPr>
          <w:rFonts w:ascii="Tahoma" w:hAnsi="Tahoma" w:cs="Tahoma"/>
        </w:rPr>
        <w:t>Staff Sharepoint</w:t>
      </w:r>
      <w:bookmarkStart w:id="0" w:name="_Hlk173847347"/>
    </w:p>
    <w:p w14:paraId="0C79A96F" w14:textId="77777777" w:rsidR="001B13B1" w:rsidRDefault="001B13B1" w:rsidP="001B13B1">
      <w:pPr>
        <w:tabs>
          <w:tab w:val="left" w:pos="2988"/>
          <w:tab w:val="left" w:pos="3240"/>
        </w:tabs>
        <w:spacing w:before="0" w:line="240" w:lineRule="auto"/>
        <w:ind w:left="0" w:right="0" w:firstLine="0"/>
        <w:contextualSpacing/>
        <w:jc w:val="left"/>
        <w:rPr>
          <w:rFonts w:ascii="Tahoma" w:hAnsi="Tahoma" w:cs="Tahoma"/>
        </w:rPr>
      </w:pPr>
    </w:p>
    <w:p w14:paraId="53219CC4" w14:textId="3EE90535" w:rsidR="00BD0E3B" w:rsidRDefault="00BD0E3B" w:rsidP="001966A1">
      <w:pPr>
        <w:tabs>
          <w:tab w:val="left" w:pos="2988"/>
          <w:tab w:val="left" w:pos="3240"/>
        </w:tabs>
        <w:spacing w:before="0" w:line="240" w:lineRule="auto"/>
        <w:ind w:left="0" w:right="0" w:firstLine="0"/>
        <w:contextualSpacing/>
        <w:jc w:val="left"/>
        <w:rPr>
          <w:rFonts w:ascii="Tahoma" w:hAnsi="Tahoma" w:cs="Tahoma"/>
          <w:b/>
          <w:bCs/>
        </w:rPr>
      </w:pPr>
      <w:r>
        <w:rPr>
          <w:rFonts w:ascii="Tahoma" w:hAnsi="Tahoma" w:cs="Tahoma"/>
          <w:b/>
          <w:bCs/>
        </w:rPr>
        <w:t>Version Control</w:t>
      </w:r>
    </w:p>
    <w:p w14:paraId="6E3568C1" w14:textId="77777777" w:rsidR="0023296E" w:rsidRDefault="0023296E" w:rsidP="001966A1">
      <w:pPr>
        <w:tabs>
          <w:tab w:val="left" w:pos="2988"/>
          <w:tab w:val="left" w:pos="3240"/>
        </w:tabs>
        <w:spacing w:before="0" w:line="240" w:lineRule="auto"/>
        <w:ind w:left="0" w:right="0" w:firstLine="0"/>
        <w:contextualSpacing/>
        <w:jc w:val="left"/>
        <w:rPr>
          <w:rFonts w:ascii="Tahoma" w:hAnsi="Tahoma" w:cs="Tahoma"/>
          <w:b/>
          <w:bCs/>
        </w:rPr>
      </w:pPr>
    </w:p>
    <w:tbl>
      <w:tblPr>
        <w:tblStyle w:val="TableGrid"/>
        <w:tblW w:w="9589" w:type="dxa"/>
        <w:jc w:val="center"/>
        <w:tblLook w:val="04A0" w:firstRow="1" w:lastRow="0" w:firstColumn="1" w:lastColumn="0" w:noHBand="0" w:noVBand="1"/>
      </w:tblPr>
      <w:tblGrid>
        <w:gridCol w:w="1165"/>
        <w:gridCol w:w="3744"/>
        <w:gridCol w:w="1206"/>
        <w:gridCol w:w="3474"/>
      </w:tblGrid>
      <w:tr w:rsidR="00BD0E3B" w14:paraId="3CC65C8F" w14:textId="77777777" w:rsidTr="001B13B1">
        <w:trPr>
          <w:jc w:val="center"/>
        </w:trPr>
        <w:tc>
          <w:tcPr>
            <w:tcW w:w="1165" w:type="dxa"/>
          </w:tcPr>
          <w:p w14:paraId="38EEB736" w14:textId="77777777" w:rsidR="00BD0E3B" w:rsidRPr="00E379F4" w:rsidRDefault="00BD0E3B" w:rsidP="001966A1">
            <w:pPr>
              <w:spacing w:before="0"/>
              <w:ind w:left="0" w:right="0" w:firstLine="0"/>
              <w:contextualSpacing/>
              <w:jc w:val="left"/>
              <w:rPr>
                <w:rFonts w:ascii="Tahoma" w:hAnsi="Tahoma" w:cs="Tahoma"/>
                <w:b/>
                <w:bCs/>
              </w:rPr>
            </w:pPr>
            <w:r w:rsidRPr="00E379F4">
              <w:rPr>
                <w:rFonts w:ascii="Tahoma" w:hAnsi="Tahoma" w:cs="Tahoma"/>
                <w:b/>
                <w:bCs/>
              </w:rPr>
              <w:t>Version</w:t>
            </w:r>
          </w:p>
        </w:tc>
        <w:tc>
          <w:tcPr>
            <w:tcW w:w="3744" w:type="dxa"/>
          </w:tcPr>
          <w:p w14:paraId="38F758C0" w14:textId="77777777" w:rsidR="00BD0E3B" w:rsidRPr="00E379F4" w:rsidRDefault="00BD0E3B" w:rsidP="001966A1">
            <w:pPr>
              <w:spacing w:before="0"/>
              <w:ind w:left="0" w:right="0" w:firstLine="0"/>
              <w:contextualSpacing/>
              <w:jc w:val="left"/>
              <w:rPr>
                <w:rFonts w:ascii="Tahoma" w:hAnsi="Tahoma" w:cs="Tahoma"/>
                <w:b/>
                <w:bCs/>
              </w:rPr>
            </w:pPr>
            <w:r w:rsidRPr="00E379F4">
              <w:rPr>
                <w:rFonts w:ascii="Tahoma" w:hAnsi="Tahoma" w:cs="Tahoma"/>
                <w:b/>
                <w:bCs/>
              </w:rPr>
              <w:t>Author</w:t>
            </w:r>
          </w:p>
        </w:tc>
        <w:tc>
          <w:tcPr>
            <w:tcW w:w="1206" w:type="dxa"/>
          </w:tcPr>
          <w:p w14:paraId="04149831" w14:textId="77777777" w:rsidR="00BD0E3B" w:rsidRPr="00E379F4" w:rsidRDefault="00BD0E3B" w:rsidP="001966A1">
            <w:pPr>
              <w:spacing w:before="0"/>
              <w:ind w:left="0" w:right="0" w:firstLine="0"/>
              <w:contextualSpacing/>
              <w:jc w:val="left"/>
              <w:rPr>
                <w:rFonts w:ascii="Tahoma" w:hAnsi="Tahoma" w:cs="Tahoma"/>
                <w:b/>
                <w:bCs/>
              </w:rPr>
            </w:pPr>
            <w:r w:rsidRPr="00E379F4">
              <w:rPr>
                <w:rFonts w:ascii="Tahoma" w:hAnsi="Tahoma" w:cs="Tahoma"/>
                <w:b/>
                <w:bCs/>
              </w:rPr>
              <w:t>Date</w:t>
            </w:r>
          </w:p>
        </w:tc>
        <w:tc>
          <w:tcPr>
            <w:tcW w:w="3474" w:type="dxa"/>
          </w:tcPr>
          <w:p w14:paraId="251F4C7F" w14:textId="77777777" w:rsidR="00BD0E3B" w:rsidRPr="00E379F4" w:rsidRDefault="00BD0E3B" w:rsidP="001966A1">
            <w:pPr>
              <w:spacing w:before="0"/>
              <w:ind w:left="0" w:right="0" w:firstLine="0"/>
              <w:contextualSpacing/>
              <w:jc w:val="left"/>
              <w:rPr>
                <w:rFonts w:ascii="Tahoma" w:hAnsi="Tahoma" w:cs="Tahoma"/>
                <w:b/>
                <w:bCs/>
              </w:rPr>
            </w:pPr>
            <w:r w:rsidRPr="00E379F4">
              <w:rPr>
                <w:rFonts w:ascii="Tahoma" w:hAnsi="Tahoma" w:cs="Tahoma"/>
                <w:b/>
                <w:bCs/>
              </w:rPr>
              <w:t>Changes</w:t>
            </w:r>
          </w:p>
        </w:tc>
      </w:tr>
      <w:tr w:rsidR="00BD0E3B" w14:paraId="5D659D2D" w14:textId="77777777" w:rsidTr="001B13B1">
        <w:trPr>
          <w:jc w:val="center"/>
        </w:trPr>
        <w:tc>
          <w:tcPr>
            <w:tcW w:w="1165" w:type="dxa"/>
          </w:tcPr>
          <w:p w14:paraId="20D9AB2C" w14:textId="77777777" w:rsidR="00BD0E3B" w:rsidRDefault="00BD0E3B" w:rsidP="001966A1">
            <w:pPr>
              <w:spacing w:before="0"/>
              <w:ind w:left="0" w:right="0" w:firstLine="0"/>
              <w:contextualSpacing/>
              <w:jc w:val="left"/>
              <w:rPr>
                <w:rFonts w:ascii="Tahoma" w:hAnsi="Tahoma" w:cs="Tahoma"/>
              </w:rPr>
            </w:pPr>
            <w:r>
              <w:rPr>
                <w:rFonts w:ascii="Tahoma" w:hAnsi="Tahoma" w:cs="Tahoma"/>
              </w:rPr>
              <w:t>1</w:t>
            </w:r>
          </w:p>
        </w:tc>
        <w:tc>
          <w:tcPr>
            <w:tcW w:w="3744" w:type="dxa"/>
          </w:tcPr>
          <w:p w14:paraId="59888CED" w14:textId="419EAE0A" w:rsidR="00BD0E3B" w:rsidRDefault="00BD0E3B" w:rsidP="001966A1">
            <w:pPr>
              <w:spacing w:before="0"/>
              <w:ind w:left="0" w:right="0" w:firstLine="0"/>
              <w:contextualSpacing/>
              <w:jc w:val="left"/>
              <w:rPr>
                <w:rFonts w:ascii="Tahoma" w:hAnsi="Tahoma" w:cs="Tahoma"/>
              </w:rPr>
            </w:pPr>
            <w:r w:rsidRPr="00BD0E3B">
              <w:rPr>
                <w:rFonts w:ascii="Tahoma" w:hAnsi="Tahoma" w:cs="Tahoma"/>
              </w:rPr>
              <w:t>Head of HE Development &amp; Registry</w:t>
            </w:r>
          </w:p>
        </w:tc>
        <w:tc>
          <w:tcPr>
            <w:tcW w:w="1206" w:type="dxa"/>
          </w:tcPr>
          <w:p w14:paraId="6693470C" w14:textId="14A205DC" w:rsidR="00BD0E3B" w:rsidRDefault="0023296E" w:rsidP="001966A1">
            <w:pPr>
              <w:spacing w:before="0"/>
              <w:ind w:left="0" w:right="0" w:firstLine="0"/>
              <w:contextualSpacing/>
              <w:jc w:val="left"/>
              <w:rPr>
                <w:rFonts w:ascii="Tahoma" w:hAnsi="Tahoma" w:cs="Tahoma"/>
              </w:rPr>
            </w:pPr>
            <w:r>
              <w:rPr>
                <w:rFonts w:ascii="Tahoma" w:hAnsi="Tahoma" w:cs="Tahoma"/>
              </w:rPr>
              <w:t>Nov 2022</w:t>
            </w:r>
          </w:p>
        </w:tc>
        <w:tc>
          <w:tcPr>
            <w:tcW w:w="3474" w:type="dxa"/>
          </w:tcPr>
          <w:p w14:paraId="3B19873A" w14:textId="17FEA729" w:rsidR="00BD0E3B" w:rsidRDefault="00BD0E3B" w:rsidP="001966A1">
            <w:pPr>
              <w:spacing w:before="0"/>
              <w:ind w:left="0" w:right="0" w:firstLine="0"/>
              <w:contextualSpacing/>
              <w:jc w:val="left"/>
              <w:rPr>
                <w:rFonts w:ascii="Tahoma" w:hAnsi="Tahoma" w:cs="Tahoma"/>
              </w:rPr>
            </w:pPr>
            <w:r>
              <w:rPr>
                <w:rFonts w:ascii="Tahoma" w:hAnsi="Tahoma" w:cs="Tahoma"/>
              </w:rPr>
              <w:t>New</w:t>
            </w:r>
          </w:p>
        </w:tc>
      </w:tr>
      <w:tr w:rsidR="00BD0E3B" w14:paraId="422C2991" w14:textId="77777777" w:rsidTr="001B13B1">
        <w:trPr>
          <w:jc w:val="center"/>
        </w:trPr>
        <w:tc>
          <w:tcPr>
            <w:tcW w:w="1165" w:type="dxa"/>
          </w:tcPr>
          <w:p w14:paraId="78F0DDAE" w14:textId="559E9DED" w:rsidR="00BD0E3B" w:rsidRDefault="00BD0E3B" w:rsidP="001966A1">
            <w:pPr>
              <w:spacing w:before="0"/>
              <w:ind w:left="0" w:right="0" w:firstLine="0"/>
              <w:contextualSpacing/>
              <w:jc w:val="left"/>
              <w:rPr>
                <w:rFonts w:ascii="Tahoma" w:hAnsi="Tahoma" w:cs="Tahoma"/>
              </w:rPr>
            </w:pPr>
            <w:r>
              <w:rPr>
                <w:rFonts w:ascii="Tahoma" w:hAnsi="Tahoma" w:cs="Tahoma"/>
              </w:rPr>
              <w:t>1.1</w:t>
            </w:r>
          </w:p>
        </w:tc>
        <w:tc>
          <w:tcPr>
            <w:tcW w:w="3744" w:type="dxa"/>
          </w:tcPr>
          <w:p w14:paraId="4B7560D5" w14:textId="240228D2" w:rsidR="00BD0E3B" w:rsidRPr="00BD0E3B" w:rsidRDefault="00BD0E3B" w:rsidP="001966A1">
            <w:pPr>
              <w:spacing w:before="0"/>
              <w:ind w:left="0" w:right="0" w:firstLine="0"/>
              <w:contextualSpacing/>
              <w:jc w:val="left"/>
              <w:rPr>
                <w:rFonts w:ascii="Tahoma" w:hAnsi="Tahoma" w:cs="Tahoma"/>
              </w:rPr>
            </w:pPr>
            <w:r w:rsidRPr="00BD0E3B">
              <w:rPr>
                <w:rFonts w:ascii="Tahoma" w:hAnsi="Tahoma" w:cs="Tahoma"/>
              </w:rPr>
              <w:t>Head of HE Development &amp; Registry</w:t>
            </w:r>
          </w:p>
        </w:tc>
        <w:tc>
          <w:tcPr>
            <w:tcW w:w="1206" w:type="dxa"/>
          </w:tcPr>
          <w:p w14:paraId="7110B8B2" w14:textId="3C0B4F77" w:rsidR="00BD0E3B" w:rsidRDefault="0023296E" w:rsidP="001966A1">
            <w:pPr>
              <w:spacing w:before="0"/>
              <w:ind w:left="0" w:right="0" w:firstLine="0"/>
              <w:contextualSpacing/>
              <w:jc w:val="left"/>
              <w:rPr>
                <w:rFonts w:ascii="Tahoma" w:hAnsi="Tahoma" w:cs="Tahoma"/>
              </w:rPr>
            </w:pPr>
            <w:r>
              <w:rPr>
                <w:rFonts w:ascii="Tahoma" w:hAnsi="Tahoma" w:cs="Tahoma"/>
              </w:rPr>
              <w:t>Sept 2024</w:t>
            </w:r>
          </w:p>
        </w:tc>
        <w:tc>
          <w:tcPr>
            <w:tcW w:w="3474" w:type="dxa"/>
          </w:tcPr>
          <w:p w14:paraId="298A8564" w14:textId="348999B8" w:rsidR="00BD0E3B" w:rsidRDefault="00F65217" w:rsidP="001966A1">
            <w:pPr>
              <w:spacing w:before="0"/>
              <w:ind w:left="0" w:right="0" w:firstLine="0"/>
              <w:contextualSpacing/>
              <w:jc w:val="left"/>
              <w:rPr>
                <w:rFonts w:ascii="Tahoma" w:hAnsi="Tahoma" w:cs="Tahoma"/>
              </w:rPr>
            </w:pPr>
            <w:r>
              <w:rPr>
                <w:rFonts w:ascii="Tahoma" w:hAnsi="Tahoma" w:cs="Tahoma"/>
              </w:rPr>
              <w:t>Updated NASMA reference</w:t>
            </w:r>
          </w:p>
        </w:tc>
      </w:tr>
      <w:tr w:rsidR="00A50DC6" w14:paraId="309E9D0E" w14:textId="77777777" w:rsidTr="001B13B1">
        <w:trPr>
          <w:jc w:val="center"/>
        </w:trPr>
        <w:tc>
          <w:tcPr>
            <w:tcW w:w="1165" w:type="dxa"/>
          </w:tcPr>
          <w:p w14:paraId="59981D0E" w14:textId="0F3874B2" w:rsidR="00A50DC6" w:rsidRDefault="00A50DC6" w:rsidP="001966A1">
            <w:pPr>
              <w:spacing w:before="0"/>
              <w:ind w:left="0" w:right="0" w:firstLine="0"/>
              <w:contextualSpacing/>
              <w:jc w:val="left"/>
              <w:rPr>
                <w:rFonts w:ascii="Tahoma" w:hAnsi="Tahoma" w:cs="Tahoma"/>
              </w:rPr>
            </w:pPr>
            <w:r>
              <w:rPr>
                <w:rFonts w:ascii="Tahoma" w:hAnsi="Tahoma" w:cs="Tahoma"/>
              </w:rPr>
              <w:t>1.2</w:t>
            </w:r>
          </w:p>
        </w:tc>
        <w:tc>
          <w:tcPr>
            <w:tcW w:w="3744" w:type="dxa"/>
          </w:tcPr>
          <w:p w14:paraId="3B9F752F" w14:textId="5BA9ED6C" w:rsidR="00A50DC6" w:rsidRPr="00BD0E3B" w:rsidRDefault="00A50DC6" w:rsidP="001966A1">
            <w:pPr>
              <w:spacing w:before="0"/>
              <w:ind w:left="0" w:right="0" w:firstLine="0"/>
              <w:contextualSpacing/>
              <w:jc w:val="left"/>
              <w:rPr>
                <w:rFonts w:ascii="Tahoma" w:hAnsi="Tahoma" w:cs="Tahoma"/>
              </w:rPr>
            </w:pPr>
            <w:r>
              <w:rPr>
                <w:rFonts w:ascii="Tahoma" w:hAnsi="Tahoma" w:cs="Tahoma"/>
              </w:rPr>
              <w:t>Head of HE</w:t>
            </w:r>
          </w:p>
        </w:tc>
        <w:tc>
          <w:tcPr>
            <w:tcW w:w="1206" w:type="dxa"/>
          </w:tcPr>
          <w:p w14:paraId="6F5F5068" w14:textId="783D06F0" w:rsidR="00A50DC6" w:rsidRDefault="00A50DC6" w:rsidP="001966A1">
            <w:pPr>
              <w:spacing w:before="0"/>
              <w:ind w:left="0" w:right="0" w:firstLine="0"/>
              <w:contextualSpacing/>
              <w:jc w:val="left"/>
              <w:rPr>
                <w:rFonts w:ascii="Tahoma" w:hAnsi="Tahoma" w:cs="Tahoma"/>
              </w:rPr>
            </w:pPr>
            <w:r>
              <w:rPr>
                <w:rFonts w:ascii="Tahoma" w:hAnsi="Tahoma" w:cs="Tahoma"/>
              </w:rPr>
              <w:t>Sept 2025</w:t>
            </w:r>
          </w:p>
        </w:tc>
        <w:tc>
          <w:tcPr>
            <w:tcW w:w="3474" w:type="dxa"/>
          </w:tcPr>
          <w:p w14:paraId="369C98CC" w14:textId="5C746FEA" w:rsidR="00A50DC6" w:rsidRDefault="00A50DC6" w:rsidP="001966A1">
            <w:pPr>
              <w:spacing w:before="0"/>
              <w:ind w:left="0" w:right="0" w:firstLine="0"/>
              <w:contextualSpacing/>
              <w:jc w:val="left"/>
              <w:rPr>
                <w:rFonts w:ascii="Tahoma" w:hAnsi="Tahoma" w:cs="Tahoma"/>
              </w:rPr>
            </w:pPr>
            <w:r>
              <w:rPr>
                <w:rFonts w:ascii="Tahoma" w:hAnsi="Tahoma" w:cs="Tahoma"/>
              </w:rPr>
              <w:t>No change to policy</w:t>
            </w:r>
          </w:p>
        </w:tc>
      </w:tr>
    </w:tbl>
    <w:p w14:paraId="2963F6E6" w14:textId="77777777" w:rsidR="0023296E" w:rsidRDefault="0023296E" w:rsidP="001966A1">
      <w:pPr>
        <w:pStyle w:val="Heading1"/>
      </w:pPr>
      <w:bookmarkStart w:id="1" w:name="_Toc176260751"/>
      <w:bookmarkEnd w:id="0"/>
    </w:p>
    <w:bookmarkEnd w:id="1"/>
    <w:p w14:paraId="4EAA471C" w14:textId="16637D15" w:rsidR="001B13B1" w:rsidRPr="0023296E" w:rsidRDefault="0023296E" w:rsidP="0023296E">
      <w:pPr>
        <w:pStyle w:val="Heading1"/>
        <w:numPr>
          <w:ilvl w:val="0"/>
          <w:numId w:val="37"/>
        </w:numPr>
        <w:ind w:left="576" w:hanging="576"/>
      </w:pPr>
      <w:r>
        <w:t>Rationale</w:t>
      </w:r>
    </w:p>
    <w:p w14:paraId="4DAEBB90" w14:textId="77777777" w:rsidR="0023296E" w:rsidRPr="0023296E" w:rsidRDefault="001B13B1" w:rsidP="00EC6B19">
      <w:pPr>
        <w:pStyle w:val="Heading2"/>
        <w:jc w:val="left"/>
        <w:rPr>
          <w:b w:val="0"/>
          <w:bCs/>
        </w:rPr>
      </w:pPr>
      <w:bookmarkStart w:id="2" w:name="_Toc176260752"/>
      <w:r w:rsidRPr="0023296E">
        <w:rPr>
          <w:b w:val="0"/>
          <w:bCs/>
        </w:rPr>
        <w:t xml:space="preserve">1.1 </w:t>
      </w:r>
      <w:r w:rsidR="0017506A" w:rsidRPr="0023296E">
        <w:rPr>
          <w:b w:val="0"/>
          <w:bCs/>
        </w:rPr>
        <w:tab/>
      </w:r>
      <w:bookmarkEnd w:id="2"/>
      <w:r w:rsidR="0023296E" w:rsidRPr="0023296E">
        <w:rPr>
          <w:b w:val="0"/>
          <w:bCs/>
        </w:rPr>
        <w:t>To relieve financial hardship that might impact on a student's participation in Higher Education, especially in preventing them from leaving their course because of financial reasons.</w:t>
      </w:r>
    </w:p>
    <w:p w14:paraId="435E67F1" w14:textId="77777777" w:rsidR="0023296E" w:rsidRPr="0023296E" w:rsidRDefault="0023296E" w:rsidP="00EC6B19">
      <w:pPr>
        <w:pStyle w:val="Heading2"/>
        <w:jc w:val="left"/>
        <w:rPr>
          <w:b w:val="0"/>
          <w:bCs/>
        </w:rPr>
      </w:pPr>
    </w:p>
    <w:p w14:paraId="17C66038" w14:textId="4035E0D2" w:rsidR="0023296E" w:rsidRPr="0023296E" w:rsidRDefault="0023296E" w:rsidP="00EC6B19">
      <w:pPr>
        <w:pStyle w:val="Heading1"/>
        <w:numPr>
          <w:ilvl w:val="0"/>
          <w:numId w:val="37"/>
        </w:numPr>
        <w:ind w:left="576" w:hanging="576"/>
      </w:pPr>
      <w:r w:rsidRPr="0023296E">
        <w:t>Aim / Purpose and Scope</w:t>
      </w:r>
    </w:p>
    <w:p w14:paraId="30660BC0" w14:textId="104B6472" w:rsidR="0023296E" w:rsidRPr="0023296E" w:rsidRDefault="00A73026" w:rsidP="00EC6B19">
      <w:pPr>
        <w:pStyle w:val="Heading2"/>
        <w:jc w:val="left"/>
        <w:rPr>
          <w:b w:val="0"/>
          <w:bCs/>
        </w:rPr>
      </w:pPr>
      <w:r>
        <w:rPr>
          <w:b w:val="0"/>
          <w:bCs/>
        </w:rPr>
        <w:t>2.1</w:t>
      </w:r>
      <w:r>
        <w:rPr>
          <w:b w:val="0"/>
          <w:bCs/>
        </w:rPr>
        <w:tab/>
      </w:r>
      <w:r w:rsidR="0023296E" w:rsidRPr="0023296E">
        <w:rPr>
          <w:b w:val="0"/>
          <w:bCs/>
        </w:rPr>
        <w:t>The primary purpose of this policy is to identify the financial support that can be awarded to eligible students enrolled on to a higher education course.</w:t>
      </w:r>
    </w:p>
    <w:p w14:paraId="55DDA28F" w14:textId="77777777" w:rsidR="0023296E" w:rsidRPr="0023296E" w:rsidRDefault="0023296E" w:rsidP="00EC6B19">
      <w:pPr>
        <w:pStyle w:val="Heading2"/>
        <w:jc w:val="left"/>
        <w:rPr>
          <w:b w:val="0"/>
          <w:bCs/>
        </w:rPr>
      </w:pPr>
    </w:p>
    <w:p w14:paraId="32B231AD" w14:textId="0D43544E" w:rsidR="0023296E" w:rsidRPr="0023296E" w:rsidRDefault="00A73026" w:rsidP="00EC6B19">
      <w:pPr>
        <w:pStyle w:val="Heading2"/>
        <w:jc w:val="left"/>
        <w:rPr>
          <w:b w:val="0"/>
          <w:bCs/>
        </w:rPr>
      </w:pPr>
      <w:r>
        <w:rPr>
          <w:b w:val="0"/>
          <w:bCs/>
        </w:rPr>
        <w:tab/>
      </w:r>
      <w:r w:rsidR="0023296E" w:rsidRPr="0023296E">
        <w:rPr>
          <w:b w:val="0"/>
          <w:bCs/>
        </w:rPr>
        <w:t>Hull College uses a common assessment process, based upon guidance provided by The National Association of Student Money Advisers (NASMA) 202</w:t>
      </w:r>
      <w:r w:rsidR="00F65217">
        <w:rPr>
          <w:b w:val="0"/>
          <w:bCs/>
        </w:rPr>
        <w:t>3</w:t>
      </w:r>
      <w:r w:rsidR="0023296E" w:rsidRPr="0023296E">
        <w:rPr>
          <w:b w:val="0"/>
          <w:bCs/>
        </w:rPr>
        <w:t>/2</w:t>
      </w:r>
      <w:r w:rsidR="00F65217">
        <w:rPr>
          <w:b w:val="0"/>
          <w:bCs/>
        </w:rPr>
        <w:t>4</w:t>
      </w:r>
      <w:r w:rsidR="00F65217">
        <w:rPr>
          <w:rStyle w:val="FootnoteReference"/>
          <w:b w:val="0"/>
          <w:bCs/>
        </w:rPr>
        <w:footnoteReference w:id="2"/>
      </w:r>
      <w:r w:rsidR="0023296E" w:rsidRPr="0023296E">
        <w:rPr>
          <w:b w:val="0"/>
          <w:bCs/>
        </w:rPr>
        <w:t xml:space="preserve"> but will take a flexible approach and exercise discretion where appropriate. The primary purpose of the fund is to relieve financial hardship that might impact on a student's participation in higher education, including:</w:t>
      </w:r>
    </w:p>
    <w:p w14:paraId="792878A2" w14:textId="704192F6" w:rsidR="0023296E" w:rsidRPr="0023296E" w:rsidRDefault="0023296E" w:rsidP="00EC6B19">
      <w:pPr>
        <w:pStyle w:val="Heading2"/>
        <w:ind w:left="936" w:hanging="360"/>
        <w:jc w:val="left"/>
        <w:rPr>
          <w:b w:val="0"/>
          <w:bCs/>
        </w:rPr>
      </w:pPr>
      <w:r w:rsidRPr="0023296E">
        <w:rPr>
          <w:b w:val="0"/>
          <w:bCs/>
        </w:rPr>
        <w:t xml:space="preserve">• </w:t>
      </w:r>
      <w:r w:rsidR="00A73026">
        <w:rPr>
          <w:b w:val="0"/>
          <w:bCs/>
        </w:rPr>
        <w:tab/>
      </w:r>
      <w:r w:rsidRPr="0023296E">
        <w:rPr>
          <w:b w:val="0"/>
          <w:bCs/>
        </w:rPr>
        <w:t xml:space="preserve">Assisting those who need extra financial help to meet </w:t>
      </w:r>
      <w:proofErr w:type="gramStart"/>
      <w:r w:rsidRPr="0023296E">
        <w:rPr>
          <w:b w:val="0"/>
          <w:bCs/>
        </w:rPr>
        <w:t>particular costs</w:t>
      </w:r>
      <w:proofErr w:type="gramEnd"/>
      <w:r w:rsidRPr="0023296E">
        <w:rPr>
          <w:b w:val="0"/>
          <w:bCs/>
        </w:rPr>
        <w:t xml:space="preserve"> which are not already being met from statutory (or other) sources of </w:t>
      </w:r>
      <w:proofErr w:type="gramStart"/>
      <w:r w:rsidRPr="0023296E">
        <w:rPr>
          <w:b w:val="0"/>
          <w:bCs/>
        </w:rPr>
        <w:t>funding;</w:t>
      </w:r>
      <w:proofErr w:type="gramEnd"/>
    </w:p>
    <w:p w14:paraId="20A8E74C" w14:textId="1EAFE28D" w:rsidR="0023296E" w:rsidRPr="0023296E" w:rsidRDefault="0023296E" w:rsidP="00EC6B19">
      <w:pPr>
        <w:pStyle w:val="Heading2"/>
        <w:ind w:left="936" w:hanging="360"/>
        <w:jc w:val="left"/>
        <w:rPr>
          <w:b w:val="0"/>
          <w:bCs/>
        </w:rPr>
      </w:pPr>
      <w:r w:rsidRPr="0023296E">
        <w:rPr>
          <w:b w:val="0"/>
          <w:bCs/>
        </w:rPr>
        <w:t xml:space="preserve">• </w:t>
      </w:r>
      <w:r w:rsidR="00A73026">
        <w:rPr>
          <w:b w:val="0"/>
          <w:bCs/>
        </w:rPr>
        <w:tab/>
      </w:r>
      <w:r w:rsidRPr="0023296E">
        <w:rPr>
          <w:b w:val="0"/>
          <w:bCs/>
        </w:rPr>
        <w:t xml:space="preserve">Meeting specific course and living costs, other than tuition fee costs, which are not already met from other </w:t>
      </w:r>
      <w:proofErr w:type="gramStart"/>
      <w:r w:rsidRPr="0023296E">
        <w:rPr>
          <w:b w:val="0"/>
          <w:bCs/>
        </w:rPr>
        <w:t>sources;</w:t>
      </w:r>
      <w:proofErr w:type="gramEnd"/>
    </w:p>
    <w:p w14:paraId="0ABE1F9C" w14:textId="2343BD2C" w:rsidR="0023296E" w:rsidRPr="0023296E" w:rsidRDefault="0023296E" w:rsidP="00EC6B19">
      <w:pPr>
        <w:pStyle w:val="Heading2"/>
        <w:ind w:left="936" w:hanging="360"/>
        <w:jc w:val="left"/>
        <w:rPr>
          <w:b w:val="0"/>
          <w:bCs/>
        </w:rPr>
      </w:pPr>
      <w:r w:rsidRPr="0023296E">
        <w:rPr>
          <w:b w:val="0"/>
          <w:bCs/>
        </w:rPr>
        <w:t xml:space="preserve">• </w:t>
      </w:r>
      <w:r w:rsidR="00A73026">
        <w:rPr>
          <w:b w:val="0"/>
          <w:bCs/>
        </w:rPr>
        <w:tab/>
      </w:r>
      <w:r w:rsidRPr="0023296E">
        <w:rPr>
          <w:b w:val="0"/>
          <w:bCs/>
        </w:rPr>
        <w:t xml:space="preserve">Providing emergency payments for unexpected </w:t>
      </w:r>
      <w:proofErr w:type="gramStart"/>
      <w:r w:rsidRPr="0023296E">
        <w:rPr>
          <w:b w:val="0"/>
          <w:bCs/>
        </w:rPr>
        <w:t>cris</w:t>
      </w:r>
      <w:r w:rsidR="00A73026">
        <w:rPr>
          <w:b w:val="0"/>
          <w:bCs/>
        </w:rPr>
        <w:t>i</w:t>
      </w:r>
      <w:r w:rsidRPr="0023296E">
        <w:rPr>
          <w:b w:val="0"/>
          <w:bCs/>
        </w:rPr>
        <w:t>s;</w:t>
      </w:r>
      <w:proofErr w:type="gramEnd"/>
    </w:p>
    <w:p w14:paraId="3ACF64B6" w14:textId="0F6871D6" w:rsidR="0023296E" w:rsidRPr="0023296E" w:rsidRDefault="0023296E" w:rsidP="00EC6B19">
      <w:pPr>
        <w:pStyle w:val="Heading2"/>
        <w:ind w:left="936" w:hanging="360"/>
        <w:jc w:val="left"/>
        <w:rPr>
          <w:b w:val="0"/>
          <w:bCs/>
        </w:rPr>
      </w:pPr>
      <w:r w:rsidRPr="0023296E">
        <w:rPr>
          <w:b w:val="0"/>
          <w:bCs/>
        </w:rPr>
        <w:t xml:space="preserve">• </w:t>
      </w:r>
      <w:r w:rsidR="00A73026">
        <w:rPr>
          <w:b w:val="0"/>
          <w:bCs/>
        </w:rPr>
        <w:tab/>
      </w:r>
      <w:r w:rsidRPr="0023296E">
        <w:rPr>
          <w:b w:val="0"/>
          <w:bCs/>
        </w:rPr>
        <w:t>Intervening in cases where a student may be considering leaving higher education because of financial problems.</w:t>
      </w:r>
    </w:p>
    <w:p w14:paraId="41576712" w14:textId="4D34B35E" w:rsidR="0023296E" w:rsidRPr="0023296E" w:rsidRDefault="00A73026" w:rsidP="00EC6B19">
      <w:pPr>
        <w:pStyle w:val="Heading2"/>
        <w:jc w:val="left"/>
        <w:rPr>
          <w:b w:val="0"/>
          <w:bCs/>
        </w:rPr>
      </w:pPr>
      <w:r>
        <w:rPr>
          <w:b w:val="0"/>
          <w:bCs/>
        </w:rPr>
        <w:br/>
      </w:r>
      <w:r w:rsidR="0023296E" w:rsidRPr="0023296E">
        <w:rPr>
          <w:b w:val="0"/>
          <w:bCs/>
        </w:rPr>
        <w:t>Guidance for funding awards will be based upon the most recently published National Association of Student Money Advisers (NASMA) Higher Education Support Fund guidance.</w:t>
      </w:r>
    </w:p>
    <w:p w14:paraId="5119E5EB" w14:textId="79D1F855" w:rsidR="0023296E" w:rsidRPr="0023296E" w:rsidRDefault="00A73026" w:rsidP="00EC6B19">
      <w:pPr>
        <w:pStyle w:val="Heading2"/>
        <w:jc w:val="left"/>
        <w:rPr>
          <w:b w:val="0"/>
          <w:bCs/>
        </w:rPr>
      </w:pPr>
      <w:r>
        <w:rPr>
          <w:b w:val="0"/>
          <w:bCs/>
        </w:rPr>
        <w:br/>
      </w:r>
      <w:r w:rsidR="0023296E" w:rsidRPr="0023296E">
        <w:rPr>
          <w:b w:val="0"/>
          <w:bCs/>
        </w:rPr>
        <w:t>Hull College will assess the merits of each individual case, and exercise their discretion accordingly.</w:t>
      </w:r>
    </w:p>
    <w:p w14:paraId="6996540A" w14:textId="75863287" w:rsidR="0023296E" w:rsidRPr="0023296E" w:rsidRDefault="00A73026" w:rsidP="00EC6B19">
      <w:pPr>
        <w:pStyle w:val="Heading2"/>
        <w:jc w:val="left"/>
        <w:rPr>
          <w:b w:val="0"/>
          <w:bCs/>
        </w:rPr>
      </w:pPr>
      <w:r>
        <w:rPr>
          <w:b w:val="0"/>
          <w:bCs/>
        </w:rPr>
        <w:br/>
      </w:r>
      <w:r w:rsidR="0023296E" w:rsidRPr="0023296E">
        <w:rPr>
          <w:b w:val="0"/>
          <w:bCs/>
        </w:rPr>
        <w:t>Financial Assessment decisions will be made at a panel a lead officer in the Learner Services team, a Student Engagement Adviser. In some cases, the Head of HE Development&amp; Registry will be requested to attend the panel.</w:t>
      </w:r>
    </w:p>
    <w:p w14:paraId="0C7130CB" w14:textId="77777777" w:rsidR="00A73026" w:rsidRDefault="00A73026" w:rsidP="00EC6B19">
      <w:pPr>
        <w:pStyle w:val="Heading2"/>
        <w:jc w:val="left"/>
        <w:rPr>
          <w:b w:val="0"/>
          <w:bCs/>
        </w:rPr>
      </w:pPr>
    </w:p>
    <w:p w14:paraId="47230482" w14:textId="10F97DC8" w:rsidR="0023296E" w:rsidRPr="0023296E" w:rsidRDefault="0023296E" w:rsidP="00EC6B19">
      <w:pPr>
        <w:pStyle w:val="Heading1"/>
        <w:numPr>
          <w:ilvl w:val="0"/>
          <w:numId w:val="37"/>
        </w:numPr>
        <w:ind w:left="576" w:hanging="576"/>
      </w:pPr>
      <w:r w:rsidRPr="0023296E">
        <w:lastRenderedPageBreak/>
        <w:t>Student Entitlements</w:t>
      </w:r>
    </w:p>
    <w:p w14:paraId="754B46E9" w14:textId="450C603A" w:rsidR="0023296E" w:rsidRPr="0023296E" w:rsidRDefault="00A73026" w:rsidP="00EC6B19">
      <w:pPr>
        <w:pStyle w:val="Heading2"/>
        <w:jc w:val="left"/>
        <w:rPr>
          <w:b w:val="0"/>
          <w:bCs/>
        </w:rPr>
      </w:pPr>
      <w:r>
        <w:rPr>
          <w:b w:val="0"/>
          <w:bCs/>
        </w:rPr>
        <w:t>3.1</w:t>
      </w:r>
      <w:r>
        <w:rPr>
          <w:b w:val="0"/>
          <w:bCs/>
        </w:rPr>
        <w:tab/>
      </w:r>
      <w:r w:rsidR="0023296E" w:rsidRPr="0023296E">
        <w:rPr>
          <w:b w:val="0"/>
          <w:bCs/>
        </w:rPr>
        <w:t xml:space="preserve">All students at the College are entitled to apply for financial support and undertake a financial assessment, support is provided </w:t>
      </w:r>
      <w:proofErr w:type="gramStart"/>
      <w:r w:rsidR="0023296E" w:rsidRPr="0023296E">
        <w:rPr>
          <w:b w:val="0"/>
          <w:bCs/>
        </w:rPr>
        <w:t>on the basis of</w:t>
      </w:r>
      <w:proofErr w:type="gramEnd"/>
      <w:r w:rsidR="0023296E" w:rsidRPr="0023296E">
        <w:rPr>
          <w:b w:val="0"/>
          <w:bCs/>
        </w:rPr>
        <w:t xml:space="preserve"> a student meeting specific eligibility </w:t>
      </w:r>
      <w:proofErr w:type="gramStart"/>
      <w:r w:rsidR="0023296E" w:rsidRPr="0023296E">
        <w:rPr>
          <w:b w:val="0"/>
          <w:bCs/>
        </w:rPr>
        <w:t>criteria</w:t>
      </w:r>
      <w:proofErr w:type="gramEnd"/>
      <w:r w:rsidR="0023296E" w:rsidRPr="0023296E">
        <w:rPr>
          <w:b w:val="0"/>
          <w:bCs/>
        </w:rPr>
        <w:t>.</w:t>
      </w:r>
    </w:p>
    <w:p w14:paraId="0254BBAA" w14:textId="77777777" w:rsidR="00430A87" w:rsidRDefault="00430A87" w:rsidP="00EC6B19">
      <w:pPr>
        <w:pStyle w:val="Heading2"/>
        <w:jc w:val="left"/>
        <w:rPr>
          <w:b w:val="0"/>
          <w:bCs/>
        </w:rPr>
      </w:pPr>
    </w:p>
    <w:p w14:paraId="63EC509A" w14:textId="495FFC09" w:rsidR="0023296E" w:rsidRPr="0023296E" w:rsidRDefault="00430A87" w:rsidP="00EC6B19">
      <w:pPr>
        <w:pStyle w:val="Heading2"/>
        <w:jc w:val="left"/>
        <w:rPr>
          <w:b w:val="0"/>
          <w:bCs/>
        </w:rPr>
      </w:pPr>
      <w:r>
        <w:rPr>
          <w:b w:val="0"/>
          <w:bCs/>
        </w:rPr>
        <w:tab/>
      </w:r>
      <w:r w:rsidR="0023296E" w:rsidRPr="0023296E">
        <w:rPr>
          <w:b w:val="0"/>
          <w:bCs/>
        </w:rPr>
        <w:t>Students can contact Student Services for more information. All application forms are available from Student Services and can be submitted via the website form or in person to Student Services.</w:t>
      </w:r>
    </w:p>
    <w:p w14:paraId="191CBBCF" w14:textId="77777777" w:rsidR="00A73026" w:rsidRDefault="00A73026" w:rsidP="00EC6B19">
      <w:pPr>
        <w:pStyle w:val="Heading2"/>
        <w:jc w:val="left"/>
        <w:rPr>
          <w:b w:val="0"/>
          <w:bCs/>
        </w:rPr>
      </w:pPr>
    </w:p>
    <w:p w14:paraId="7BDD1CCD" w14:textId="68B6FB97" w:rsidR="0023296E" w:rsidRPr="0023296E" w:rsidRDefault="0023296E" w:rsidP="00EC6B19">
      <w:pPr>
        <w:pStyle w:val="Heading1"/>
        <w:numPr>
          <w:ilvl w:val="1"/>
          <w:numId w:val="37"/>
        </w:numPr>
        <w:ind w:left="576" w:hanging="576"/>
      </w:pPr>
      <w:r w:rsidRPr="0023296E">
        <w:t>Eligibility for HE Support Fund</w:t>
      </w:r>
    </w:p>
    <w:p w14:paraId="6CA6E426" w14:textId="5EED11BE" w:rsidR="0023296E" w:rsidRPr="0023296E" w:rsidRDefault="00E5779F" w:rsidP="00EC6B19">
      <w:pPr>
        <w:pStyle w:val="Heading2"/>
        <w:jc w:val="left"/>
        <w:rPr>
          <w:b w:val="0"/>
          <w:bCs/>
        </w:rPr>
      </w:pPr>
      <w:r>
        <w:rPr>
          <w:b w:val="0"/>
          <w:bCs/>
        </w:rPr>
        <w:tab/>
      </w:r>
      <w:r w:rsidR="0023296E" w:rsidRPr="0023296E">
        <w:rPr>
          <w:b w:val="0"/>
          <w:bCs/>
        </w:rPr>
        <w:t>Students must:</w:t>
      </w:r>
    </w:p>
    <w:p w14:paraId="598B736C" w14:textId="10DF1EAF" w:rsidR="0023296E" w:rsidRPr="0023296E" w:rsidRDefault="0023296E" w:rsidP="00EC6B19">
      <w:pPr>
        <w:pStyle w:val="Heading2"/>
        <w:ind w:left="936" w:hanging="360"/>
        <w:jc w:val="left"/>
        <w:rPr>
          <w:b w:val="0"/>
          <w:bCs/>
        </w:rPr>
      </w:pPr>
      <w:r w:rsidRPr="0023296E">
        <w:rPr>
          <w:b w:val="0"/>
          <w:bCs/>
        </w:rPr>
        <w:t xml:space="preserve">• </w:t>
      </w:r>
      <w:r w:rsidR="00E5779F">
        <w:rPr>
          <w:b w:val="0"/>
          <w:bCs/>
        </w:rPr>
        <w:tab/>
      </w:r>
      <w:r w:rsidRPr="0023296E">
        <w:rPr>
          <w:b w:val="0"/>
          <w:bCs/>
        </w:rPr>
        <w:t>Be full time or part time higher education students defined as ‘home’ students in the residency regulations that have been ordinarily resident in the UK for the 3 years prior to the commencement of the course and are enrolled on a higher education course at Hull College.</w:t>
      </w:r>
    </w:p>
    <w:p w14:paraId="55D7EC8C" w14:textId="5AA8D6CC" w:rsidR="0023296E" w:rsidRPr="0023296E" w:rsidRDefault="0023296E" w:rsidP="00EC6B19">
      <w:pPr>
        <w:pStyle w:val="Heading2"/>
        <w:ind w:left="936" w:hanging="360"/>
        <w:jc w:val="left"/>
        <w:rPr>
          <w:b w:val="0"/>
          <w:bCs/>
        </w:rPr>
      </w:pPr>
      <w:r w:rsidRPr="0023296E">
        <w:rPr>
          <w:b w:val="0"/>
          <w:bCs/>
        </w:rPr>
        <w:t xml:space="preserve">• </w:t>
      </w:r>
      <w:r w:rsidR="00E5779F">
        <w:rPr>
          <w:b w:val="0"/>
          <w:bCs/>
        </w:rPr>
        <w:tab/>
      </w:r>
      <w:r w:rsidRPr="0023296E">
        <w:rPr>
          <w:b w:val="0"/>
          <w:bCs/>
        </w:rPr>
        <w:t>Be able to demonstrate that they are in financial hardship and provide all requested evidence.</w:t>
      </w:r>
    </w:p>
    <w:p w14:paraId="579A896E" w14:textId="1A4524EE" w:rsidR="0023296E" w:rsidRPr="0023296E" w:rsidRDefault="0023296E" w:rsidP="00EC6B19">
      <w:pPr>
        <w:pStyle w:val="Heading2"/>
        <w:ind w:left="936" w:hanging="360"/>
        <w:jc w:val="left"/>
        <w:rPr>
          <w:b w:val="0"/>
          <w:bCs/>
        </w:rPr>
      </w:pPr>
      <w:r w:rsidRPr="0023296E">
        <w:rPr>
          <w:b w:val="0"/>
          <w:bCs/>
        </w:rPr>
        <w:t xml:space="preserve">• </w:t>
      </w:r>
      <w:r w:rsidR="00E5779F">
        <w:rPr>
          <w:b w:val="0"/>
          <w:bCs/>
        </w:rPr>
        <w:tab/>
      </w:r>
      <w:r w:rsidRPr="0023296E">
        <w:rPr>
          <w:b w:val="0"/>
          <w:bCs/>
        </w:rPr>
        <w:t>Have applied for their full entitlement of student loans and grants (where applicable) e.g. Maintenance Loans.</w:t>
      </w:r>
    </w:p>
    <w:p w14:paraId="5E97213E" w14:textId="69A6899D" w:rsidR="0023296E" w:rsidRPr="0023296E" w:rsidRDefault="0023296E" w:rsidP="00EC6B19">
      <w:pPr>
        <w:pStyle w:val="Heading2"/>
        <w:ind w:left="936" w:hanging="360"/>
        <w:jc w:val="left"/>
        <w:rPr>
          <w:b w:val="0"/>
          <w:bCs/>
        </w:rPr>
      </w:pPr>
      <w:r w:rsidRPr="0023296E">
        <w:rPr>
          <w:b w:val="0"/>
          <w:bCs/>
        </w:rPr>
        <w:t xml:space="preserve">• </w:t>
      </w:r>
      <w:r w:rsidR="00E5779F">
        <w:rPr>
          <w:b w:val="0"/>
          <w:bCs/>
        </w:rPr>
        <w:tab/>
      </w:r>
      <w:r w:rsidRPr="0023296E">
        <w:rPr>
          <w:b w:val="0"/>
          <w:bCs/>
        </w:rPr>
        <w:t>Must have agreed to share their information when applying to Student Finance England and must agree to sharing their information with Hull College to facilitate an evaluation of an application for hardship funds.</w:t>
      </w:r>
    </w:p>
    <w:p w14:paraId="66E33105" w14:textId="34FA2CFE" w:rsidR="0023296E" w:rsidRPr="0023296E" w:rsidRDefault="0023296E" w:rsidP="00EC6B19">
      <w:pPr>
        <w:pStyle w:val="Heading2"/>
        <w:ind w:left="936" w:hanging="360"/>
        <w:jc w:val="left"/>
        <w:rPr>
          <w:b w:val="0"/>
          <w:bCs/>
        </w:rPr>
      </w:pPr>
      <w:r w:rsidRPr="0023296E">
        <w:rPr>
          <w:b w:val="0"/>
          <w:bCs/>
        </w:rPr>
        <w:t xml:space="preserve">• </w:t>
      </w:r>
      <w:r w:rsidR="00E5779F">
        <w:rPr>
          <w:b w:val="0"/>
          <w:bCs/>
        </w:rPr>
        <w:tab/>
      </w:r>
      <w:r w:rsidRPr="0023296E">
        <w:rPr>
          <w:b w:val="0"/>
          <w:bCs/>
        </w:rPr>
        <w:t>Have applied for all other available means of financial support, including tax credits and social security benefits, and overdrafts (where applicable).</w:t>
      </w:r>
    </w:p>
    <w:p w14:paraId="34DC836E" w14:textId="47CE828F" w:rsidR="0023296E" w:rsidRPr="0023296E" w:rsidRDefault="00E5779F" w:rsidP="00EC6B19">
      <w:pPr>
        <w:pStyle w:val="Heading2"/>
        <w:jc w:val="left"/>
        <w:rPr>
          <w:b w:val="0"/>
          <w:bCs/>
        </w:rPr>
      </w:pPr>
      <w:r>
        <w:rPr>
          <w:b w:val="0"/>
          <w:bCs/>
        </w:rPr>
        <w:br/>
      </w:r>
      <w:r w:rsidR="0023296E" w:rsidRPr="0023296E">
        <w:rPr>
          <w:b w:val="0"/>
          <w:bCs/>
        </w:rPr>
        <w:t>Support from the Higher Education Support Fund will only be available to students that are enrolled and currently on programme.</w:t>
      </w:r>
    </w:p>
    <w:p w14:paraId="0AAADB0C" w14:textId="58738E4D" w:rsidR="0023296E" w:rsidRPr="0023296E" w:rsidRDefault="00E5779F" w:rsidP="00EC6B19">
      <w:pPr>
        <w:pStyle w:val="Heading2"/>
        <w:jc w:val="left"/>
        <w:rPr>
          <w:b w:val="0"/>
          <w:bCs/>
        </w:rPr>
      </w:pPr>
      <w:r>
        <w:rPr>
          <w:b w:val="0"/>
          <w:bCs/>
        </w:rPr>
        <w:br/>
      </w:r>
      <w:r w:rsidR="0023296E" w:rsidRPr="0023296E">
        <w:rPr>
          <w:b w:val="0"/>
          <w:bCs/>
        </w:rPr>
        <w:t>Funds are limited and will be available to eligible students on a first come first served basis.</w:t>
      </w:r>
    </w:p>
    <w:p w14:paraId="46FCAA37" w14:textId="77777777" w:rsidR="00E5779F" w:rsidRDefault="00E5779F" w:rsidP="00EC6B19">
      <w:pPr>
        <w:pStyle w:val="Heading2"/>
        <w:jc w:val="left"/>
        <w:rPr>
          <w:b w:val="0"/>
          <w:bCs/>
        </w:rPr>
      </w:pPr>
    </w:p>
    <w:p w14:paraId="57A204CB" w14:textId="35E8DB6E" w:rsidR="0023296E" w:rsidRPr="0023296E" w:rsidRDefault="0023296E" w:rsidP="00EC6B19">
      <w:pPr>
        <w:pStyle w:val="Heading1"/>
        <w:numPr>
          <w:ilvl w:val="0"/>
          <w:numId w:val="37"/>
        </w:numPr>
        <w:ind w:left="576" w:hanging="576"/>
      </w:pPr>
      <w:r w:rsidRPr="0023296E">
        <w:t>Financial Assessments of Standard and Non-Standard Awards</w:t>
      </w:r>
    </w:p>
    <w:p w14:paraId="4FD4C38C" w14:textId="44287CEF" w:rsidR="0023296E" w:rsidRPr="0023296E" w:rsidRDefault="0070349E" w:rsidP="00EC6B19">
      <w:pPr>
        <w:pStyle w:val="Heading2"/>
        <w:jc w:val="left"/>
        <w:rPr>
          <w:b w:val="0"/>
          <w:bCs/>
        </w:rPr>
      </w:pPr>
      <w:r>
        <w:rPr>
          <w:b w:val="0"/>
          <w:bCs/>
        </w:rPr>
        <w:tab/>
      </w:r>
      <w:r w:rsidR="0023296E" w:rsidRPr="0023296E">
        <w:rPr>
          <w:b w:val="0"/>
          <w:bCs/>
        </w:rPr>
        <w:t xml:space="preserve">Once students </w:t>
      </w:r>
      <w:proofErr w:type="gramStart"/>
      <w:r w:rsidR="0023296E" w:rsidRPr="0023296E">
        <w:rPr>
          <w:b w:val="0"/>
          <w:bCs/>
        </w:rPr>
        <w:t>submit an application</w:t>
      </w:r>
      <w:proofErr w:type="gramEnd"/>
      <w:r w:rsidR="0023296E" w:rsidRPr="0023296E">
        <w:rPr>
          <w:b w:val="0"/>
          <w:bCs/>
        </w:rPr>
        <w:t xml:space="preserve"> form, along with supporting financial evidence, the Hardship Team will undertake a financial assessment using the 2022/23 Hardship Fund Calculation spreadsheet, which uses local financial data to help assess a student’s financial need.</w:t>
      </w:r>
    </w:p>
    <w:p w14:paraId="305EBAAF" w14:textId="604DB397" w:rsidR="0023296E" w:rsidRPr="0023296E" w:rsidRDefault="0070349E" w:rsidP="00EC6B19">
      <w:pPr>
        <w:pStyle w:val="Heading2"/>
        <w:jc w:val="left"/>
        <w:rPr>
          <w:b w:val="0"/>
          <w:bCs/>
        </w:rPr>
      </w:pPr>
      <w:r>
        <w:rPr>
          <w:b w:val="0"/>
          <w:bCs/>
        </w:rPr>
        <w:br/>
      </w:r>
      <w:proofErr w:type="gramStart"/>
      <w:r w:rsidR="0023296E" w:rsidRPr="0023296E">
        <w:rPr>
          <w:b w:val="0"/>
          <w:bCs/>
        </w:rPr>
        <w:t>In order to</w:t>
      </w:r>
      <w:proofErr w:type="gramEnd"/>
      <w:r w:rsidR="0023296E" w:rsidRPr="0023296E">
        <w:rPr>
          <w:b w:val="0"/>
          <w:bCs/>
        </w:rPr>
        <w:t xml:space="preserve"> identify whether an award should be made, assessments will deliver one of two outcomes, an income surplus (where it is identified that their income exceeds their expenditure) or an income shortfall (where it is identified that their expenditure exceeds their income). If the student is identified to have an income shortfall, the student will be awarded a standard award. The amount of shortfall will be split into three payments, based upon the student achieving 90% attendance. The college expectation is that students achieve 100% attendance, however we appreciate that in some cases financial hardship can result in a lowering of attendance, support will not be provided when a student achieves less than 90% (including authorised absence). In some circumstances, it may be identified that the student requires support for both an income shortfall as well as support towards the cost of priority debt.</w:t>
      </w:r>
    </w:p>
    <w:p w14:paraId="3D2CA9D6" w14:textId="1FEF8EBC" w:rsidR="0023296E" w:rsidRPr="0023296E" w:rsidRDefault="0070349E" w:rsidP="00EC6B19">
      <w:pPr>
        <w:pStyle w:val="Heading2"/>
        <w:jc w:val="left"/>
        <w:rPr>
          <w:b w:val="0"/>
          <w:bCs/>
        </w:rPr>
      </w:pPr>
      <w:r>
        <w:rPr>
          <w:b w:val="0"/>
          <w:bCs/>
        </w:rPr>
        <w:br/>
      </w:r>
      <w:r w:rsidR="0023296E" w:rsidRPr="0023296E">
        <w:rPr>
          <w:b w:val="0"/>
          <w:bCs/>
        </w:rPr>
        <w:t xml:space="preserve">If the student is identified to have an income surplus, a standard award will not be awarded, the panel will look to the student’s personal statement, bank statements and any priority debts to </w:t>
      </w:r>
      <w:proofErr w:type="gramStart"/>
      <w:r w:rsidR="0023296E" w:rsidRPr="0023296E">
        <w:rPr>
          <w:b w:val="0"/>
          <w:bCs/>
        </w:rPr>
        <w:t>make a decision</w:t>
      </w:r>
      <w:proofErr w:type="gramEnd"/>
      <w:r w:rsidR="0023296E" w:rsidRPr="0023296E">
        <w:rPr>
          <w:b w:val="0"/>
          <w:bCs/>
        </w:rPr>
        <w:t xml:space="preserve"> as to whether any financial support can be offered as a non-standard award. </w:t>
      </w:r>
    </w:p>
    <w:p w14:paraId="757C3D8C" w14:textId="444384D5" w:rsidR="0023296E" w:rsidRPr="0023296E" w:rsidRDefault="0070349E" w:rsidP="00EC6B19">
      <w:pPr>
        <w:pStyle w:val="Heading2"/>
        <w:jc w:val="left"/>
        <w:rPr>
          <w:b w:val="0"/>
          <w:bCs/>
        </w:rPr>
      </w:pPr>
      <w:r>
        <w:rPr>
          <w:b w:val="0"/>
          <w:bCs/>
        </w:rPr>
        <w:br/>
      </w:r>
      <w:r w:rsidR="0023296E" w:rsidRPr="0023296E">
        <w:rPr>
          <w:b w:val="0"/>
          <w:bCs/>
        </w:rPr>
        <w:t>Where a decision is made to provide support towards the cost of a priority debt, Hull College will look to process support directly to the third party on the authorisation of the student.</w:t>
      </w:r>
    </w:p>
    <w:p w14:paraId="3A5216A6" w14:textId="0CDD8F64" w:rsidR="0023296E" w:rsidRPr="0023296E" w:rsidRDefault="00430A87" w:rsidP="00EC6B19">
      <w:pPr>
        <w:pStyle w:val="Heading2"/>
        <w:jc w:val="left"/>
        <w:rPr>
          <w:b w:val="0"/>
          <w:bCs/>
        </w:rPr>
      </w:pPr>
      <w:r>
        <w:rPr>
          <w:b w:val="0"/>
          <w:bCs/>
        </w:rPr>
        <w:br/>
      </w:r>
      <w:r w:rsidR="0023296E" w:rsidRPr="0023296E">
        <w:rPr>
          <w:b w:val="0"/>
          <w:bCs/>
        </w:rPr>
        <w:t>Priority debts include:</w:t>
      </w:r>
    </w:p>
    <w:p w14:paraId="7A3BC2A1" w14:textId="508858D9" w:rsidR="0023296E" w:rsidRPr="0023296E" w:rsidRDefault="0023296E" w:rsidP="00EC6B19">
      <w:pPr>
        <w:pStyle w:val="Heading2"/>
        <w:ind w:left="936" w:hanging="360"/>
        <w:jc w:val="left"/>
        <w:rPr>
          <w:b w:val="0"/>
          <w:bCs/>
        </w:rPr>
      </w:pPr>
      <w:r w:rsidRPr="0023296E">
        <w:rPr>
          <w:b w:val="0"/>
          <w:bCs/>
        </w:rPr>
        <w:t xml:space="preserve">• </w:t>
      </w:r>
      <w:r w:rsidR="00430A87">
        <w:rPr>
          <w:b w:val="0"/>
          <w:bCs/>
        </w:rPr>
        <w:tab/>
      </w:r>
      <w:r w:rsidRPr="0023296E">
        <w:rPr>
          <w:b w:val="0"/>
          <w:bCs/>
        </w:rPr>
        <w:t>Secured loans (e.g. loans that are secured against a debtor’s home)</w:t>
      </w:r>
    </w:p>
    <w:p w14:paraId="61A6A302" w14:textId="19C56DFA" w:rsidR="0023296E" w:rsidRPr="0023296E" w:rsidRDefault="0023296E" w:rsidP="00EC6B19">
      <w:pPr>
        <w:pStyle w:val="Heading2"/>
        <w:ind w:left="936" w:hanging="360"/>
        <w:jc w:val="left"/>
        <w:rPr>
          <w:b w:val="0"/>
          <w:bCs/>
        </w:rPr>
      </w:pPr>
      <w:r w:rsidRPr="0023296E">
        <w:rPr>
          <w:b w:val="0"/>
          <w:bCs/>
        </w:rPr>
        <w:t xml:space="preserve">• </w:t>
      </w:r>
      <w:r w:rsidR="00430A87">
        <w:rPr>
          <w:b w:val="0"/>
          <w:bCs/>
        </w:rPr>
        <w:tab/>
      </w:r>
      <w:r w:rsidRPr="0023296E">
        <w:rPr>
          <w:b w:val="0"/>
          <w:bCs/>
        </w:rPr>
        <w:t>Rent arrears</w:t>
      </w:r>
    </w:p>
    <w:p w14:paraId="50C85BC4" w14:textId="4618CDF0" w:rsidR="0023296E" w:rsidRPr="0023296E" w:rsidRDefault="0023296E" w:rsidP="00EC6B19">
      <w:pPr>
        <w:pStyle w:val="Heading2"/>
        <w:ind w:left="936" w:hanging="360"/>
        <w:jc w:val="left"/>
        <w:rPr>
          <w:b w:val="0"/>
          <w:bCs/>
        </w:rPr>
      </w:pPr>
      <w:r w:rsidRPr="0023296E">
        <w:rPr>
          <w:b w:val="0"/>
          <w:bCs/>
        </w:rPr>
        <w:t xml:space="preserve">• </w:t>
      </w:r>
      <w:r w:rsidR="00430A87">
        <w:rPr>
          <w:b w:val="0"/>
          <w:bCs/>
        </w:rPr>
        <w:tab/>
      </w:r>
      <w:r w:rsidRPr="0023296E">
        <w:rPr>
          <w:b w:val="0"/>
          <w:bCs/>
        </w:rPr>
        <w:t>Council tax</w:t>
      </w:r>
    </w:p>
    <w:p w14:paraId="31755874" w14:textId="40A139EB" w:rsidR="0023296E" w:rsidRPr="0023296E" w:rsidRDefault="0023296E" w:rsidP="00EC6B19">
      <w:pPr>
        <w:pStyle w:val="Heading2"/>
        <w:ind w:left="936" w:hanging="360"/>
        <w:jc w:val="left"/>
        <w:rPr>
          <w:b w:val="0"/>
          <w:bCs/>
        </w:rPr>
      </w:pPr>
      <w:r w:rsidRPr="0023296E">
        <w:rPr>
          <w:b w:val="0"/>
          <w:bCs/>
        </w:rPr>
        <w:t xml:space="preserve">• </w:t>
      </w:r>
      <w:r w:rsidR="00430A87">
        <w:rPr>
          <w:b w:val="0"/>
          <w:bCs/>
        </w:rPr>
        <w:tab/>
      </w:r>
      <w:r w:rsidRPr="0023296E">
        <w:rPr>
          <w:b w:val="0"/>
          <w:bCs/>
        </w:rPr>
        <w:t>Fines, maintenance and compensation orders</w:t>
      </w:r>
    </w:p>
    <w:p w14:paraId="7DCF2358" w14:textId="0437BC06" w:rsidR="0023296E" w:rsidRPr="0023296E" w:rsidRDefault="0023296E" w:rsidP="00EC6B19">
      <w:pPr>
        <w:pStyle w:val="Heading2"/>
        <w:ind w:left="936" w:hanging="360"/>
        <w:jc w:val="left"/>
        <w:rPr>
          <w:b w:val="0"/>
          <w:bCs/>
        </w:rPr>
      </w:pPr>
      <w:r w:rsidRPr="0023296E">
        <w:rPr>
          <w:b w:val="0"/>
          <w:bCs/>
        </w:rPr>
        <w:lastRenderedPageBreak/>
        <w:t xml:space="preserve">• </w:t>
      </w:r>
      <w:r w:rsidR="00430A87">
        <w:rPr>
          <w:b w:val="0"/>
          <w:bCs/>
        </w:rPr>
        <w:tab/>
      </w:r>
      <w:r w:rsidRPr="0023296E">
        <w:rPr>
          <w:b w:val="0"/>
          <w:bCs/>
        </w:rPr>
        <w:t>Charges for utilities</w:t>
      </w:r>
    </w:p>
    <w:p w14:paraId="0E8BD292" w14:textId="6934E8E0" w:rsidR="0023296E" w:rsidRPr="0023296E" w:rsidRDefault="0023296E" w:rsidP="00EC6B19">
      <w:pPr>
        <w:pStyle w:val="Heading2"/>
        <w:ind w:left="936" w:hanging="360"/>
        <w:jc w:val="left"/>
        <w:rPr>
          <w:b w:val="0"/>
          <w:bCs/>
        </w:rPr>
      </w:pPr>
      <w:r w:rsidRPr="0023296E">
        <w:rPr>
          <w:b w:val="0"/>
          <w:bCs/>
        </w:rPr>
        <w:t xml:space="preserve">• </w:t>
      </w:r>
      <w:r w:rsidR="00430A87">
        <w:rPr>
          <w:b w:val="0"/>
          <w:bCs/>
        </w:rPr>
        <w:tab/>
      </w:r>
      <w:r w:rsidRPr="0023296E">
        <w:rPr>
          <w:b w:val="0"/>
          <w:bCs/>
        </w:rPr>
        <w:t>TV licence</w:t>
      </w:r>
    </w:p>
    <w:p w14:paraId="2519D839" w14:textId="2DD6CA25" w:rsidR="0023296E" w:rsidRPr="0023296E" w:rsidRDefault="0023296E" w:rsidP="00EC6B19">
      <w:pPr>
        <w:pStyle w:val="Heading2"/>
        <w:ind w:left="936" w:hanging="360"/>
        <w:jc w:val="left"/>
        <w:rPr>
          <w:b w:val="0"/>
          <w:bCs/>
        </w:rPr>
      </w:pPr>
      <w:r w:rsidRPr="0023296E">
        <w:rPr>
          <w:b w:val="0"/>
          <w:bCs/>
        </w:rPr>
        <w:t xml:space="preserve">• </w:t>
      </w:r>
      <w:r w:rsidR="00430A87">
        <w:rPr>
          <w:b w:val="0"/>
          <w:bCs/>
        </w:rPr>
        <w:tab/>
      </w:r>
      <w:r w:rsidRPr="0023296E">
        <w:rPr>
          <w:b w:val="0"/>
          <w:bCs/>
        </w:rPr>
        <w:t>Tax and VAT</w:t>
      </w:r>
    </w:p>
    <w:p w14:paraId="6B88CA7C" w14:textId="2415AF15" w:rsidR="0023296E" w:rsidRPr="0023296E" w:rsidRDefault="0023296E" w:rsidP="00EC6B19">
      <w:pPr>
        <w:pStyle w:val="Heading2"/>
        <w:ind w:left="936" w:hanging="360"/>
        <w:jc w:val="left"/>
        <w:rPr>
          <w:b w:val="0"/>
          <w:bCs/>
        </w:rPr>
      </w:pPr>
      <w:r w:rsidRPr="0023296E">
        <w:rPr>
          <w:b w:val="0"/>
          <w:bCs/>
        </w:rPr>
        <w:t xml:space="preserve">• </w:t>
      </w:r>
      <w:r w:rsidR="00430A87">
        <w:rPr>
          <w:b w:val="0"/>
          <w:bCs/>
        </w:rPr>
        <w:tab/>
      </w:r>
      <w:r w:rsidRPr="0023296E">
        <w:rPr>
          <w:b w:val="0"/>
          <w:bCs/>
        </w:rPr>
        <w:t>National Insurance contributions</w:t>
      </w:r>
    </w:p>
    <w:p w14:paraId="79CCF7B2" w14:textId="6EEA7099" w:rsidR="0023296E" w:rsidRPr="0023296E" w:rsidRDefault="0023296E" w:rsidP="00EC6B19">
      <w:pPr>
        <w:pStyle w:val="Heading2"/>
        <w:ind w:left="936" w:hanging="360"/>
        <w:jc w:val="left"/>
        <w:rPr>
          <w:b w:val="0"/>
          <w:bCs/>
        </w:rPr>
      </w:pPr>
      <w:r w:rsidRPr="0023296E">
        <w:rPr>
          <w:b w:val="0"/>
          <w:bCs/>
        </w:rPr>
        <w:t xml:space="preserve">• </w:t>
      </w:r>
      <w:r w:rsidR="00430A87">
        <w:rPr>
          <w:b w:val="0"/>
          <w:bCs/>
        </w:rPr>
        <w:tab/>
      </w:r>
      <w:r w:rsidRPr="0023296E">
        <w:rPr>
          <w:b w:val="0"/>
          <w:bCs/>
        </w:rPr>
        <w:t>Hire purchase/conditional sale agreements for goods that are essential for the debtor to retain</w:t>
      </w:r>
    </w:p>
    <w:p w14:paraId="3C4A0383" w14:textId="77777777" w:rsidR="003C3E29" w:rsidRDefault="003C3E29" w:rsidP="00EC6B19">
      <w:pPr>
        <w:pStyle w:val="Heading2"/>
        <w:jc w:val="left"/>
        <w:rPr>
          <w:b w:val="0"/>
          <w:bCs/>
        </w:rPr>
      </w:pPr>
    </w:p>
    <w:p w14:paraId="47476338" w14:textId="67477B17" w:rsidR="0023296E" w:rsidRPr="0023296E" w:rsidRDefault="003C3E29" w:rsidP="00EC6B19">
      <w:pPr>
        <w:pStyle w:val="Heading2"/>
        <w:jc w:val="left"/>
        <w:rPr>
          <w:b w:val="0"/>
          <w:bCs/>
        </w:rPr>
      </w:pPr>
      <w:r>
        <w:rPr>
          <w:b w:val="0"/>
          <w:bCs/>
        </w:rPr>
        <w:tab/>
      </w:r>
      <w:r w:rsidR="0023296E" w:rsidRPr="0023296E">
        <w:rPr>
          <w:b w:val="0"/>
          <w:bCs/>
        </w:rPr>
        <w:t>Hull College reserves the right to use their discretion at panel to refuse funding awards based on factors such as:</w:t>
      </w:r>
    </w:p>
    <w:p w14:paraId="18B6496B" w14:textId="41AE2912" w:rsidR="0023296E" w:rsidRPr="0023296E" w:rsidRDefault="0023296E" w:rsidP="29DB0C95">
      <w:pPr>
        <w:pStyle w:val="Heading2"/>
        <w:ind w:left="936" w:hanging="360"/>
        <w:jc w:val="left"/>
        <w:rPr>
          <w:b w:val="0"/>
        </w:rPr>
      </w:pPr>
      <w:r>
        <w:rPr>
          <w:b w:val="0"/>
        </w:rPr>
        <w:t xml:space="preserve">• </w:t>
      </w:r>
      <w:r>
        <w:tab/>
      </w:r>
      <w:r>
        <w:rPr>
          <w:b w:val="0"/>
        </w:rPr>
        <w:t xml:space="preserve">Irresponsible financial management, in some cases, cash awards are not considered </w:t>
      </w:r>
      <w:r w:rsidR="18F8DC55">
        <w:rPr>
          <w:b w:val="0"/>
        </w:rPr>
        <w:t>appropriate and</w:t>
      </w:r>
      <w:r>
        <w:rPr>
          <w:b w:val="0"/>
        </w:rPr>
        <w:t xml:space="preserve"> are viewed as not empowering the student to become financially responsible. In such cases the student will be provided with advice and guidance from a Student Engagement Adviser </w:t>
      </w:r>
      <w:proofErr w:type="gramStart"/>
      <w:r>
        <w:rPr>
          <w:b w:val="0"/>
        </w:rPr>
        <w:t>and also</w:t>
      </w:r>
      <w:proofErr w:type="gramEnd"/>
      <w:r>
        <w:rPr>
          <w:b w:val="0"/>
        </w:rPr>
        <w:t xml:space="preserve"> provided with a list of debt management bodies and organisations.</w:t>
      </w:r>
    </w:p>
    <w:p w14:paraId="242B3AD5" w14:textId="223494C3" w:rsidR="0023296E" w:rsidRPr="0023296E" w:rsidRDefault="0023296E" w:rsidP="00EC6B19">
      <w:pPr>
        <w:pStyle w:val="Heading2"/>
        <w:ind w:left="936" w:hanging="360"/>
        <w:jc w:val="left"/>
        <w:rPr>
          <w:b w:val="0"/>
          <w:bCs/>
        </w:rPr>
      </w:pPr>
      <w:r w:rsidRPr="0023296E">
        <w:rPr>
          <w:b w:val="0"/>
          <w:bCs/>
        </w:rPr>
        <w:t xml:space="preserve">• </w:t>
      </w:r>
      <w:r w:rsidR="00430A87">
        <w:rPr>
          <w:b w:val="0"/>
          <w:bCs/>
        </w:rPr>
        <w:tab/>
      </w:r>
      <w:r w:rsidRPr="0023296E">
        <w:rPr>
          <w:b w:val="0"/>
          <w:bCs/>
        </w:rPr>
        <w:t>Historic priority debt, incurred prior to enrolment, where a student has enrolled to a course, when they are in a financially unstable position and have not fully considered the financial costs that a student will need to meet whilst studying.</w:t>
      </w:r>
    </w:p>
    <w:p w14:paraId="297CB042" w14:textId="563BBBDA" w:rsidR="0023296E" w:rsidRPr="0023296E" w:rsidRDefault="0023296E" w:rsidP="00EC6B19">
      <w:pPr>
        <w:pStyle w:val="Heading2"/>
        <w:ind w:left="936" w:hanging="360"/>
        <w:jc w:val="left"/>
        <w:rPr>
          <w:b w:val="0"/>
          <w:bCs/>
        </w:rPr>
      </w:pPr>
      <w:r w:rsidRPr="0023296E">
        <w:rPr>
          <w:b w:val="0"/>
          <w:bCs/>
        </w:rPr>
        <w:t xml:space="preserve">• </w:t>
      </w:r>
      <w:r w:rsidR="00430A87">
        <w:rPr>
          <w:b w:val="0"/>
          <w:bCs/>
        </w:rPr>
        <w:tab/>
      </w:r>
      <w:r w:rsidRPr="0023296E">
        <w:rPr>
          <w:b w:val="0"/>
          <w:bCs/>
        </w:rPr>
        <w:t>Luxury or irresponsible spending, for example holiday purchases, or gambling payments.</w:t>
      </w:r>
    </w:p>
    <w:p w14:paraId="2F829444" w14:textId="4CA2912E" w:rsidR="0023296E" w:rsidRPr="0023296E" w:rsidRDefault="0023296E" w:rsidP="00EC6B19">
      <w:pPr>
        <w:pStyle w:val="Heading2"/>
        <w:ind w:left="936" w:hanging="360"/>
        <w:jc w:val="left"/>
        <w:rPr>
          <w:b w:val="0"/>
          <w:bCs/>
        </w:rPr>
      </w:pPr>
      <w:r w:rsidRPr="0023296E">
        <w:rPr>
          <w:b w:val="0"/>
          <w:bCs/>
        </w:rPr>
        <w:t xml:space="preserve">• </w:t>
      </w:r>
      <w:r w:rsidR="00430A87">
        <w:rPr>
          <w:b w:val="0"/>
          <w:bCs/>
        </w:rPr>
        <w:tab/>
      </w:r>
      <w:r w:rsidRPr="0023296E">
        <w:rPr>
          <w:b w:val="0"/>
          <w:bCs/>
        </w:rPr>
        <w:t>Evidence provided with the application form.</w:t>
      </w:r>
    </w:p>
    <w:p w14:paraId="3F7EC8B3" w14:textId="13A87CA3" w:rsidR="0023296E" w:rsidRPr="0023296E" w:rsidRDefault="0023296E" w:rsidP="00EC6B19">
      <w:pPr>
        <w:pStyle w:val="Heading2"/>
        <w:ind w:left="936" w:hanging="360"/>
        <w:jc w:val="left"/>
        <w:rPr>
          <w:b w:val="0"/>
          <w:bCs/>
        </w:rPr>
      </w:pPr>
      <w:r w:rsidRPr="0023296E">
        <w:rPr>
          <w:b w:val="0"/>
          <w:bCs/>
        </w:rPr>
        <w:t xml:space="preserve">• </w:t>
      </w:r>
      <w:r w:rsidR="00430A87">
        <w:rPr>
          <w:b w:val="0"/>
          <w:bCs/>
        </w:rPr>
        <w:tab/>
      </w:r>
      <w:r w:rsidRPr="0023296E">
        <w:rPr>
          <w:b w:val="0"/>
          <w:bCs/>
        </w:rPr>
        <w:t>Where funding has previously been awarded to a student to enable management of a priority debt.</w:t>
      </w:r>
    </w:p>
    <w:p w14:paraId="7DE64640" w14:textId="41C23469" w:rsidR="0023296E" w:rsidRPr="0023296E" w:rsidRDefault="00430A87" w:rsidP="00EC6B19">
      <w:pPr>
        <w:pStyle w:val="Heading2"/>
        <w:jc w:val="left"/>
        <w:rPr>
          <w:b w:val="0"/>
          <w:bCs/>
        </w:rPr>
      </w:pPr>
      <w:r>
        <w:rPr>
          <w:b w:val="0"/>
          <w:bCs/>
        </w:rPr>
        <w:br/>
      </w:r>
      <w:r w:rsidR="0023296E" w:rsidRPr="0023296E">
        <w:rPr>
          <w:b w:val="0"/>
          <w:bCs/>
        </w:rPr>
        <w:t>The panel will expect that students will have sources of income other than their Student Finance to support themselves. This will be included alongside the Student Finance income for the application process. Certain streams of income will be excluded from the assessment, for example, Personal Independence Payment or Child Benefit.</w:t>
      </w:r>
    </w:p>
    <w:p w14:paraId="0622138B" w14:textId="526166A7" w:rsidR="0023296E" w:rsidRPr="0023296E" w:rsidRDefault="00430A87" w:rsidP="00EC6B19">
      <w:pPr>
        <w:pStyle w:val="Heading2"/>
        <w:jc w:val="left"/>
        <w:rPr>
          <w:b w:val="0"/>
          <w:bCs/>
        </w:rPr>
      </w:pPr>
      <w:r>
        <w:rPr>
          <w:b w:val="0"/>
          <w:bCs/>
        </w:rPr>
        <w:br/>
      </w:r>
      <w:r w:rsidR="0023296E" w:rsidRPr="0023296E">
        <w:rPr>
          <w:b w:val="0"/>
          <w:bCs/>
        </w:rPr>
        <w:t xml:space="preserve">It is assumed that most students </w:t>
      </w:r>
      <w:proofErr w:type="gramStart"/>
      <w:r w:rsidR="0023296E" w:rsidRPr="0023296E">
        <w:rPr>
          <w:b w:val="0"/>
          <w:bCs/>
        </w:rPr>
        <w:t>are able to</w:t>
      </w:r>
      <w:proofErr w:type="gramEnd"/>
      <w:r w:rsidR="0023296E" w:rsidRPr="0023296E">
        <w:rPr>
          <w:b w:val="0"/>
          <w:bCs/>
        </w:rPr>
        <w:t xml:space="preserve"> supplement their income from part-time work. If the student is unable to work due to ill health a request may be made for a doctor/physician’s letter as an accompaniment to the application.</w:t>
      </w:r>
    </w:p>
    <w:p w14:paraId="64546C92" w14:textId="7DABEB95" w:rsidR="0023296E" w:rsidRPr="0023296E" w:rsidRDefault="00430A87" w:rsidP="00EC6B19">
      <w:pPr>
        <w:pStyle w:val="Heading2"/>
        <w:jc w:val="left"/>
        <w:rPr>
          <w:b w:val="0"/>
          <w:bCs/>
        </w:rPr>
      </w:pPr>
      <w:r>
        <w:rPr>
          <w:b w:val="0"/>
          <w:bCs/>
        </w:rPr>
        <w:br/>
      </w:r>
      <w:r w:rsidR="0023296E" w:rsidRPr="0023296E">
        <w:rPr>
          <w:b w:val="0"/>
          <w:bCs/>
        </w:rPr>
        <w:t>The fund cannot be used to meet the cost of tuition fees for any student. In such circumstances, where a student is in financial hardship and has not paid their fees, the fund may be used to provide support in kind, such as meals, a travel pass, stationery, and equipment support.</w:t>
      </w:r>
    </w:p>
    <w:p w14:paraId="15D61C45" w14:textId="4779A7F1" w:rsidR="0023296E" w:rsidRPr="0023296E" w:rsidRDefault="00430A87" w:rsidP="00EC6B19">
      <w:pPr>
        <w:pStyle w:val="Heading2"/>
        <w:jc w:val="left"/>
        <w:rPr>
          <w:b w:val="0"/>
          <w:bCs/>
        </w:rPr>
      </w:pPr>
      <w:r>
        <w:rPr>
          <w:b w:val="0"/>
          <w:bCs/>
        </w:rPr>
        <w:br/>
      </w:r>
      <w:r w:rsidR="0023296E" w:rsidRPr="0023296E">
        <w:rPr>
          <w:b w:val="0"/>
          <w:bCs/>
        </w:rPr>
        <w:t>Application forms will be available from the beginning of main enrolment and financial assessments will take place from 29th September 2022. Provided the application form has been accurately completed and the appropriate evidence submitted, a decision should be made within 4 weeks of submission. The application will be considered by the panel and the student will be notified of the outcome via an e-mail to the student’s email account.</w:t>
      </w:r>
    </w:p>
    <w:p w14:paraId="520746E0" w14:textId="212CA949" w:rsidR="0023296E" w:rsidRPr="0023296E" w:rsidRDefault="00430A87" w:rsidP="00EC6B19">
      <w:pPr>
        <w:pStyle w:val="Heading2"/>
        <w:jc w:val="left"/>
        <w:rPr>
          <w:b w:val="0"/>
          <w:bCs/>
        </w:rPr>
      </w:pPr>
      <w:r>
        <w:rPr>
          <w:b w:val="0"/>
          <w:bCs/>
        </w:rPr>
        <w:br/>
      </w:r>
      <w:r w:rsidR="0023296E" w:rsidRPr="0023296E">
        <w:rPr>
          <w:b w:val="0"/>
          <w:bCs/>
        </w:rPr>
        <w:t>The Higher Education Hardship Fund is a discretionary fund, and Hull College reserves the right to make awards based on local circumstances, whilst using the NASMA guidance as ‘best practice’.</w:t>
      </w:r>
    </w:p>
    <w:p w14:paraId="13ADEF55" w14:textId="77777777" w:rsidR="00430A87" w:rsidRDefault="00430A87" w:rsidP="00EC6B19">
      <w:pPr>
        <w:pStyle w:val="Heading2"/>
        <w:jc w:val="left"/>
        <w:rPr>
          <w:b w:val="0"/>
          <w:bCs/>
        </w:rPr>
      </w:pPr>
    </w:p>
    <w:p w14:paraId="7C36E7F9" w14:textId="26548501" w:rsidR="0023296E" w:rsidRPr="0023296E" w:rsidRDefault="0023296E" w:rsidP="00745188">
      <w:pPr>
        <w:pStyle w:val="Heading1"/>
        <w:numPr>
          <w:ilvl w:val="1"/>
          <w:numId w:val="38"/>
        </w:numPr>
        <w:ind w:left="576" w:hanging="576"/>
      </w:pPr>
      <w:r w:rsidRPr="0023296E">
        <w:t>Diagnostic Assessments and £200 Disabled Student’s Allowance Contribution</w:t>
      </w:r>
    </w:p>
    <w:p w14:paraId="5A7B3097" w14:textId="24DED325" w:rsidR="0023296E" w:rsidRPr="0023296E" w:rsidRDefault="00430A87" w:rsidP="00EC6B19">
      <w:pPr>
        <w:pStyle w:val="Heading2"/>
        <w:jc w:val="left"/>
        <w:rPr>
          <w:b w:val="0"/>
          <w:bCs/>
        </w:rPr>
      </w:pPr>
      <w:r>
        <w:rPr>
          <w:b w:val="0"/>
          <w:bCs/>
        </w:rPr>
        <w:tab/>
      </w:r>
      <w:r w:rsidR="0023296E" w:rsidRPr="0023296E">
        <w:rPr>
          <w:b w:val="0"/>
          <w:bCs/>
        </w:rPr>
        <w:t>The Higher Education Support Fund may be used to cover the cost of a diagnostic assessment and/or the reimbursement of £200 towards the cost of a laptop for higher education students with Disabled Student’s’ Allowance.</w:t>
      </w:r>
    </w:p>
    <w:p w14:paraId="4304097D" w14:textId="1356E8EB" w:rsidR="0023296E" w:rsidRPr="0023296E" w:rsidRDefault="00430A87" w:rsidP="00EC6B19">
      <w:pPr>
        <w:pStyle w:val="Heading2"/>
        <w:jc w:val="left"/>
        <w:rPr>
          <w:b w:val="0"/>
          <w:bCs/>
        </w:rPr>
      </w:pPr>
      <w:r>
        <w:rPr>
          <w:b w:val="0"/>
          <w:bCs/>
        </w:rPr>
        <w:br/>
      </w:r>
      <w:r w:rsidR="0023296E" w:rsidRPr="0023296E">
        <w:rPr>
          <w:b w:val="0"/>
          <w:bCs/>
        </w:rPr>
        <w:t>This support is not provided on the condition of a specific attendance percentage or household income.</w:t>
      </w:r>
    </w:p>
    <w:p w14:paraId="0CECEB30" w14:textId="083234E0" w:rsidR="0023296E" w:rsidRPr="0023296E" w:rsidRDefault="00430A87" w:rsidP="00EC6B19">
      <w:pPr>
        <w:pStyle w:val="Heading2"/>
        <w:jc w:val="left"/>
        <w:rPr>
          <w:b w:val="0"/>
          <w:bCs/>
        </w:rPr>
      </w:pPr>
      <w:r>
        <w:rPr>
          <w:b w:val="0"/>
          <w:bCs/>
        </w:rPr>
        <w:br/>
      </w:r>
      <w:r w:rsidR="0023296E" w:rsidRPr="0023296E">
        <w:rPr>
          <w:b w:val="0"/>
          <w:bCs/>
        </w:rPr>
        <w:t>Once a diagnostic assessment has taken place, Central Support Service will send the invoice to the Learner Support Fund Co-ordinator for payment.</w:t>
      </w:r>
    </w:p>
    <w:p w14:paraId="4088236B" w14:textId="092F1C5F" w:rsidR="00C00A44" w:rsidRDefault="00430A87" w:rsidP="009B5A54">
      <w:pPr>
        <w:pStyle w:val="Heading2"/>
        <w:jc w:val="left"/>
        <w:rPr>
          <w:b w:val="0"/>
          <w:bCs/>
        </w:rPr>
      </w:pPr>
      <w:r>
        <w:rPr>
          <w:b w:val="0"/>
          <w:bCs/>
        </w:rPr>
        <w:br/>
      </w:r>
      <w:r w:rsidR="009B5A54">
        <w:rPr>
          <w:b w:val="0"/>
          <w:bCs/>
        </w:rPr>
        <w:br/>
      </w:r>
      <w:r w:rsidR="0023296E" w:rsidRPr="0023296E">
        <w:rPr>
          <w:b w:val="0"/>
          <w:bCs/>
        </w:rPr>
        <w:lastRenderedPageBreak/>
        <w:t xml:space="preserve">Students who require support to cover the cost of the £200 Disabled Student’s’ Allowance contribution towards a laptop must complete an application form and provide evidence of payment before they can be reimbursed. Applications should be submitted using the hardship form available on the website. </w:t>
      </w:r>
    </w:p>
    <w:p w14:paraId="618D547F" w14:textId="77777777" w:rsidR="009B5A54" w:rsidRDefault="009B5A54" w:rsidP="009B5A54">
      <w:pPr>
        <w:pStyle w:val="Heading2"/>
        <w:jc w:val="left"/>
        <w:rPr>
          <w:b w:val="0"/>
          <w:bCs/>
        </w:rPr>
      </w:pPr>
    </w:p>
    <w:p w14:paraId="48D6A46A" w14:textId="5C4D65FE" w:rsidR="0023296E" w:rsidRPr="0023296E" w:rsidRDefault="0023296E" w:rsidP="00745188">
      <w:pPr>
        <w:pStyle w:val="Heading1"/>
        <w:numPr>
          <w:ilvl w:val="1"/>
          <w:numId w:val="38"/>
        </w:numPr>
        <w:ind w:left="576" w:hanging="576"/>
      </w:pPr>
      <w:r w:rsidRPr="0023296E">
        <w:t>Short Term Loans</w:t>
      </w:r>
    </w:p>
    <w:p w14:paraId="6D6E4CBF" w14:textId="660B8407" w:rsidR="0023296E" w:rsidRPr="0023296E" w:rsidRDefault="00601D46" w:rsidP="29DB0C95">
      <w:pPr>
        <w:pStyle w:val="Heading2"/>
        <w:jc w:val="left"/>
        <w:rPr>
          <w:b w:val="0"/>
        </w:rPr>
      </w:pPr>
      <w:r>
        <w:rPr>
          <w:b w:val="0"/>
          <w:bCs/>
        </w:rPr>
        <w:tab/>
      </w:r>
      <w:r w:rsidR="0023296E" w:rsidRPr="29DB0C95">
        <w:rPr>
          <w:b w:val="0"/>
        </w:rPr>
        <w:t xml:space="preserve">Where a student’s Maintenance Loan is delayed, Hull College may provide a short-term loan to the student, the amount of which is at the discretion of the Hardship Fund co-ordinator, and no more than </w:t>
      </w:r>
      <w:r w:rsidR="0D097FB4" w:rsidRPr="29DB0C95">
        <w:rPr>
          <w:b w:val="0"/>
        </w:rPr>
        <w:t>a</w:t>
      </w:r>
      <w:r w:rsidR="0023296E" w:rsidRPr="29DB0C95">
        <w:rPr>
          <w:b w:val="0"/>
        </w:rPr>
        <w:t xml:space="preserve"> maximum £750. The decision will be based upon the individual student’s financial circumstance.</w:t>
      </w:r>
    </w:p>
    <w:p w14:paraId="3B833E36" w14:textId="381F8A33" w:rsidR="0023296E" w:rsidRPr="0023296E" w:rsidRDefault="00601D46" w:rsidP="00EC6B19">
      <w:pPr>
        <w:pStyle w:val="Heading2"/>
        <w:jc w:val="left"/>
        <w:rPr>
          <w:b w:val="0"/>
          <w:bCs/>
        </w:rPr>
      </w:pPr>
      <w:r>
        <w:rPr>
          <w:b w:val="0"/>
          <w:bCs/>
        </w:rPr>
        <w:br/>
      </w:r>
      <w:r w:rsidR="0023296E" w:rsidRPr="0023296E">
        <w:rPr>
          <w:b w:val="0"/>
          <w:bCs/>
        </w:rPr>
        <w:t>Students will only be provided with a short-term loan on completion of the application, and with full agreement to the terms and conditions of the loan. Where students do not adhere to the terms and conditions of the fund, an attempt will be made to retrieve the funds.</w:t>
      </w:r>
    </w:p>
    <w:p w14:paraId="34F67D27" w14:textId="2D05A9E2" w:rsidR="0023296E" w:rsidRPr="0023296E" w:rsidRDefault="00601D46" w:rsidP="00EC6B19">
      <w:pPr>
        <w:pStyle w:val="Heading2"/>
        <w:jc w:val="left"/>
        <w:rPr>
          <w:b w:val="0"/>
          <w:bCs/>
        </w:rPr>
      </w:pPr>
      <w:r>
        <w:rPr>
          <w:b w:val="0"/>
          <w:bCs/>
        </w:rPr>
        <w:br/>
      </w:r>
      <w:r w:rsidR="0023296E" w:rsidRPr="0023296E">
        <w:rPr>
          <w:b w:val="0"/>
          <w:bCs/>
        </w:rPr>
        <w:t>The Short-Term Loan must be paid back</w:t>
      </w:r>
    </w:p>
    <w:p w14:paraId="6F2C0B58" w14:textId="2F478F66" w:rsidR="0023296E" w:rsidRPr="0023296E" w:rsidRDefault="0023296E" w:rsidP="00EC6B19">
      <w:pPr>
        <w:pStyle w:val="Heading2"/>
        <w:ind w:left="936" w:hanging="360"/>
        <w:jc w:val="left"/>
        <w:rPr>
          <w:b w:val="0"/>
          <w:bCs/>
        </w:rPr>
      </w:pPr>
      <w:r w:rsidRPr="0023296E">
        <w:rPr>
          <w:b w:val="0"/>
          <w:bCs/>
        </w:rPr>
        <w:t xml:space="preserve">a) </w:t>
      </w:r>
      <w:r w:rsidR="00601D46">
        <w:rPr>
          <w:b w:val="0"/>
          <w:bCs/>
        </w:rPr>
        <w:tab/>
      </w:r>
      <w:r w:rsidRPr="0023296E">
        <w:rPr>
          <w:b w:val="0"/>
          <w:bCs/>
        </w:rPr>
        <w:t>within 10 days of receiving their first instalment of the main student loan</w:t>
      </w:r>
    </w:p>
    <w:p w14:paraId="07BC286E" w14:textId="6755058F" w:rsidR="0023296E" w:rsidRPr="0023296E" w:rsidRDefault="0023296E" w:rsidP="00EC6B19">
      <w:pPr>
        <w:pStyle w:val="Heading2"/>
        <w:ind w:left="936" w:hanging="360"/>
        <w:jc w:val="left"/>
        <w:rPr>
          <w:b w:val="0"/>
          <w:bCs/>
        </w:rPr>
      </w:pPr>
      <w:r w:rsidRPr="0023296E">
        <w:rPr>
          <w:b w:val="0"/>
          <w:bCs/>
        </w:rPr>
        <w:t xml:space="preserve">b) </w:t>
      </w:r>
      <w:r w:rsidR="00601D46">
        <w:rPr>
          <w:b w:val="0"/>
          <w:bCs/>
        </w:rPr>
        <w:tab/>
      </w:r>
      <w:r w:rsidRPr="0023296E">
        <w:rPr>
          <w:b w:val="0"/>
          <w:bCs/>
        </w:rPr>
        <w:t>when the student leaves the course; or</w:t>
      </w:r>
    </w:p>
    <w:p w14:paraId="5867C85F" w14:textId="43C3370F" w:rsidR="0023296E" w:rsidRPr="0023296E" w:rsidRDefault="0023296E" w:rsidP="00EC6B19">
      <w:pPr>
        <w:pStyle w:val="Heading2"/>
        <w:ind w:left="936" w:hanging="360"/>
        <w:jc w:val="left"/>
        <w:rPr>
          <w:b w:val="0"/>
          <w:bCs/>
        </w:rPr>
      </w:pPr>
      <w:r w:rsidRPr="0023296E">
        <w:rPr>
          <w:b w:val="0"/>
          <w:bCs/>
        </w:rPr>
        <w:t xml:space="preserve">c) </w:t>
      </w:r>
      <w:r w:rsidR="00601D46">
        <w:rPr>
          <w:b w:val="0"/>
          <w:bCs/>
        </w:rPr>
        <w:tab/>
      </w:r>
      <w:r w:rsidRPr="0023296E">
        <w:rPr>
          <w:b w:val="0"/>
          <w:bCs/>
        </w:rPr>
        <w:t>when the student receives the part-time Childcare Grant, whichever is earlier.</w:t>
      </w:r>
    </w:p>
    <w:p w14:paraId="207EB822" w14:textId="4D531765" w:rsidR="0023296E" w:rsidRPr="0023296E" w:rsidRDefault="00601D46" w:rsidP="00EC6B19">
      <w:pPr>
        <w:pStyle w:val="Heading2"/>
        <w:jc w:val="left"/>
        <w:rPr>
          <w:b w:val="0"/>
          <w:bCs/>
        </w:rPr>
      </w:pPr>
      <w:r>
        <w:rPr>
          <w:b w:val="0"/>
          <w:bCs/>
        </w:rPr>
        <w:br/>
      </w:r>
      <w:r w:rsidR="0023296E" w:rsidRPr="0023296E">
        <w:rPr>
          <w:b w:val="0"/>
          <w:bCs/>
        </w:rPr>
        <w:t>Any Higher Education Bursary which the student applies for will be withheld until the student returns their short-term loan in full.</w:t>
      </w:r>
    </w:p>
    <w:p w14:paraId="386ABF1A" w14:textId="33241ACF" w:rsidR="0023296E" w:rsidRPr="0023296E" w:rsidRDefault="00601D46" w:rsidP="00EC6B19">
      <w:pPr>
        <w:pStyle w:val="Heading2"/>
        <w:jc w:val="left"/>
        <w:rPr>
          <w:b w:val="0"/>
          <w:bCs/>
        </w:rPr>
      </w:pPr>
      <w:r>
        <w:rPr>
          <w:b w:val="0"/>
          <w:bCs/>
        </w:rPr>
        <w:br/>
      </w:r>
      <w:r w:rsidR="0023296E" w:rsidRPr="0023296E">
        <w:rPr>
          <w:b w:val="0"/>
          <w:bCs/>
        </w:rPr>
        <w:t>Funds are limited and will be available to eligible students on a first come first served basis.</w:t>
      </w:r>
    </w:p>
    <w:p w14:paraId="72321E9C" w14:textId="0B25414F" w:rsidR="0023296E" w:rsidRPr="0023296E" w:rsidRDefault="00601D46" w:rsidP="00EC6B19">
      <w:pPr>
        <w:pStyle w:val="Heading2"/>
        <w:jc w:val="left"/>
        <w:rPr>
          <w:b w:val="0"/>
          <w:bCs/>
        </w:rPr>
      </w:pPr>
      <w:r>
        <w:rPr>
          <w:b w:val="0"/>
          <w:bCs/>
        </w:rPr>
        <w:br/>
      </w:r>
      <w:r w:rsidR="0023296E" w:rsidRPr="0023296E">
        <w:rPr>
          <w:b w:val="0"/>
          <w:bCs/>
        </w:rPr>
        <w:t>Categories within the application will be capped:</w:t>
      </w:r>
    </w:p>
    <w:p w14:paraId="07CD4288" w14:textId="05730A1F" w:rsidR="0023296E" w:rsidRPr="0023296E" w:rsidRDefault="003312F3" w:rsidP="00EC6B19">
      <w:pPr>
        <w:pStyle w:val="Heading2"/>
        <w:ind w:left="936" w:hanging="360"/>
        <w:jc w:val="left"/>
        <w:rPr>
          <w:b w:val="0"/>
          <w:bCs/>
        </w:rPr>
      </w:pPr>
      <w:r>
        <w:rPr>
          <w:b w:val="0"/>
          <w:bCs/>
        </w:rPr>
        <w:tab/>
      </w:r>
      <w:r w:rsidR="0023296E" w:rsidRPr="0023296E">
        <w:rPr>
          <w:b w:val="0"/>
          <w:bCs/>
        </w:rPr>
        <w:t>Travel by bus will be based upon postcode and weekly tickets from EY Buses and Stagecoach</w:t>
      </w:r>
    </w:p>
    <w:p w14:paraId="687E189F" w14:textId="2957E815" w:rsidR="0023296E" w:rsidRPr="0023296E" w:rsidRDefault="003312F3" w:rsidP="00EC6B19">
      <w:pPr>
        <w:pStyle w:val="Heading2"/>
        <w:ind w:left="936" w:hanging="360"/>
        <w:jc w:val="left"/>
        <w:rPr>
          <w:b w:val="0"/>
          <w:bCs/>
        </w:rPr>
      </w:pPr>
      <w:r>
        <w:rPr>
          <w:b w:val="0"/>
          <w:bCs/>
        </w:rPr>
        <w:tab/>
      </w:r>
      <w:r w:rsidR="0023296E" w:rsidRPr="0023296E">
        <w:rPr>
          <w:b w:val="0"/>
          <w:bCs/>
        </w:rPr>
        <w:t>Travel by vehicle will be capped at £28 pw</w:t>
      </w:r>
    </w:p>
    <w:p w14:paraId="488374F6" w14:textId="2C6F3689" w:rsidR="0023296E" w:rsidRPr="0023296E" w:rsidRDefault="003312F3" w:rsidP="00EC6B19">
      <w:pPr>
        <w:pStyle w:val="Heading2"/>
        <w:ind w:left="936" w:hanging="360"/>
        <w:jc w:val="left"/>
        <w:rPr>
          <w:b w:val="0"/>
          <w:bCs/>
        </w:rPr>
      </w:pPr>
      <w:r>
        <w:rPr>
          <w:b w:val="0"/>
          <w:bCs/>
        </w:rPr>
        <w:tab/>
      </w:r>
      <w:r w:rsidR="0023296E" w:rsidRPr="0023296E">
        <w:rPr>
          <w:b w:val="0"/>
          <w:bCs/>
        </w:rPr>
        <w:t>Broadband fees are capped at £49 pm</w:t>
      </w:r>
    </w:p>
    <w:p w14:paraId="762ADC1A" w14:textId="418BF57E" w:rsidR="0023296E" w:rsidRPr="0023296E" w:rsidRDefault="003312F3" w:rsidP="00EC6B19">
      <w:pPr>
        <w:pStyle w:val="Heading2"/>
        <w:ind w:left="936" w:hanging="360"/>
        <w:jc w:val="left"/>
        <w:rPr>
          <w:b w:val="0"/>
          <w:bCs/>
        </w:rPr>
      </w:pPr>
      <w:r>
        <w:rPr>
          <w:b w:val="0"/>
          <w:bCs/>
        </w:rPr>
        <w:tab/>
      </w:r>
      <w:r w:rsidR="0023296E" w:rsidRPr="0023296E">
        <w:rPr>
          <w:b w:val="0"/>
          <w:bCs/>
        </w:rPr>
        <w:t>Course costs will be determined by each programme and represent the maximum expected contribution to be made by a student</w:t>
      </w:r>
    </w:p>
    <w:p w14:paraId="654AD05F" w14:textId="6685EEFD" w:rsidR="0023296E" w:rsidRPr="0023296E" w:rsidRDefault="003312F3" w:rsidP="29DB0C95">
      <w:pPr>
        <w:pStyle w:val="Heading2"/>
        <w:jc w:val="left"/>
        <w:rPr>
          <w:b w:val="0"/>
        </w:rPr>
      </w:pPr>
      <w:r>
        <w:br/>
      </w:r>
      <w:r w:rsidR="0023296E">
        <w:rPr>
          <w:b w:val="0"/>
        </w:rPr>
        <w:t>The overall cap for Hardship payments will be £</w:t>
      </w:r>
      <w:r w:rsidR="4E75C79C">
        <w:rPr>
          <w:b w:val="0"/>
        </w:rPr>
        <w:t>5</w:t>
      </w:r>
      <w:r w:rsidR="0023296E">
        <w:rPr>
          <w:b w:val="0"/>
        </w:rPr>
        <w:t xml:space="preserve">00. </w:t>
      </w:r>
    </w:p>
    <w:p w14:paraId="69D6D412" w14:textId="77777777" w:rsidR="005277C8" w:rsidRDefault="005277C8" w:rsidP="00EC6B19">
      <w:pPr>
        <w:pStyle w:val="Heading2"/>
        <w:jc w:val="left"/>
        <w:rPr>
          <w:b w:val="0"/>
          <w:bCs/>
        </w:rPr>
      </w:pPr>
    </w:p>
    <w:p w14:paraId="0228C154" w14:textId="02A42C3C" w:rsidR="0023296E" w:rsidRPr="005277C8" w:rsidRDefault="0023296E" w:rsidP="00745188">
      <w:pPr>
        <w:pStyle w:val="Heading1"/>
        <w:numPr>
          <w:ilvl w:val="1"/>
          <w:numId w:val="38"/>
        </w:numPr>
        <w:ind w:left="576" w:hanging="576"/>
      </w:pPr>
      <w:r w:rsidRPr="005277C8">
        <w:t>Exceptional Circumstances</w:t>
      </w:r>
    </w:p>
    <w:p w14:paraId="708D6DCF" w14:textId="54B6FD85" w:rsidR="0023296E" w:rsidRPr="0023296E" w:rsidRDefault="005277C8" w:rsidP="29DB0C95">
      <w:pPr>
        <w:pStyle w:val="Heading2"/>
        <w:jc w:val="left"/>
        <w:rPr>
          <w:b w:val="0"/>
        </w:rPr>
      </w:pPr>
      <w:r>
        <w:rPr>
          <w:b w:val="0"/>
          <w:bCs/>
        </w:rPr>
        <w:tab/>
      </w:r>
      <w:r w:rsidR="0023296E" w:rsidRPr="29DB0C95">
        <w:rPr>
          <w:b w:val="0"/>
        </w:rPr>
        <w:t xml:space="preserve">Support provided to learners may change in-year </w:t>
      </w:r>
      <w:proofErr w:type="gramStart"/>
      <w:r w:rsidR="0023296E" w:rsidRPr="29DB0C95">
        <w:rPr>
          <w:b w:val="0"/>
        </w:rPr>
        <w:t>as a result of</w:t>
      </w:r>
      <w:proofErr w:type="gramEnd"/>
      <w:r w:rsidR="0023296E" w:rsidRPr="29DB0C95">
        <w:rPr>
          <w:b w:val="0"/>
        </w:rPr>
        <w:t xml:space="preserve"> exceptional circumstances</w:t>
      </w:r>
      <w:r w:rsidR="4BAF2904" w:rsidRPr="29DB0C95">
        <w:rPr>
          <w:b w:val="0"/>
        </w:rPr>
        <w:t>.</w:t>
      </w:r>
      <w:r w:rsidR="0023296E" w:rsidRPr="29DB0C95">
        <w:rPr>
          <w:b w:val="0"/>
        </w:rPr>
        <w:t xml:space="preserve"> Hull College will provide support to learners based on what </w:t>
      </w:r>
      <w:proofErr w:type="gramStart"/>
      <w:r w:rsidR="0023296E" w:rsidRPr="29DB0C95">
        <w:rPr>
          <w:b w:val="0"/>
        </w:rPr>
        <w:t>is considered to be</w:t>
      </w:r>
      <w:proofErr w:type="gramEnd"/>
      <w:r w:rsidR="0023296E" w:rsidRPr="29DB0C95">
        <w:rPr>
          <w:b w:val="0"/>
        </w:rPr>
        <w:t xml:space="preserve"> the most financially viable, to ensure that funds are used effectively and can reach as many eligible learners as possible.</w:t>
      </w:r>
    </w:p>
    <w:p w14:paraId="1A6DAB5C" w14:textId="35F3428D" w:rsidR="0023296E" w:rsidRPr="0023296E" w:rsidRDefault="005277C8" w:rsidP="29DB0C95">
      <w:pPr>
        <w:pStyle w:val="Heading2"/>
        <w:jc w:val="left"/>
        <w:rPr>
          <w:b w:val="0"/>
        </w:rPr>
      </w:pPr>
      <w:r>
        <w:br/>
      </w:r>
      <w:r w:rsidR="0023296E">
        <w:rPr>
          <w:b w:val="0"/>
        </w:rPr>
        <w:t xml:space="preserve">Where it is assumed that most students are able to supplement their income from part-time work, students would need to provide evidence to demonstrate that their employment has ceased as a direct result of </w:t>
      </w:r>
      <w:r w:rsidR="486E1153">
        <w:rPr>
          <w:b w:val="0"/>
        </w:rPr>
        <w:t>exceptional circumstances</w:t>
      </w:r>
      <w:r w:rsidR="00DA39FF">
        <w:rPr>
          <w:b w:val="0"/>
        </w:rPr>
        <w:t>,</w:t>
      </w:r>
      <w:r w:rsidR="0023296E">
        <w:rPr>
          <w:b w:val="0"/>
        </w:rPr>
        <w:t xml:space="preserve"> evidence could be in the form of a letter from the employer</w:t>
      </w:r>
      <w:r w:rsidR="519305D7">
        <w:rPr>
          <w:b w:val="0"/>
        </w:rPr>
        <w:t xml:space="preserve"> or m</w:t>
      </w:r>
      <w:r w:rsidR="0628ECB5">
        <w:rPr>
          <w:b w:val="0"/>
        </w:rPr>
        <w:t xml:space="preserve">edical professional </w:t>
      </w:r>
      <w:r w:rsidR="0023296E">
        <w:rPr>
          <w:b w:val="0"/>
        </w:rPr>
        <w:t>and bank statements showing that they no longer receive a wage.</w:t>
      </w:r>
    </w:p>
    <w:p w14:paraId="7C53A962" w14:textId="37B48129" w:rsidR="0023296E" w:rsidRPr="0023296E" w:rsidRDefault="005277C8" w:rsidP="00EC6B19">
      <w:pPr>
        <w:pStyle w:val="Heading2"/>
        <w:jc w:val="left"/>
        <w:rPr>
          <w:b w:val="0"/>
          <w:bCs/>
        </w:rPr>
      </w:pPr>
      <w:r>
        <w:rPr>
          <w:b w:val="0"/>
          <w:bCs/>
        </w:rPr>
        <w:br/>
      </w:r>
      <w:r w:rsidR="0023296E" w:rsidRPr="0023296E">
        <w:rPr>
          <w:b w:val="0"/>
          <w:bCs/>
        </w:rPr>
        <w:t>Learners who do not demonstrate behaviours in line with the student code of conduct may have their support cancelled.</w:t>
      </w:r>
    </w:p>
    <w:p w14:paraId="02D9170B" w14:textId="77777777" w:rsidR="005277C8" w:rsidRDefault="005277C8" w:rsidP="00EC6B19">
      <w:pPr>
        <w:pStyle w:val="Heading2"/>
        <w:jc w:val="left"/>
        <w:rPr>
          <w:b w:val="0"/>
          <w:bCs/>
        </w:rPr>
      </w:pPr>
    </w:p>
    <w:p w14:paraId="309600F3" w14:textId="7FA5EF09" w:rsidR="0023296E" w:rsidRPr="0023296E" w:rsidRDefault="0023296E" w:rsidP="00745188">
      <w:pPr>
        <w:pStyle w:val="Heading1"/>
        <w:numPr>
          <w:ilvl w:val="0"/>
          <w:numId w:val="38"/>
        </w:numPr>
        <w:ind w:left="576" w:hanging="576"/>
      </w:pPr>
      <w:r w:rsidRPr="0023296E">
        <w:t>Appealing against a decision</w:t>
      </w:r>
    </w:p>
    <w:p w14:paraId="05AF36EF" w14:textId="4BE6B092" w:rsidR="0023296E" w:rsidRPr="0023296E" w:rsidRDefault="005277C8" w:rsidP="00EC6B19">
      <w:pPr>
        <w:pStyle w:val="Heading2"/>
        <w:jc w:val="left"/>
        <w:rPr>
          <w:b w:val="0"/>
          <w:bCs/>
        </w:rPr>
      </w:pPr>
      <w:r>
        <w:rPr>
          <w:b w:val="0"/>
          <w:bCs/>
        </w:rPr>
        <w:tab/>
      </w:r>
      <w:r w:rsidR="0023296E" w:rsidRPr="0023296E">
        <w:rPr>
          <w:b w:val="0"/>
          <w:bCs/>
        </w:rPr>
        <w:t>If a student is unsuccessful in their application for financial support and there is a change to their financial situation, they should submit an appeal in writing within 10 working days of being informed of the decision using the appeals online form providing full details as required by the form.</w:t>
      </w:r>
    </w:p>
    <w:p w14:paraId="7E9F6F5E" w14:textId="77777777" w:rsidR="00F647FA" w:rsidRDefault="00F647FA" w:rsidP="00EC6B19">
      <w:pPr>
        <w:pStyle w:val="Heading2"/>
        <w:jc w:val="left"/>
        <w:rPr>
          <w:b w:val="0"/>
          <w:bCs/>
        </w:rPr>
      </w:pPr>
    </w:p>
    <w:p w14:paraId="2DDB1B55" w14:textId="05EF69F3" w:rsidR="0023296E" w:rsidRPr="00745188" w:rsidRDefault="00745188" w:rsidP="00EC6B19">
      <w:pPr>
        <w:pStyle w:val="Heading2"/>
        <w:jc w:val="left"/>
      </w:pPr>
      <w:r>
        <w:rPr>
          <w:b w:val="0"/>
          <w:bCs/>
        </w:rPr>
        <w:lastRenderedPageBreak/>
        <w:t>5.1</w:t>
      </w:r>
      <w:r>
        <w:rPr>
          <w:b w:val="0"/>
          <w:bCs/>
        </w:rPr>
        <w:tab/>
      </w:r>
      <w:r w:rsidR="0023296E" w:rsidRPr="00745188">
        <w:t>Student Responsibilities</w:t>
      </w:r>
    </w:p>
    <w:p w14:paraId="49B461AC" w14:textId="0E55DD51" w:rsidR="0023296E" w:rsidRPr="0023296E" w:rsidRDefault="00745188" w:rsidP="00EC6B19">
      <w:pPr>
        <w:pStyle w:val="Heading2"/>
        <w:jc w:val="left"/>
        <w:rPr>
          <w:b w:val="0"/>
          <w:bCs/>
        </w:rPr>
      </w:pPr>
      <w:r>
        <w:rPr>
          <w:b w:val="0"/>
          <w:bCs/>
        </w:rPr>
        <w:tab/>
      </w:r>
      <w:r w:rsidR="0023296E" w:rsidRPr="0023296E">
        <w:rPr>
          <w:b w:val="0"/>
          <w:bCs/>
        </w:rPr>
        <w:t>Student entitlements are most likely to be met in full when a student fully acknowledges and actively engages in fulfilling their responsibilities by:</w:t>
      </w:r>
    </w:p>
    <w:p w14:paraId="2813DC80" w14:textId="3ACB16FA" w:rsidR="0023296E" w:rsidRPr="0023296E" w:rsidRDefault="0023296E" w:rsidP="00745188">
      <w:pPr>
        <w:pStyle w:val="Heading2"/>
        <w:ind w:left="936" w:hanging="360"/>
        <w:jc w:val="left"/>
        <w:rPr>
          <w:b w:val="0"/>
          <w:bCs/>
        </w:rPr>
      </w:pPr>
      <w:r w:rsidRPr="0023296E">
        <w:rPr>
          <w:b w:val="0"/>
          <w:bCs/>
        </w:rPr>
        <w:t xml:space="preserve">• </w:t>
      </w:r>
      <w:r w:rsidR="00745188">
        <w:rPr>
          <w:b w:val="0"/>
          <w:bCs/>
        </w:rPr>
        <w:tab/>
      </w:r>
      <w:r w:rsidRPr="0023296E">
        <w:rPr>
          <w:b w:val="0"/>
          <w:bCs/>
        </w:rPr>
        <w:t>Conducting themselves in a fit and proper manner displaying reasonable behaviour.</w:t>
      </w:r>
    </w:p>
    <w:p w14:paraId="1CFEEC40" w14:textId="1C3D3B41" w:rsidR="0023296E" w:rsidRPr="0023296E" w:rsidRDefault="0023296E" w:rsidP="00745188">
      <w:pPr>
        <w:pStyle w:val="Heading2"/>
        <w:ind w:left="936" w:hanging="360"/>
        <w:jc w:val="left"/>
        <w:rPr>
          <w:b w:val="0"/>
          <w:bCs/>
        </w:rPr>
      </w:pPr>
      <w:r w:rsidRPr="0023296E">
        <w:rPr>
          <w:b w:val="0"/>
          <w:bCs/>
        </w:rPr>
        <w:t xml:space="preserve">• </w:t>
      </w:r>
      <w:r w:rsidR="00745188">
        <w:rPr>
          <w:b w:val="0"/>
          <w:bCs/>
        </w:rPr>
        <w:tab/>
      </w:r>
      <w:r w:rsidRPr="0023296E">
        <w:rPr>
          <w:b w:val="0"/>
          <w:bCs/>
        </w:rPr>
        <w:t>Taking responsibility for their own behaviour.</w:t>
      </w:r>
    </w:p>
    <w:p w14:paraId="7ABA0D3E" w14:textId="7416FC8F" w:rsidR="0023296E" w:rsidRPr="0023296E" w:rsidRDefault="0023296E" w:rsidP="00745188">
      <w:pPr>
        <w:pStyle w:val="Heading2"/>
        <w:ind w:left="936" w:hanging="360"/>
        <w:jc w:val="left"/>
        <w:rPr>
          <w:b w:val="0"/>
          <w:bCs/>
        </w:rPr>
      </w:pPr>
      <w:r w:rsidRPr="0023296E">
        <w:rPr>
          <w:b w:val="0"/>
          <w:bCs/>
        </w:rPr>
        <w:t xml:space="preserve">• </w:t>
      </w:r>
      <w:r w:rsidR="00745188">
        <w:rPr>
          <w:b w:val="0"/>
          <w:bCs/>
        </w:rPr>
        <w:tab/>
      </w:r>
      <w:r w:rsidRPr="0023296E">
        <w:rPr>
          <w:b w:val="0"/>
          <w:bCs/>
        </w:rPr>
        <w:t>Providing a fully complete and accurate application with correct eligibility evidence.</w:t>
      </w:r>
    </w:p>
    <w:p w14:paraId="4E9AF3FE" w14:textId="30E3F2E2" w:rsidR="0023296E" w:rsidRPr="0023296E" w:rsidRDefault="0023296E" w:rsidP="00745188">
      <w:pPr>
        <w:pStyle w:val="Heading2"/>
        <w:ind w:left="936" w:hanging="360"/>
        <w:jc w:val="left"/>
        <w:rPr>
          <w:b w:val="0"/>
          <w:bCs/>
        </w:rPr>
      </w:pPr>
      <w:r w:rsidRPr="0023296E">
        <w:rPr>
          <w:b w:val="0"/>
          <w:bCs/>
        </w:rPr>
        <w:t xml:space="preserve">• </w:t>
      </w:r>
      <w:r w:rsidR="00745188">
        <w:rPr>
          <w:b w:val="0"/>
          <w:bCs/>
        </w:rPr>
        <w:tab/>
      </w:r>
      <w:r w:rsidRPr="0023296E">
        <w:rPr>
          <w:b w:val="0"/>
          <w:bCs/>
        </w:rPr>
        <w:t>Have at least 90% attendance at College for all parts of their course.</w:t>
      </w:r>
    </w:p>
    <w:p w14:paraId="298F237A" w14:textId="33E9A889" w:rsidR="0023296E" w:rsidRPr="0023296E" w:rsidRDefault="0023296E" w:rsidP="00745188">
      <w:pPr>
        <w:pStyle w:val="Heading2"/>
        <w:ind w:left="936" w:hanging="360"/>
        <w:jc w:val="left"/>
        <w:rPr>
          <w:b w:val="0"/>
          <w:bCs/>
        </w:rPr>
      </w:pPr>
      <w:r w:rsidRPr="0023296E">
        <w:rPr>
          <w:b w:val="0"/>
          <w:bCs/>
        </w:rPr>
        <w:t xml:space="preserve">• </w:t>
      </w:r>
      <w:r w:rsidR="00745188">
        <w:rPr>
          <w:b w:val="0"/>
          <w:bCs/>
        </w:rPr>
        <w:tab/>
      </w:r>
      <w:r w:rsidRPr="0023296E">
        <w:rPr>
          <w:b w:val="0"/>
          <w:bCs/>
        </w:rPr>
        <w:t>Inform Student Services and Student Engagement Officer of any changes which will affect their support.</w:t>
      </w:r>
    </w:p>
    <w:p w14:paraId="7350CEBE" w14:textId="25F360D8" w:rsidR="0023296E" w:rsidRPr="0023296E" w:rsidRDefault="0023296E" w:rsidP="00745188">
      <w:pPr>
        <w:pStyle w:val="Heading2"/>
        <w:ind w:left="936" w:hanging="360"/>
        <w:jc w:val="left"/>
        <w:rPr>
          <w:b w:val="0"/>
          <w:bCs/>
        </w:rPr>
      </w:pPr>
      <w:r w:rsidRPr="0023296E">
        <w:rPr>
          <w:b w:val="0"/>
          <w:bCs/>
        </w:rPr>
        <w:t xml:space="preserve">• </w:t>
      </w:r>
      <w:r w:rsidR="00745188">
        <w:rPr>
          <w:b w:val="0"/>
          <w:bCs/>
        </w:rPr>
        <w:tab/>
      </w:r>
      <w:r w:rsidRPr="0023296E">
        <w:rPr>
          <w:b w:val="0"/>
          <w:bCs/>
        </w:rPr>
        <w:t>Inform Student Services and Student Engagement Officer immediately if they withdraw from their course.</w:t>
      </w:r>
    </w:p>
    <w:p w14:paraId="7E183D8A" w14:textId="04D7067B" w:rsidR="0023296E" w:rsidRPr="0023296E" w:rsidRDefault="0023296E" w:rsidP="00745188">
      <w:pPr>
        <w:pStyle w:val="Heading2"/>
        <w:ind w:left="936" w:hanging="360"/>
        <w:jc w:val="left"/>
        <w:rPr>
          <w:b w:val="0"/>
          <w:bCs/>
        </w:rPr>
      </w:pPr>
      <w:r w:rsidRPr="0023296E">
        <w:rPr>
          <w:b w:val="0"/>
          <w:bCs/>
        </w:rPr>
        <w:t xml:space="preserve">• </w:t>
      </w:r>
      <w:r w:rsidR="00745188">
        <w:rPr>
          <w:b w:val="0"/>
          <w:bCs/>
        </w:rPr>
        <w:tab/>
      </w:r>
      <w:r w:rsidRPr="0023296E">
        <w:rPr>
          <w:b w:val="0"/>
          <w:bCs/>
        </w:rPr>
        <w:t>Engaging with both Student Services, Student Engagement Officer and financial management organisations to actively undertake financial responsibility.</w:t>
      </w:r>
    </w:p>
    <w:p w14:paraId="02FDD458" w14:textId="48203F27" w:rsidR="0023296E" w:rsidRPr="0023296E" w:rsidRDefault="0023296E" w:rsidP="00745188">
      <w:pPr>
        <w:pStyle w:val="Heading2"/>
        <w:ind w:left="936" w:hanging="360"/>
        <w:jc w:val="left"/>
        <w:rPr>
          <w:b w:val="0"/>
          <w:bCs/>
        </w:rPr>
      </w:pPr>
      <w:r w:rsidRPr="0023296E">
        <w:rPr>
          <w:b w:val="0"/>
          <w:bCs/>
        </w:rPr>
        <w:t xml:space="preserve">• </w:t>
      </w:r>
      <w:r w:rsidR="00745188">
        <w:rPr>
          <w:b w:val="0"/>
          <w:bCs/>
        </w:rPr>
        <w:tab/>
      </w:r>
      <w:r w:rsidRPr="0023296E">
        <w:rPr>
          <w:b w:val="0"/>
          <w:bCs/>
        </w:rPr>
        <w:t>Adhering to the terms and conditions of the support fund outlined in the application form.</w:t>
      </w:r>
    </w:p>
    <w:p w14:paraId="1D9E0FEA" w14:textId="77777777" w:rsidR="00922DAC" w:rsidRDefault="00922DAC" w:rsidP="00922DAC">
      <w:pPr>
        <w:pStyle w:val="Heading2"/>
        <w:jc w:val="left"/>
        <w:rPr>
          <w:b w:val="0"/>
          <w:bCs/>
        </w:rPr>
      </w:pPr>
    </w:p>
    <w:p w14:paraId="5EC7D529" w14:textId="6EE4C61B" w:rsidR="0023296E" w:rsidRPr="00922DAC" w:rsidRDefault="00922DAC" w:rsidP="00922DAC">
      <w:pPr>
        <w:pStyle w:val="Heading2"/>
        <w:jc w:val="left"/>
      </w:pPr>
      <w:r>
        <w:rPr>
          <w:b w:val="0"/>
          <w:bCs/>
        </w:rPr>
        <w:t>5.2</w:t>
      </w:r>
      <w:r>
        <w:rPr>
          <w:b w:val="0"/>
          <w:bCs/>
        </w:rPr>
        <w:tab/>
      </w:r>
      <w:r w:rsidR="0023296E" w:rsidRPr="00922DAC">
        <w:t>Staff Responsibilities</w:t>
      </w:r>
    </w:p>
    <w:p w14:paraId="334971A5" w14:textId="5990FD4E" w:rsidR="0023296E" w:rsidRPr="0023296E" w:rsidRDefault="0023296E" w:rsidP="00745188">
      <w:pPr>
        <w:pStyle w:val="Heading2"/>
        <w:ind w:left="936" w:hanging="360"/>
        <w:jc w:val="left"/>
        <w:rPr>
          <w:b w:val="0"/>
          <w:bCs/>
        </w:rPr>
      </w:pPr>
      <w:r w:rsidRPr="0023296E">
        <w:rPr>
          <w:b w:val="0"/>
          <w:bCs/>
        </w:rPr>
        <w:t xml:space="preserve">• </w:t>
      </w:r>
      <w:r w:rsidR="00922DAC">
        <w:rPr>
          <w:b w:val="0"/>
          <w:bCs/>
        </w:rPr>
        <w:tab/>
      </w:r>
      <w:r w:rsidRPr="0023296E">
        <w:rPr>
          <w:b w:val="0"/>
          <w:bCs/>
        </w:rPr>
        <w:t>Registers are completed in a timely manner in line with Hull College policy.</w:t>
      </w:r>
    </w:p>
    <w:p w14:paraId="23999911" w14:textId="2A529126" w:rsidR="0023296E" w:rsidRPr="0023296E" w:rsidRDefault="0023296E" w:rsidP="00745188">
      <w:pPr>
        <w:pStyle w:val="Heading2"/>
        <w:ind w:left="936" w:hanging="360"/>
        <w:jc w:val="left"/>
        <w:rPr>
          <w:b w:val="0"/>
          <w:bCs/>
        </w:rPr>
      </w:pPr>
      <w:r w:rsidRPr="0023296E">
        <w:rPr>
          <w:b w:val="0"/>
          <w:bCs/>
        </w:rPr>
        <w:t xml:space="preserve">• </w:t>
      </w:r>
      <w:r w:rsidR="00922DAC">
        <w:rPr>
          <w:b w:val="0"/>
          <w:bCs/>
        </w:rPr>
        <w:tab/>
      </w:r>
      <w:r w:rsidRPr="0023296E">
        <w:rPr>
          <w:b w:val="0"/>
          <w:bCs/>
        </w:rPr>
        <w:t>Financial assessments will be carried out by Student Services and monitoring and payment authorisation will be processed by Finance, with payments made by Access Pay.</w:t>
      </w:r>
    </w:p>
    <w:p w14:paraId="5691D7A6" w14:textId="3C97234A" w:rsidR="0023296E" w:rsidRPr="0023296E" w:rsidRDefault="0023296E" w:rsidP="00745188">
      <w:pPr>
        <w:pStyle w:val="Heading2"/>
        <w:ind w:left="936" w:hanging="360"/>
        <w:jc w:val="left"/>
        <w:rPr>
          <w:b w:val="0"/>
          <w:bCs/>
        </w:rPr>
      </w:pPr>
      <w:r w:rsidRPr="0023296E">
        <w:rPr>
          <w:b w:val="0"/>
          <w:bCs/>
        </w:rPr>
        <w:t xml:space="preserve">• </w:t>
      </w:r>
      <w:r w:rsidR="00922DAC">
        <w:rPr>
          <w:b w:val="0"/>
          <w:bCs/>
        </w:rPr>
        <w:tab/>
      </w:r>
      <w:r w:rsidRPr="0023296E">
        <w:rPr>
          <w:b w:val="0"/>
          <w:bCs/>
        </w:rPr>
        <w:t>ICT Services personnel working with Finance, Learner Services personnel will be responsible for the on-going development and maintenance of any IT systems related to the payment of students.</w:t>
      </w:r>
    </w:p>
    <w:p w14:paraId="340AD72B" w14:textId="0D31A879" w:rsidR="0023296E" w:rsidRPr="0023296E" w:rsidRDefault="0023296E" w:rsidP="00745188">
      <w:pPr>
        <w:pStyle w:val="Heading2"/>
        <w:ind w:left="936" w:hanging="360"/>
        <w:jc w:val="left"/>
        <w:rPr>
          <w:b w:val="0"/>
          <w:bCs/>
        </w:rPr>
      </w:pPr>
      <w:r w:rsidRPr="0023296E">
        <w:rPr>
          <w:b w:val="0"/>
          <w:bCs/>
        </w:rPr>
        <w:t xml:space="preserve">• </w:t>
      </w:r>
      <w:r w:rsidR="00922DAC">
        <w:rPr>
          <w:b w:val="0"/>
          <w:bCs/>
        </w:rPr>
        <w:tab/>
      </w:r>
      <w:r w:rsidRPr="0023296E">
        <w:rPr>
          <w:b w:val="0"/>
          <w:bCs/>
        </w:rPr>
        <w:t>Curriculum staff will be made aware of the payment schedule and must ensure that attendance data via e-registers is available for analysis prior to payments being made.</w:t>
      </w:r>
    </w:p>
    <w:p w14:paraId="1EED5AA0" w14:textId="4518F496" w:rsidR="0023296E" w:rsidRPr="0023296E" w:rsidRDefault="0023296E" w:rsidP="00745188">
      <w:pPr>
        <w:pStyle w:val="Heading2"/>
        <w:ind w:left="936" w:hanging="360"/>
        <w:jc w:val="left"/>
        <w:rPr>
          <w:b w:val="0"/>
          <w:bCs/>
        </w:rPr>
      </w:pPr>
      <w:r w:rsidRPr="0023296E">
        <w:rPr>
          <w:b w:val="0"/>
          <w:bCs/>
        </w:rPr>
        <w:t xml:space="preserve">• </w:t>
      </w:r>
      <w:r w:rsidR="00922DAC">
        <w:rPr>
          <w:b w:val="0"/>
          <w:bCs/>
        </w:rPr>
        <w:tab/>
      </w:r>
      <w:r w:rsidRPr="0023296E">
        <w:rPr>
          <w:b w:val="0"/>
          <w:bCs/>
        </w:rPr>
        <w:t>Finance staff will be responsible for the on-going monitoring of funds and student data, for the verification of monthly financial transaction reports and ensuring full compliance with audit requirements.</w:t>
      </w:r>
    </w:p>
    <w:p w14:paraId="12BA62FA" w14:textId="696BF508" w:rsidR="0023296E" w:rsidRPr="0023296E" w:rsidRDefault="0023296E" w:rsidP="00745188">
      <w:pPr>
        <w:pStyle w:val="Heading2"/>
        <w:ind w:left="936" w:hanging="360"/>
        <w:jc w:val="left"/>
        <w:rPr>
          <w:b w:val="0"/>
          <w:bCs/>
        </w:rPr>
      </w:pPr>
      <w:r w:rsidRPr="0023296E">
        <w:rPr>
          <w:b w:val="0"/>
          <w:bCs/>
        </w:rPr>
        <w:t xml:space="preserve">• </w:t>
      </w:r>
      <w:r w:rsidR="00922DAC">
        <w:rPr>
          <w:b w:val="0"/>
          <w:bCs/>
        </w:rPr>
        <w:tab/>
      </w:r>
      <w:r w:rsidRPr="0023296E">
        <w:rPr>
          <w:b w:val="0"/>
          <w:bCs/>
        </w:rPr>
        <w:t>The student’s bank details will be stored securely and deleted from records at the end of the academic year.</w:t>
      </w:r>
    </w:p>
    <w:p w14:paraId="1373C2CD" w14:textId="6DA42C3D" w:rsidR="0023296E" w:rsidRPr="0023296E" w:rsidRDefault="0023296E" w:rsidP="00745188">
      <w:pPr>
        <w:pStyle w:val="Heading2"/>
        <w:ind w:left="936" w:hanging="360"/>
        <w:jc w:val="left"/>
        <w:rPr>
          <w:b w:val="0"/>
          <w:bCs/>
        </w:rPr>
      </w:pPr>
      <w:r w:rsidRPr="0023296E">
        <w:rPr>
          <w:b w:val="0"/>
          <w:bCs/>
        </w:rPr>
        <w:t xml:space="preserve">• </w:t>
      </w:r>
      <w:r w:rsidR="00922DAC">
        <w:rPr>
          <w:b w:val="0"/>
          <w:bCs/>
        </w:rPr>
        <w:tab/>
      </w:r>
      <w:r w:rsidRPr="0023296E">
        <w:rPr>
          <w:b w:val="0"/>
          <w:bCs/>
        </w:rPr>
        <w:t>Students are made aware of this policy in the Induction delivered by Student Services  and Engagement Officer and through the website.</w:t>
      </w:r>
    </w:p>
    <w:p w14:paraId="71FF6098" w14:textId="77777777" w:rsidR="00745188" w:rsidRDefault="00745188" w:rsidP="00EC6B19">
      <w:pPr>
        <w:pStyle w:val="Heading2"/>
        <w:jc w:val="left"/>
        <w:rPr>
          <w:b w:val="0"/>
          <w:bCs/>
        </w:rPr>
      </w:pPr>
    </w:p>
    <w:p w14:paraId="5B04EBDE" w14:textId="2BE21ABB" w:rsidR="0023296E" w:rsidRPr="00922DAC" w:rsidRDefault="00922DAC" w:rsidP="00EC6B19">
      <w:pPr>
        <w:pStyle w:val="Heading2"/>
        <w:jc w:val="left"/>
      </w:pPr>
      <w:r w:rsidRPr="00922DAC">
        <w:t>6</w:t>
      </w:r>
      <w:r w:rsidR="0023296E" w:rsidRPr="00922DAC">
        <w:t xml:space="preserve">. </w:t>
      </w:r>
      <w:r>
        <w:tab/>
      </w:r>
      <w:r w:rsidR="0023296E" w:rsidRPr="00922DAC">
        <w:t>College Management Responsibilities:</w:t>
      </w:r>
    </w:p>
    <w:p w14:paraId="66D982BB" w14:textId="6CA0C27A" w:rsidR="0023296E" w:rsidRPr="0023296E" w:rsidRDefault="0023296E" w:rsidP="00922DAC">
      <w:pPr>
        <w:pStyle w:val="Heading2"/>
        <w:ind w:left="936" w:hanging="360"/>
        <w:jc w:val="left"/>
        <w:rPr>
          <w:b w:val="0"/>
          <w:bCs/>
        </w:rPr>
      </w:pPr>
      <w:r w:rsidRPr="0023296E">
        <w:rPr>
          <w:b w:val="0"/>
          <w:bCs/>
        </w:rPr>
        <w:t xml:space="preserve">a. </w:t>
      </w:r>
      <w:r w:rsidR="00922DAC">
        <w:rPr>
          <w:b w:val="0"/>
          <w:bCs/>
        </w:rPr>
        <w:tab/>
      </w:r>
      <w:r w:rsidRPr="0023296E">
        <w:rPr>
          <w:b w:val="0"/>
          <w:bCs/>
        </w:rPr>
        <w:t>The Hardship Funds team have the resources necessary to ensure students receive the determined support on time.</w:t>
      </w:r>
    </w:p>
    <w:p w14:paraId="41792D08" w14:textId="6E51B3E9" w:rsidR="0023296E" w:rsidRPr="0023296E" w:rsidRDefault="0023296E" w:rsidP="00922DAC">
      <w:pPr>
        <w:pStyle w:val="Heading2"/>
        <w:ind w:left="936" w:hanging="360"/>
        <w:jc w:val="left"/>
        <w:rPr>
          <w:b w:val="0"/>
          <w:bCs/>
        </w:rPr>
      </w:pPr>
      <w:r w:rsidRPr="0023296E">
        <w:rPr>
          <w:b w:val="0"/>
          <w:bCs/>
        </w:rPr>
        <w:t xml:space="preserve">b. </w:t>
      </w:r>
      <w:r w:rsidR="00922DAC">
        <w:rPr>
          <w:b w:val="0"/>
          <w:bCs/>
        </w:rPr>
        <w:tab/>
      </w:r>
      <w:r w:rsidRPr="0023296E">
        <w:rPr>
          <w:b w:val="0"/>
          <w:bCs/>
        </w:rPr>
        <w:t>Support remains within budget and funds are used to ensure as many students as possible in financial hardship are supported.</w:t>
      </w:r>
    </w:p>
    <w:p w14:paraId="10FA8D7C" w14:textId="77777777" w:rsidR="00922DAC" w:rsidRDefault="00922DAC" w:rsidP="00922DAC">
      <w:pPr>
        <w:pStyle w:val="Heading2"/>
        <w:ind w:left="0" w:firstLine="0"/>
        <w:jc w:val="left"/>
        <w:rPr>
          <w:b w:val="0"/>
          <w:bCs/>
        </w:rPr>
      </w:pPr>
    </w:p>
    <w:p w14:paraId="60C1515D" w14:textId="7D4F4073" w:rsidR="0023296E" w:rsidRPr="00495FF4" w:rsidRDefault="00922DAC" w:rsidP="00C032F7">
      <w:pPr>
        <w:pStyle w:val="Heading2"/>
        <w:jc w:val="left"/>
      </w:pPr>
      <w:r>
        <w:rPr>
          <w:b w:val="0"/>
          <w:bCs/>
        </w:rPr>
        <w:t>6.1</w:t>
      </w:r>
      <w:r>
        <w:rPr>
          <w:b w:val="0"/>
          <w:bCs/>
        </w:rPr>
        <w:tab/>
      </w:r>
      <w:r w:rsidR="0023296E" w:rsidRPr="00495FF4">
        <w:t>Standards by which the success of this policy can be evaluated</w:t>
      </w:r>
    </w:p>
    <w:p w14:paraId="735B453B" w14:textId="4CA96BCF" w:rsidR="0023296E" w:rsidRPr="0023296E" w:rsidRDefault="00495FF4" w:rsidP="00EC6B19">
      <w:pPr>
        <w:pStyle w:val="Heading2"/>
        <w:jc w:val="left"/>
        <w:rPr>
          <w:b w:val="0"/>
          <w:bCs/>
        </w:rPr>
      </w:pPr>
      <w:r>
        <w:rPr>
          <w:b w:val="0"/>
          <w:bCs/>
        </w:rPr>
        <w:tab/>
      </w:r>
      <w:r w:rsidR="0023296E" w:rsidRPr="0023296E">
        <w:rPr>
          <w:b w:val="0"/>
          <w:bCs/>
        </w:rPr>
        <w:t>A clearly defined set of standards or measures are to be determined:</w:t>
      </w:r>
    </w:p>
    <w:p w14:paraId="0F7BF095" w14:textId="32326710" w:rsidR="0023296E" w:rsidRPr="0023296E" w:rsidRDefault="0023296E" w:rsidP="00495FF4">
      <w:pPr>
        <w:pStyle w:val="Heading2"/>
        <w:ind w:left="936" w:hanging="360"/>
        <w:jc w:val="left"/>
        <w:rPr>
          <w:b w:val="0"/>
          <w:bCs/>
        </w:rPr>
      </w:pPr>
      <w:r w:rsidRPr="0023296E">
        <w:rPr>
          <w:b w:val="0"/>
          <w:bCs/>
        </w:rPr>
        <w:t xml:space="preserve">• </w:t>
      </w:r>
      <w:r w:rsidR="00495FF4">
        <w:rPr>
          <w:b w:val="0"/>
          <w:bCs/>
        </w:rPr>
        <w:tab/>
      </w:r>
      <w:r w:rsidRPr="0023296E">
        <w:rPr>
          <w:b w:val="0"/>
          <w:bCs/>
        </w:rPr>
        <w:t>Students receive support within 4 weeks of the beginning of their course or within 4 weeks from the date they submit a fully complete application for support.</w:t>
      </w:r>
    </w:p>
    <w:p w14:paraId="20C93941" w14:textId="52A89DEA" w:rsidR="0023296E" w:rsidRPr="0023296E" w:rsidRDefault="0023296E" w:rsidP="00495FF4">
      <w:pPr>
        <w:pStyle w:val="Heading2"/>
        <w:ind w:left="936" w:hanging="360"/>
        <w:jc w:val="left"/>
        <w:rPr>
          <w:b w:val="0"/>
          <w:bCs/>
        </w:rPr>
      </w:pPr>
      <w:r w:rsidRPr="0023296E">
        <w:rPr>
          <w:b w:val="0"/>
          <w:bCs/>
        </w:rPr>
        <w:t xml:space="preserve">• </w:t>
      </w:r>
      <w:r w:rsidR="00495FF4">
        <w:rPr>
          <w:b w:val="0"/>
          <w:bCs/>
        </w:rPr>
        <w:tab/>
      </w:r>
      <w:r w:rsidRPr="0023296E">
        <w:rPr>
          <w:b w:val="0"/>
          <w:bCs/>
        </w:rPr>
        <w:t>Students are paid at relevant points throughout the academic year as per the payment schedule.</w:t>
      </w:r>
    </w:p>
    <w:p w14:paraId="62A64422" w14:textId="29BEF054" w:rsidR="0023296E" w:rsidRPr="0023296E" w:rsidRDefault="0023296E" w:rsidP="00495FF4">
      <w:pPr>
        <w:pStyle w:val="Heading2"/>
        <w:ind w:left="936" w:hanging="360"/>
        <w:jc w:val="left"/>
        <w:rPr>
          <w:b w:val="0"/>
          <w:bCs/>
        </w:rPr>
      </w:pPr>
      <w:r w:rsidRPr="0023296E">
        <w:rPr>
          <w:b w:val="0"/>
          <w:bCs/>
        </w:rPr>
        <w:t xml:space="preserve">• </w:t>
      </w:r>
      <w:r w:rsidR="00495FF4">
        <w:rPr>
          <w:b w:val="0"/>
          <w:bCs/>
        </w:rPr>
        <w:tab/>
      </w:r>
      <w:r w:rsidRPr="0023296E">
        <w:rPr>
          <w:b w:val="0"/>
          <w:bCs/>
        </w:rPr>
        <w:t xml:space="preserve">Students </w:t>
      </w:r>
      <w:proofErr w:type="gramStart"/>
      <w:r w:rsidRPr="0023296E">
        <w:rPr>
          <w:b w:val="0"/>
          <w:bCs/>
        </w:rPr>
        <w:t>are able to</w:t>
      </w:r>
      <w:proofErr w:type="gramEnd"/>
      <w:r w:rsidRPr="0023296E">
        <w:rPr>
          <w:b w:val="0"/>
          <w:bCs/>
        </w:rPr>
        <w:t xml:space="preserve"> attend, remain and achieve on their course</w:t>
      </w:r>
    </w:p>
    <w:p w14:paraId="1F90BE2C" w14:textId="1D168396" w:rsidR="0023296E" w:rsidRPr="0023296E" w:rsidRDefault="0023296E" w:rsidP="00495FF4">
      <w:pPr>
        <w:pStyle w:val="Heading2"/>
        <w:ind w:left="936" w:hanging="360"/>
        <w:jc w:val="left"/>
        <w:rPr>
          <w:b w:val="0"/>
          <w:bCs/>
        </w:rPr>
      </w:pPr>
      <w:r w:rsidRPr="0023296E">
        <w:rPr>
          <w:b w:val="0"/>
          <w:bCs/>
        </w:rPr>
        <w:t xml:space="preserve">• </w:t>
      </w:r>
      <w:r w:rsidR="00495FF4">
        <w:rPr>
          <w:b w:val="0"/>
          <w:bCs/>
        </w:rPr>
        <w:tab/>
      </w:r>
      <w:r w:rsidRPr="0023296E">
        <w:rPr>
          <w:b w:val="0"/>
          <w:bCs/>
        </w:rPr>
        <w:t>Funding is distributed in line with agreed budget.</w:t>
      </w:r>
    </w:p>
    <w:p w14:paraId="6241CD4E" w14:textId="77777777" w:rsidR="00495FF4" w:rsidRDefault="00495FF4" w:rsidP="00EC6B19">
      <w:pPr>
        <w:pStyle w:val="Heading2"/>
        <w:jc w:val="left"/>
        <w:rPr>
          <w:b w:val="0"/>
          <w:bCs/>
        </w:rPr>
      </w:pPr>
    </w:p>
    <w:p w14:paraId="0EDC4E17" w14:textId="6886E12D" w:rsidR="0023296E" w:rsidRPr="00495FF4" w:rsidRDefault="00495FF4" w:rsidP="00495FF4">
      <w:pPr>
        <w:pStyle w:val="Heading1"/>
      </w:pPr>
      <w:r w:rsidRPr="00495FF4">
        <w:t>7.</w:t>
      </w:r>
      <w:r w:rsidRPr="00495FF4">
        <w:tab/>
      </w:r>
      <w:r w:rsidR="0023296E" w:rsidRPr="00495FF4">
        <w:t>Responsibility for implementing this policy</w:t>
      </w:r>
    </w:p>
    <w:p w14:paraId="34AC935C" w14:textId="4AFE848F" w:rsidR="0023296E" w:rsidRPr="0023296E" w:rsidRDefault="00C032F7" w:rsidP="00EC6B19">
      <w:pPr>
        <w:pStyle w:val="Heading2"/>
        <w:jc w:val="left"/>
        <w:rPr>
          <w:b w:val="0"/>
          <w:bCs/>
        </w:rPr>
      </w:pPr>
      <w:r>
        <w:rPr>
          <w:b w:val="0"/>
          <w:bCs/>
        </w:rPr>
        <w:tab/>
      </w:r>
      <w:r w:rsidR="0023296E" w:rsidRPr="0023296E">
        <w:rPr>
          <w:b w:val="0"/>
          <w:bCs/>
        </w:rPr>
        <w:t>Responsibility resides at all levels of the College and:</w:t>
      </w:r>
    </w:p>
    <w:p w14:paraId="5B9E0371" w14:textId="5FF437A4" w:rsidR="0023296E" w:rsidRPr="0023296E" w:rsidRDefault="0023296E" w:rsidP="00C032F7">
      <w:pPr>
        <w:pStyle w:val="Heading2"/>
        <w:ind w:left="936" w:hanging="360"/>
        <w:jc w:val="left"/>
        <w:rPr>
          <w:b w:val="0"/>
          <w:bCs/>
        </w:rPr>
      </w:pPr>
      <w:r w:rsidRPr="0023296E">
        <w:rPr>
          <w:b w:val="0"/>
          <w:bCs/>
        </w:rPr>
        <w:t xml:space="preserve">a) </w:t>
      </w:r>
      <w:r w:rsidR="00C032F7">
        <w:rPr>
          <w:b w:val="0"/>
          <w:bCs/>
        </w:rPr>
        <w:tab/>
      </w:r>
      <w:r w:rsidRPr="0023296E">
        <w:rPr>
          <w:b w:val="0"/>
          <w:bCs/>
        </w:rPr>
        <w:t>Student and Learner Services</w:t>
      </w:r>
    </w:p>
    <w:p w14:paraId="57F6E9C7" w14:textId="370780B2" w:rsidR="0023296E" w:rsidRPr="0023296E" w:rsidRDefault="0023296E" w:rsidP="00C032F7">
      <w:pPr>
        <w:pStyle w:val="Heading2"/>
        <w:ind w:left="936" w:hanging="360"/>
        <w:jc w:val="left"/>
        <w:rPr>
          <w:b w:val="0"/>
          <w:bCs/>
        </w:rPr>
      </w:pPr>
      <w:r w:rsidRPr="0023296E">
        <w:rPr>
          <w:b w:val="0"/>
          <w:bCs/>
        </w:rPr>
        <w:t xml:space="preserve">b) </w:t>
      </w:r>
      <w:r w:rsidR="00C032F7">
        <w:rPr>
          <w:b w:val="0"/>
          <w:bCs/>
        </w:rPr>
        <w:tab/>
      </w:r>
      <w:r w:rsidRPr="0023296E">
        <w:rPr>
          <w:b w:val="0"/>
          <w:bCs/>
        </w:rPr>
        <w:t>HE Registry</w:t>
      </w:r>
    </w:p>
    <w:p w14:paraId="36736E6E" w14:textId="35E0F8A4" w:rsidR="0023296E" w:rsidRPr="0023296E" w:rsidRDefault="0023296E" w:rsidP="00C032F7">
      <w:pPr>
        <w:pStyle w:val="Heading2"/>
        <w:ind w:left="936" w:hanging="360"/>
        <w:jc w:val="left"/>
        <w:rPr>
          <w:b w:val="0"/>
          <w:bCs/>
        </w:rPr>
      </w:pPr>
      <w:r w:rsidRPr="0023296E">
        <w:rPr>
          <w:b w:val="0"/>
          <w:bCs/>
        </w:rPr>
        <w:t xml:space="preserve">c) </w:t>
      </w:r>
      <w:r w:rsidR="00C032F7">
        <w:rPr>
          <w:b w:val="0"/>
          <w:bCs/>
        </w:rPr>
        <w:tab/>
      </w:r>
      <w:r w:rsidRPr="0023296E">
        <w:rPr>
          <w:b w:val="0"/>
          <w:bCs/>
        </w:rPr>
        <w:t>College ICT Services</w:t>
      </w:r>
    </w:p>
    <w:p w14:paraId="05604476" w14:textId="12AF8C77" w:rsidR="0023296E" w:rsidRPr="0023296E" w:rsidRDefault="0023296E" w:rsidP="00C032F7">
      <w:pPr>
        <w:pStyle w:val="Heading2"/>
        <w:ind w:left="936" w:hanging="360"/>
        <w:jc w:val="left"/>
        <w:rPr>
          <w:b w:val="0"/>
          <w:bCs/>
        </w:rPr>
      </w:pPr>
      <w:r w:rsidRPr="0023296E">
        <w:rPr>
          <w:b w:val="0"/>
          <w:bCs/>
        </w:rPr>
        <w:t xml:space="preserve">d) </w:t>
      </w:r>
      <w:r w:rsidR="00C032F7">
        <w:rPr>
          <w:b w:val="0"/>
          <w:bCs/>
        </w:rPr>
        <w:tab/>
      </w:r>
      <w:r w:rsidRPr="0023296E">
        <w:rPr>
          <w:b w:val="0"/>
          <w:bCs/>
        </w:rPr>
        <w:t>Management Information Services</w:t>
      </w:r>
    </w:p>
    <w:p w14:paraId="592F15D1" w14:textId="73AC5F62" w:rsidR="0023296E" w:rsidRPr="0023296E" w:rsidRDefault="0023296E" w:rsidP="00C032F7">
      <w:pPr>
        <w:pStyle w:val="Heading2"/>
        <w:ind w:left="936" w:hanging="360"/>
        <w:jc w:val="left"/>
        <w:rPr>
          <w:b w:val="0"/>
          <w:bCs/>
        </w:rPr>
      </w:pPr>
      <w:r w:rsidRPr="0023296E">
        <w:rPr>
          <w:b w:val="0"/>
          <w:bCs/>
        </w:rPr>
        <w:t xml:space="preserve">e) </w:t>
      </w:r>
      <w:r w:rsidR="00C032F7">
        <w:rPr>
          <w:b w:val="0"/>
          <w:bCs/>
        </w:rPr>
        <w:tab/>
      </w:r>
      <w:r w:rsidRPr="0023296E">
        <w:rPr>
          <w:b w:val="0"/>
          <w:bCs/>
        </w:rPr>
        <w:t>Group Finance</w:t>
      </w:r>
    </w:p>
    <w:p w14:paraId="7E64E08B" w14:textId="36D42E9C" w:rsidR="0023296E" w:rsidRPr="0023296E" w:rsidRDefault="0023296E" w:rsidP="00C032F7">
      <w:pPr>
        <w:pStyle w:val="Heading2"/>
        <w:ind w:left="936" w:hanging="360"/>
        <w:jc w:val="left"/>
        <w:rPr>
          <w:b w:val="0"/>
          <w:bCs/>
        </w:rPr>
      </w:pPr>
      <w:r w:rsidRPr="0023296E">
        <w:rPr>
          <w:b w:val="0"/>
          <w:bCs/>
        </w:rPr>
        <w:t xml:space="preserve">f) </w:t>
      </w:r>
      <w:r w:rsidR="00C032F7">
        <w:rPr>
          <w:b w:val="0"/>
          <w:bCs/>
        </w:rPr>
        <w:tab/>
      </w:r>
      <w:r w:rsidRPr="0023296E">
        <w:rPr>
          <w:b w:val="0"/>
          <w:bCs/>
        </w:rPr>
        <w:t>Heads of Institute</w:t>
      </w:r>
    </w:p>
    <w:p w14:paraId="7F072ABB" w14:textId="050CE1D4" w:rsidR="0023296E" w:rsidRPr="0023296E" w:rsidRDefault="0023296E" w:rsidP="00C032F7">
      <w:pPr>
        <w:pStyle w:val="Heading2"/>
        <w:ind w:left="936" w:hanging="360"/>
        <w:jc w:val="left"/>
        <w:rPr>
          <w:b w:val="0"/>
          <w:bCs/>
        </w:rPr>
      </w:pPr>
      <w:r w:rsidRPr="0023296E">
        <w:rPr>
          <w:b w:val="0"/>
          <w:bCs/>
        </w:rPr>
        <w:lastRenderedPageBreak/>
        <w:t xml:space="preserve">g) </w:t>
      </w:r>
      <w:r w:rsidR="00C032F7">
        <w:rPr>
          <w:b w:val="0"/>
          <w:bCs/>
        </w:rPr>
        <w:tab/>
      </w:r>
      <w:r w:rsidRPr="0023296E">
        <w:rPr>
          <w:b w:val="0"/>
          <w:bCs/>
        </w:rPr>
        <w:t>Curriculum Staff – Lecturers and Tutors</w:t>
      </w:r>
    </w:p>
    <w:p w14:paraId="6A62D0C6" w14:textId="77777777" w:rsidR="0023296E" w:rsidRPr="0023296E" w:rsidRDefault="0023296E" w:rsidP="00F746A2">
      <w:pPr>
        <w:pStyle w:val="Heading2"/>
        <w:ind w:left="0" w:firstLine="0"/>
        <w:jc w:val="left"/>
        <w:rPr>
          <w:b w:val="0"/>
          <w:bCs/>
        </w:rPr>
      </w:pPr>
    </w:p>
    <w:p w14:paraId="6BF023C7" w14:textId="02ADE4C1" w:rsidR="0023296E" w:rsidRPr="00364D94" w:rsidRDefault="00364D94" w:rsidP="00EC6B19">
      <w:pPr>
        <w:pStyle w:val="Heading2"/>
        <w:jc w:val="left"/>
      </w:pPr>
      <w:r w:rsidRPr="00364D94">
        <w:t>8</w:t>
      </w:r>
      <w:r w:rsidR="0023296E" w:rsidRPr="00364D94">
        <w:t xml:space="preserve">. </w:t>
      </w:r>
      <w:r>
        <w:tab/>
      </w:r>
      <w:r w:rsidR="0023296E" w:rsidRPr="00364D94">
        <w:t>Associated policies and procedures</w:t>
      </w:r>
    </w:p>
    <w:p w14:paraId="7699800D" w14:textId="642D711D" w:rsidR="0023296E" w:rsidRPr="0023296E" w:rsidRDefault="00364D94" w:rsidP="00EC6B19">
      <w:pPr>
        <w:pStyle w:val="Heading2"/>
        <w:jc w:val="left"/>
        <w:rPr>
          <w:b w:val="0"/>
          <w:bCs/>
        </w:rPr>
      </w:pPr>
      <w:r>
        <w:rPr>
          <w:b w:val="0"/>
          <w:bCs/>
        </w:rPr>
        <w:tab/>
      </w:r>
      <w:r w:rsidR="0023296E" w:rsidRPr="0023296E">
        <w:rPr>
          <w:b w:val="0"/>
          <w:bCs/>
        </w:rPr>
        <w:t>This policy should be read in conjunction with the following policies / procedures:</w:t>
      </w:r>
    </w:p>
    <w:p w14:paraId="79D26F2D" w14:textId="77777777" w:rsidR="0023296E" w:rsidRPr="0023296E" w:rsidRDefault="0023296E" w:rsidP="00364D94">
      <w:pPr>
        <w:pStyle w:val="Heading2"/>
        <w:ind w:left="936" w:hanging="360"/>
        <w:jc w:val="left"/>
        <w:rPr>
          <w:b w:val="0"/>
          <w:bCs/>
        </w:rPr>
      </w:pPr>
      <w:r w:rsidRPr="0023296E">
        <w:rPr>
          <w:b w:val="0"/>
          <w:bCs/>
        </w:rPr>
        <w:t>•</w:t>
      </w:r>
      <w:r w:rsidRPr="0023296E">
        <w:rPr>
          <w:b w:val="0"/>
          <w:bCs/>
        </w:rPr>
        <w:tab/>
        <w:t>Attendance Policy and Procedure</w:t>
      </w:r>
    </w:p>
    <w:p w14:paraId="19000650" w14:textId="77777777" w:rsidR="0023296E" w:rsidRPr="0023296E" w:rsidRDefault="0023296E" w:rsidP="00364D94">
      <w:pPr>
        <w:pStyle w:val="Heading2"/>
        <w:ind w:left="936" w:hanging="360"/>
        <w:jc w:val="left"/>
        <w:rPr>
          <w:b w:val="0"/>
          <w:bCs/>
        </w:rPr>
      </w:pPr>
      <w:r w:rsidRPr="0023296E">
        <w:rPr>
          <w:b w:val="0"/>
          <w:bCs/>
        </w:rPr>
        <w:t>•</w:t>
      </w:r>
      <w:r w:rsidRPr="0023296E">
        <w:rPr>
          <w:b w:val="0"/>
          <w:bCs/>
        </w:rPr>
        <w:tab/>
        <w:t>Fitness to study</w:t>
      </w:r>
    </w:p>
    <w:p w14:paraId="30FEF35F" w14:textId="77777777" w:rsidR="0023296E" w:rsidRPr="0023296E" w:rsidRDefault="0023296E" w:rsidP="00364D94">
      <w:pPr>
        <w:pStyle w:val="Heading2"/>
        <w:ind w:left="936" w:hanging="360"/>
        <w:jc w:val="left"/>
        <w:rPr>
          <w:b w:val="0"/>
          <w:bCs/>
        </w:rPr>
      </w:pPr>
      <w:r w:rsidRPr="0023296E">
        <w:rPr>
          <w:b w:val="0"/>
          <w:bCs/>
        </w:rPr>
        <w:t>•</w:t>
      </w:r>
      <w:r w:rsidRPr="0023296E">
        <w:rPr>
          <w:b w:val="0"/>
          <w:bCs/>
        </w:rPr>
        <w:tab/>
        <w:t>Equality and Diversity</w:t>
      </w:r>
    </w:p>
    <w:p w14:paraId="3FCB41DA" w14:textId="77777777" w:rsidR="0023296E" w:rsidRPr="0023296E" w:rsidRDefault="0023296E" w:rsidP="00364D94">
      <w:pPr>
        <w:pStyle w:val="Heading2"/>
        <w:ind w:left="936" w:hanging="360"/>
        <w:jc w:val="left"/>
        <w:rPr>
          <w:b w:val="0"/>
          <w:bCs/>
        </w:rPr>
      </w:pPr>
      <w:r w:rsidRPr="0023296E">
        <w:rPr>
          <w:b w:val="0"/>
          <w:bCs/>
        </w:rPr>
        <w:t>•</w:t>
      </w:r>
      <w:r w:rsidRPr="0023296E">
        <w:rPr>
          <w:b w:val="0"/>
          <w:bCs/>
        </w:rPr>
        <w:tab/>
        <w:t>Admission Policy</w:t>
      </w:r>
    </w:p>
    <w:p w14:paraId="5790F140" w14:textId="73AA26D4" w:rsidR="001966A1" w:rsidRDefault="0023296E" w:rsidP="00364D94">
      <w:pPr>
        <w:pStyle w:val="Heading2"/>
        <w:ind w:left="936" w:hanging="360"/>
        <w:jc w:val="left"/>
        <w:rPr>
          <w:b w:val="0"/>
          <w:bCs/>
        </w:rPr>
      </w:pPr>
      <w:r w:rsidRPr="0023296E">
        <w:rPr>
          <w:b w:val="0"/>
          <w:bCs/>
        </w:rPr>
        <w:t>•</w:t>
      </w:r>
      <w:r w:rsidRPr="0023296E">
        <w:rPr>
          <w:b w:val="0"/>
          <w:bCs/>
        </w:rPr>
        <w:tab/>
        <w:t>Student Charter</w:t>
      </w:r>
    </w:p>
    <w:p w14:paraId="60149EA5" w14:textId="77777777" w:rsidR="00C00A44" w:rsidRDefault="00C00A44" w:rsidP="00364D94">
      <w:pPr>
        <w:pStyle w:val="Heading2"/>
        <w:ind w:left="936" w:hanging="360"/>
        <w:jc w:val="left"/>
        <w:rPr>
          <w:b w:val="0"/>
          <w:bCs/>
        </w:rPr>
      </w:pPr>
    </w:p>
    <w:sectPr w:rsidR="00C00A44" w:rsidSect="00820C45">
      <w:footerReference w:type="default" r:id="rId11"/>
      <w:headerReference w:type="first" r:id="rId12"/>
      <w:footerReference w:type="first" r:id="rId13"/>
      <w:pgSz w:w="11909" w:h="16834" w:code="9"/>
      <w:pgMar w:top="1080" w:right="864" w:bottom="1080" w:left="864" w:header="0"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5CD22" w14:textId="77777777" w:rsidR="00DF0B1C" w:rsidRDefault="00DF0B1C" w:rsidP="00CF09DE">
      <w:pPr>
        <w:spacing w:line="240" w:lineRule="auto"/>
      </w:pPr>
      <w:r>
        <w:separator/>
      </w:r>
    </w:p>
  </w:endnote>
  <w:endnote w:type="continuationSeparator" w:id="0">
    <w:p w14:paraId="5C083418" w14:textId="77777777" w:rsidR="00DF0B1C" w:rsidRDefault="00DF0B1C" w:rsidP="00CF09DE">
      <w:pPr>
        <w:spacing w:line="240" w:lineRule="auto"/>
      </w:pPr>
      <w:r>
        <w:continuationSeparator/>
      </w:r>
    </w:p>
  </w:endnote>
  <w:endnote w:type="continuationNotice" w:id="1">
    <w:p w14:paraId="00A55D8D" w14:textId="77777777" w:rsidR="00DF0B1C" w:rsidRDefault="00DF0B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entury Gothic Bold">
    <w:panose1 w:val="020B0702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 Pro">
    <w:altName w:val="Cambria"/>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0368520"/>
      <w:docPartObj>
        <w:docPartGallery w:val="Page Numbers (Bottom of Page)"/>
        <w:docPartUnique/>
      </w:docPartObj>
    </w:sdtPr>
    <w:sdtEndPr/>
    <w:sdtContent>
      <w:sdt>
        <w:sdtPr>
          <w:id w:val="1036013825"/>
          <w:docPartObj>
            <w:docPartGallery w:val="Page Numbers (Top of Page)"/>
            <w:docPartUnique/>
          </w:docPartObj>
        </w:sdtPr>
        <w:sdtEndPr/>
        <w:sdtContent>
          <w:p w14:paraId="25344F16" w14:textId="7F1D1681" w:rsidR="00820C45" w:rsidRDefault="00820C45" w:rsidP="00820C45">
            <w:pPr>
              <w:pStyle w:val="Footer"/>
              <w:jc w:val="center"/>
            </w:pPr>
            <w:r w:rsidRPr="00820C45">
              <w:rPr>
                <w:rFonts w:ascii="Tahoma" w:hAnsi="Tahoma" w:cs="Tahoma"/>
                <w:sz w:val="20"/>
                <w:szCs w:val="20"/>
              </w:rPr>
              <w:t xml:space="preserve">Page </w:t>
            </w:r>
            <w:r w:rsidRPr="00820C45">
              <w:rPr>
                <w:rFonts w:ascii="Tahoma" w:hAnsi="Tahoma" w:cs="Tahoma"/>
                <w:sz w:val="20"/>
                <w:szCs w:val="20"/>
              </w:rPr>
              <w:fldChar w:fldCharType="begin"/>
            </w:r>
            <w:r w:rsidRPr="00820C45">
              <w:rPr>
                <w:rFonts w:ascii="Tahoma" w:hAnsi="Tahoma" w:cs="Tahoma"/>
                <w:sz w:val="20"/>
                <w:szCs w:val="20"/>
              </w:rPr>
              <w:instrText>PAGE</w:instrText>
            </w:r>
            <w:r w:rsidRPr="00820C45">
              <w:rPr>
                <w:rFonts w:ascii="Tahoma" w:hAnsi="Tahoma" w:cs="Tahoma"/>
                <w:sz w:val="20"/>
                <w:szCs w:val="20"/>
              </w:rPr>
              <w:fldChar w:fldCharType="separate"/>
            </w:r>
            <w:r w:rsidRPr="00820C45">
              <w:rPr>
                <w:rFonts w:ascii="Tahoma" w:hAnsi="Tahoma" w:cs="Tahoma"/>
                <w:sz w:val="20"/>
                <w:szCs w:val="20"/>
              </w:rPr>
              <w:t>2</w:t>
            </w:r>
            <w:r w:rsidRPr="00820C45">
              <w:rPr>
                <w:rFonts w:ascii="Tahoma" w:hAnsi="Tahoma" w:cs="Tahoma"/>
                <w:sz w:val="20"/>
                <w:szCs w:val="20"/>
              </w:rPr>
              <w:fldChar w:fldCharType="end"/>
            </w:r>
            <w:r w:rsidRPr="00820C45">
              <w:rPr>
                <w:rFonts w:ascii="Tahoma" w:hAnsi="Tahoma" w:cs="Tahoma"/>
                <w:sz w:val="20"/>
                <w:szCs w:val="20"/>
              </w:rPr>
              <w:t xml:space="preserve"> of </w:t>
            </w:r>
            <w:r w:rsidRPr="00820C45">
              <w:rPr>
                <w:rFonts w:ascii="Tahoma" w:hAnsi="Tahoma" w:cs="Tahoma"/>
                <w:sz w:val="20"/>
                <w:szCs w:val="20"/>
              </w:rPr>
              <w:fldChar w:fldCharType="begin"/>
            </w:r>
            <w:r w:rsidRPr="00820C45">
              <w:rPr>
                <w:rFonts w:ascii="Tahoma" w:hAnsi="Tahoma" w:cs="Tahoma"/>
                <w:sz w:val="20"/>
                <w:szCs w:val="20"/>
              </w:rPr>
              <w:instrText>NUMPAGES</w:instrText>
            </w:r>
            <w:r w:rsidRPr="00820C45">
              <w:rPr>
                <w:rFonts w:ascii="Tahoma" w:hAnsi="Tahoma" w:cs="Tahoma"/>
                <w:sz w:val="20"/>
                <w:szCs w:val="20"/>
              </w:rPr>
              <w:fldChar w:fldCharType="separate"/>
            </w:r>
            <w:r w:rsidRPr="00820C45">
              <w:rPr>
                <w:rFonts w:ascii="Tahoma" w:hAnsi="Tahoma" w:cs="Tahoma"/>
                <w:sz w:val="20"/>
                <w:szCs w:val="20"/>
              </w:rPr>
              <w:t>2</w:t>
            </w:r>
            <w:r w:rsidRPr="00820C45">
              <w:rPr>
                <w:rFonts w:ascii="Tahoma" w:hAnsi="Tahoma" w:cs="Tahoma"/>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523033"/>
      <w:docPartObj>
        <w:docPartGallery w:val="Page Numbers (Bottom of Page)"/>
        <w:docPartUnique/>
      </w:docPartObj>
    </w:sdtPr>
    <w:sdtEndPr/>
    <w:sdtContent>
      <w:sdt>
        <w:sdtPr>
          <w:id w:val="1728636285"/>
          <w:docPartObj>
            <w:docPartGallery w:val="Page Numbers (Top of Page)"/>
            <w:docPartUnique/>
          </w:docPartObj>
        </w:sdtPr>
        <w:sdtEndPr/>
        <w:sdtContent>
          <w:p w14:paraId="18CDED7F" w14:textId="6181937E" w:rsidR="00820C45" w:rsidRDefault="00820C45" w:rsidP="00820C45">
            <w:pPr>
              <w:pStyle w:val="Footer"/>
              <w:jc w:val="center"/>
            </w:pPr>
            <w:r w:rsidRPr="00820C45">
              <w:rPr>
                <w:rFonts w:ascii="Tahoma" w:hAnsi="Tahoma" w:cs="Tahoma"/>
                <w:sz w:val="20"/>
                <w:szCs w:val="20"/>
              </w:rPr>
              <w:t xml:space="preserve">Page </w:t>
            </w:r>
            <w:r w:rsidRPr="00820C45">
              <w:rPr>
                <w:rFonts w:ascii="Tahoma" w:hAnsi="Tahoma" w:cs="Tahoma"/>
                <w:sz w:val="20"/>
                <w:szCs w:val="20"/>
              </w:rPr>
              <w:fldChar w:fldCharType="begin"/>
            </w:r>
            <w:r w:rsidRPr="00820C45">
              <w:rPr>
                <w:rFonts w:ascii="Tahoma" w:hAnsi="Tahoma" w:cs="Tahoma"/>
                <w:sz w:val="20"/>
                <w:szCs w:val="20"/>
              </w:rPr>
              <w:instrText>PAGE</w:instrText>
            </w:r>
            <w:r w:rsidRPr="00820C45">
              <w:rPr>
                <w:rFonts w:ascii="Tahoma" w:hAnsi="Tahoma" w:cs="Tahoma"/>
                <w:sz w:val="20"/>
                <w:szCs w:val="20"/>
              </w:rPr>
              <w:fldChar w:fldCharType="separate"/>
            </w:r>
            <w:r w:rsidRPr="00820C45">
              <w:rPr>
                <w:rFonts w:ascii="Tahoma" w:hAnsi="Tahoma" w:cs="Tahoma"/>
                <w:sz w:val="20"/>
                <w:szCs w:val="20"/>
              </w:rPr>
              <w:t>2</w:t>
            </w:r>
            <w:r w:rsidRPr="00820C45">
              <w:rPr>
                <w:rFonts w:ascii="Tahoma" w:hAnsi="Tahoma" w:cs="Tahoma"/>
                <w:sz w:val="20"/>
                <w:szCs w:val="20"/>
              </w:rPr>
              <w:fldChar w:fldCharType="end"/>
            </w:r>
            <w:r w:rsidRPr="00820C45">
              <w:rPr>
                <w:rFonts w:ascii="Tahoma" w:hAnsi="Tahoma" w:cs="Tahoma"/>
                <w:sz w:val="20"/>
                <w:szCs w:val="20"/>
              </w:rPr>
              <w:t xml:space="preserve"> of </w:t>
            </w:r>
            <w:r w:rsidRPr="00820C45">
              <w:rPr>
                <w:rFonts w:ascii="Tahoma" w:hAnsi="Tahoma" w:cs="Tahoma"/>
                <w:sz w:val="20"/>
                <w:szCs w:val="20"/>
              </w:rPr>
              <w:fldChar w:fldCharType="begin"/>
            </w:r>
            <w:r w:rsidRPr="00820C45">
              <w:rPr>
                <w:rFonts w:ascii="Tahoma" w:hAnsi="Tahoma" w:cs="Tahoma"/>
                <w:sz w:val="20"/>
                <w:szCs w:val="20"/>
              </w:rPr>
              <w:instrText>NUMPAGES</w:instrText>
            </w:r>
            <w:r w:rsidRPr="00820C45">
              <w:rPr>
                <w:rFonts w:ascii="Tahoma" w:hAnsi="Tahoma" w:cs="Tahoma"/>
                <w:sz w:val="20"/>
                <w:szCs w:val="20"/>
              </w:rPr>
              <w:fldChar w:fldCharType="separate"/>
            </w:r>
            <w:r w:rsidRPr="00820C45">
              <w:rPr>
                <w:rFonts w:ascii="Tahoma" w:hAnsi="Tahoma" w:cs="Tahoma"/>
                <w:sz w:val="20"/>
                <w:szCs w:val="20"/>
              </w:rPr>
              <w:t>2</w:t>
            </w:r>
            <w:r w:rsidRPr="00820C45">
              <w:rPr>
                <w:rFonts w:ascii="Tahoma" w:hAnsi="Tahoma" w:cs="Tahoma"/>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CE4E4" w14:textId="77777777" w:rsidR="00DF0B1C" w:rsidRDefault="00DF0B1C" w:rsidP="00CF09DE">
      <w:pPr>
        <w:spacing w:line="240" w:lineRule="auto"/>
      </w:pPr>
      <w:r>
        <w:separator/>
      </w:r>
    </w:p>
  </w:footnote>
  <w:footnote w:type="continuationSeparator" w:id="0">
    <w:p w14:paraId="75AE42F0" w14:textId="77777777" w:rsidR="00DF0B1C" w:rsidRDefault="00DF0B1C" w:rsidP="00CF09DE">
      <w:pPr>
        <w:spacing w:line="240" w:lineRule="auto"/>
      </w:pPr>
      <w:r>
        <w:continuationSeparator/>
      </w:r>
    </w:p>
  </w:footnote>
  <w:footnote w:type="continuationNotice" w:id="1">
    <w:p w14:paraId="070DA9D7" w14:textId="77777777" w:rsidR="00DF0B1C" w:rsidRDefault="00DF0B1C">
      <w:pPr>
        <w:spacing w:line="240" w:lineRule="auto"/>
      </w:pPr>
    </w:p>
  </w:footnote>
  <w:footnote w:id="2">
    <w:p w14:paraId="6B05DF1E" w14:textId="62AA4861" w:rsidR="00F65217" w:rsidRDefault="00F65217">
      <w:pPr>
        <w:pStyle w:val="FootnoteText"/>
      </w:pPr>
      <w:r>
        <w:rPr>
          <w:rStyle w:val="FootnoteReference"/>
        </w:rPr>
        <w:footnoteRef/>
      </w:r>
      <w:r>
        <w:t xml:space="preserve"> </w:t>
      </w:r>
      <w:r w:rsidRPr="00F65217">
        <w:t>https://www.nasma.org.uk/wp-content/uploads/2023/12/NASMA-HESF-Guidance-23_24-FINAL.pdf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7B58" w14:textId="37CC7E4C" w:rsidR="001966A1" w:rsidRDefault="00820C45">
    <w:pPr>
      <w:pStyle w:val="Header"/>
    </w:pPr>
    <w:r>
      <w:rPr>
        <w:rFonts w:ascii="Arial" w:hAnsi="Arial" w:cs="Arial"/>
        <w:noProof/>
        <w:sz w:val="20"/>
        <w:szCs w:val="20"/>
      </w:rPr>
      <w:drawing>
        <wp:anchor distT="0" distB="0" distL="114300" distR="114300" simplePos="0" relativeHeight="251659264" behindDoc="1" locked="0" layoutInCell="1" allowOverlap="1" wp14:anchorId="5F35CB47" wp14:editId="1F39701E">
          <wp:simplePos x="0" y="0"/>
          <wp:positionH relativeFrom="column">
            <wp:posOffset>5773567</wp:posOffset>
          </wp:positionH>
          <wp:positionV relativeFrom="paragraph">
            <wp:posOffset>181369</wp:posOffset>
          </wp:positionV>
          <wp:extent cx="1056746" cy="1058174"/>
          <wp:effectExtent l="0" t="0" r="0" b="8890"/>
          <wp:wrapNone/>
          <wp:docPr id="55423890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01440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56746" cy="1058174"/>
                  </a:xfrm>
                  <a:prstGeom prst="rect">
                    <a:avLst/>
                  </a:prstGeom>
                </pic:spPr>
              </pic:pic>
            </a:graphicData>
          </a:graphic>
          <wp14:sizeRelH relativeFrom="page">
            <wp14:pctWidth>0</wp14:pctWidth>
          </wp14:sizeRelH>
          <wp14:sizeRelV relativeFrom="page">
            <wp14:pctHeight>0</wp14:pctHeight>
          </wp14:sizeRelV>
        </wp:anchor>
      </w:drawing>
    </w:r>
  </w:p>
  <w:p w14:paraId="655FA70C" w14:textId="0BF45779" w:rsidR="001966A1" w:rsidRDefault="001966A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36A6"/>
    <w:multiLevelType w:val="multilevel"/>
    <w:tmpl w:val="677A4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002D37"/>
    <w:multiLevelType w:val="multilevel"/>
    <w:tmpl w:val="8E1684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B844BB"/>
    <w:multiLevelType w:val="multilevel"/>
    <w:tmpl w:val="D72EAC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513351"/>
    <w:multiLevelType w:val="multilevel"/>
    <w:tmpl w:val="E4FA09F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BF2F10"/>
    <w:multiLevelType w:val="multilevel"/>
    <w:tmpl w:val="80AE08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1D107E"/>
    <w:multiLevelType w:val="hybridMultilevel"/>
    <w:tmpl w:val="E9DC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6CE04A"/>
    <w:multiLevelType w:val="hybridMultilevel"/>
    <w:tmpl w:val="674C264C"/>
    <w:lvl w:ilvl="0" w:tplc="821CD920">
      <w:start w:val="1"/>
      <w:numFmt w:val="decimal"/>
      <w:lvlText w:val="%1.0"/>
      <w:lvlJc w:val="left"/>
      <w:pPr>
        <w:ind w:left="440" w:hanging="325"/>
      </w:pPr>
      <w:rPr>
        <w:rFonts w:ascii="Calibri" w:eastAsia="Calibri" w:hAnsi="Calibri" w:cs="Calibri" w:hint="default"/>
        <w:b w:val="0"/>
        <w:bCs w:val="0"/>
        <w:i w:val="0"/>
        <w:iCs w:val="0"/>
        <w:spacing w:val="-2"/>
        <w:w w:val="100"/>
        <w:sz w:val="22"/>
        <w:szCs w:val="22"/>
        <w:lang w:val="en-US" w:eastAsia="en-US" w:bidi="ar-SA"/>
      </w:rPr>
    </w:lvl>
    <w:lvl w:ilvl="1" w:tplc="52AC1BDA">
      <w:numFmt w:val="bullet"/>
      <w:lvlText w:val="•"/>
      <w:lvlJc w:val="left"/>
      <w:pPr>
        <w:ind w:left="1498" w:hanging="325"/>
      </w:pPr>
      <w:rPr>
        <w:rFonts w:hint="default"/>
        <w:lang w:val="en-US" w:eastAsia="en-US" w:bidi="ar-SA"/>
      </w:rPr>
    </w:lvl>
    <w:lvl w:ilvl="2" w:tplc="F5B00D1A">
      <w:numFmt w:val="bullet"/>
      <w:lvlText w:val="•"/>
      <w:lvlJc w:val="left"/>
      <w:pPr>
        <w:ind w:left="2557" w:hanging="325"/>
      </w:pPr>
      <w:rPr>
        <w:rFonts w:hint="default"/>
        <w:lang w:val="en-US" w:eastAsia="en-US" w:bidi="ar-SA"/>
      </w:rPr>
    </w:lvl>
    <w:lvl w:ilvl="3" w:tplc="EAE87892">
      <w:numFmt w:val="bullet"/>
      <w:lvlText w:val="•"/>
      <w:lvlJc w:val="left"/>
      <w:pPr>
        <w:ind w:left="3615" w:hanging="325"/>
      </w:pPr>
      <w:rPr>
        <w:rFonts w:hint="default"/>
        <w:lang w:val="en-US" w:eastAsia="en-US" w:bidi="ar-SA"/>
      </w:rPr>
    </w:lvl>
    <w:lvl w:ilvl="4" w:tplc="109CA9CA">
      <w:numFmt w:val="bullet"/>
      <w:lvlText w:val="•"/>
      <w:lvlJc w:val="left"/>
      <w:pPr>
        <w:ind w:left="4674" w:hanging="325"/>
      </w:pPr>
      <w:rPr>
        <w:rFonts w:hint="default"/>
        <w:lang w:val="en-US" w:eastAsia="en-US" w:bidi="ar-SA"/>
      </w:rPr>
    </w:lvl>
    <w:lvl w:ilvl="5" w:tplc="5A48F812">
      <w:numFmt w:val="bullet"/>
      <w:lvlText w:val="•"/>
      <w:lvlJc w:val="left"/>
      <w:pPr>
        <w:ind w:left="5732" w:hanging="325"/>
      </w:pPr>
      <w:rPr>
        <w:rFonts w:hint="default"/>
        <w:lang w:val="en-US" w:eastAsia="en-US" w:bidi="ar-SA"/>
      </w:rPr>
    </w:lvl>
    <w:lvl w:ilvl="6" w:tplc="75A82636">
      <w:numFmt w:val="bullet"/>
      <w:lvlText w:val="•"/>
      <w:lvlJc w:val="left"/>
      <w:pPr>
        <w:ind w:left="6791" w:hanging="325"/>
      </w:pPr>
      <w:rPr>
        <w:rFonts w:hint="default"/>
        <w:lang w:val="en-US" w:eastAsia="en-US" w:bidi="ar-SA"/>
      </w:rPr>
    </w:lvl>
    <w:lvl w:ilvl="7" w:tplc="4F061B40">
      <w:numFmt w:val="bullet"/>
      <w:lvlText w:val="•"/>
      <w:lvlJc w:val="left"/>
      <w:pPr>
        <w:ind w:left="7849" w:hanging="325"/>
      </w:pPr>
      <w:rPr>
        <w:rFonts w:hint="default"/>
        <w:lang w:val="en-US" w:eastAsia="en-US" w:bidi="ar-SA"/>
      </w:rPr>
    </w:lvl>
    <w:lvl w:ilvl="8" w:tplc="E2BE2540">
      <w:numFmt w:val="bullet"/>
      <w:lvlText w:val="•"/>
      <w:lvlJc w:val="left"/>
      <w:pPr>
        <w:ind w:left="8908" w:hanging="325"/>
      </w:pPr>
      <w:rPr>
        <w:rFonts w:hint="default"/>
        <w:lang w:val="en-US" w:eastAsia="en-US" w:bidi="ar-SA"/>
      </w:rPr>
    </w:lvl>
  </w:abstractNum>
  <w:abstractNum w:abstractNumId="7" w15:restartNumberingAfterBreak="0">
    <w:nsid w:val="0F736A7A"/>
    <w:multiLevelType w:val="multilevel"/>
    <w:tmpl w:val="2C44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C75D59"/>
    <w:multiLevelType w:val="multilevel"/>
    <w:tmpl w:val="925E916E"/>
    <w:styleLink w:val="1111116"/>
    <w:lvl w:ilvl="0">
      <w:start w:val="1"/>
      <w:numFmt w:val="decimal"/>
      <w:lvlText w:val="%1."/>
      <w:lvlJc w:val="left"/>
      <w:pPr>
        <w:ind w:left="1021" w:hanging="1021"/>
      </w:pPr>
      <w:rPr>
        <w:rFonts w:ascii="Arial Bold" w:hAnsi="Arial Bold" w:hint="default"/>
        <w:b/>
        <w:i w:val="0"/>
        <w:sz w:val="22"/>
      </w:rPr>
    </w:lvl>
    <w:lvl w:ilvl="1">
      <w:start w:val="1"/>
      <w:numFmt w:val="decimal"/>
      <w:lvlText w:val="%1.%2"/>
      <w:lvlJc w:val="left"/>
      <w:pPr>
        <w:ind w:left="1134" w:hanging="1134"/>
      </w:pPr>
      <w:rPr>
        <w:rFonts w:hint="default"/>
      </w:rPr>
    </w:lvl>
    <w:lvl w:ilvl="2">
      <w:start w:val="1"/>
      <w:numFmt w:val="decimal"/>
      <w:lvlText w:val="%1.%2.%3"/>
      <w:lvlJc w:val="left"/>
      <w:pPr>
        <w:ind w:left="1077" w:hanging="1077"/>
      </w:pPr>
      <w:rPr>
        <w:rFonts w:hint="default"/>
      </w:rPr>
    </w:lvl>
    <w:lvl w:ilvl="3">
      <w:start w:val="1"/>
      <w:numFmt w:val="decimal"/>
      <w:lvlText w:val="%1.%2.%3.%4"/>
      <w:lvlJc w:val="left"/>
      <w:pPr>
        <w:ind w:left="2778" w:hanging="164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0D6210F"/>
    <w:multiLevelType w:val="multilevel"/>
    <w:tmpl w:val="DB026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537A5D"/>
    <w:multiLevelType w:val="multilevel"/>
    <w:tmpl w:val="23B8AC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CD3696"/>
    <w:multiLevelType w:val="multilevel"/>
    <w:tmpl w:val="B5B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0001F6"/>
    <w:multiLevelType w:val="multilevel"/>
    <w:tmpl w:val="C8DAD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5A60C7"/>
    <w:multiLevelType w:val="multilevel"/>
    <w:tmpl w:val="DCC2A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87622D"/>
    <w:multiLevelType w:val="hybridMultilevel"/>
    <w:tmpl w:val="52F02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5E333C9"/>
    <w:multiLevelType w:val="hybridMultilevel"/>
    <w:tmpl w:val="D01449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6124664"/>
    <w:multiLevelType w:val="multilevel"/>
    <w:tmpl w:val="45AC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5074A6"/>
    <w:multiLevelType w:val="multilevel"/>
    <w:tmpl w:val="CFE07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961B13"/>
    <w:multiLevelType w:val="multilevel"/>
    <w:tmpl w:val="B37890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A92827"/>
    <w:multiLevelType w:val="multilevel"/>
    <w:tmpl w:val="26CA8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F138CB"/>
    <w:multiLevelType w:val="multilevel"/>
    <w:tmpl w:val="21948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125C67"/>
    <w:multiLevelType w:val="multilevel"/>
    <w:tmpl w:val="407EA4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E02495"/>
    <w:multiLevelType w:val="multilevel"/>
    <w:tmpl w:val="4A14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4BD46F0"/>
    <w:multiLevelType w:val="multilevel"/>
    <w:tmpl w:val="6E287A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A71B74"/>
    <w:multiLevelType w:val="multilevel"/>
    <w:tmpl w:val="FE8AB58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4E363AD6"/>
    <w:multiLevelType w:val="multilevel"/>
    <w:tmpl w:val="DF7C4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40622E"/>
    <w:multiLevelType w:val="multilevel"/>
    <w:tmpl w:val="B9F0DD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E96C1F"/>
    <w:multiLevelType w:val="multilevel"/>
    <w:tmpl w:val="5DE4775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312386"/>
    <w:multiLevelType w:val="multilevel"/>
    <w:tmpl w:val="0EF047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B709AB"/>
    <w:multiLevelType w:val="multilevel"/>
    <w:tmpl w:val="22C414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8C4419"/>
    <w:multiLevelType w:val="multilevel"/>
    <w:tmpl w:val="73A6388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A9C43E4"/>
    <w:multiLevelType w:val="multilevel"/>
    <w:tmpl w:val="95648C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AAE610B"/>
    <w:multiLevelType w:val="multilevel"/>
    <w:tmpl w:val="3688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3444EBC"/>
    <w:multiLevelType w:val="multilevel"/>
    <w:tmpl w:val="B37884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546A23B"/>
    <w:multiLevelType w:val="multilevel"/>
    <w:tmpl w:val="21D8CE06"/>
    <w:lvl w:ilvl="0">
      <w:start w:val="2"/>
      <w:numFmt w:val="decimal"/>
      <w:lvlText w:val="%1"/>
      <w:lvlJc w:val="left"/>
      <w:pPr>
        <w:ind w:left="584" w:hanging="475"/>
      </w:pPr>
      <w:rPr>
        <w:rFonts w:hint="default"/>
        <w:lang w:val="en-US" w:eastAsia="en-US" w:bidi="ar-SA"/>
      </w:rPr>
    </w:lvl>
    <w:lvl w:ilvl="1">
      <w:numFmt w:val="decimal"/>
      <w:lvlText w:val="%1.%2"/>
      <w:lvlJc w:val="left"/>
      <w:pPr>
        <w:ind w:left="584" w:hanging="475"/>
      </w:pPr>
      <w:rPr>
        <w:rFonts w:hint="default"/>
        <w:spacing w:val="-3"/>
        <w:w w:val="100"/>
        <w:lang w:val="en-US" w:eastAsia="en-US" w:bidi="ar-SA"/>
      </w:rPr>
    </w:lvl>
    <w:lvl w:ilvl="2">
      <w:numFmt w:val="bullet"/>
      <w:lvlText w:val="•"/>
      <w:lvlJc w:val="left"/>
      <w:pPr>
        <w:ind w:left="2669" w:hanging="475"/>
      </w:pPr>
      <w:rPr>
        <w:rFonts w:hint="default"/>
        <w:lang w:val="en-US" w:eastAsia="en-US" w:bidi="ar-SA"/>
      </w:rPr>
    </w:lvl>
    <w:lvl w:ilvl="3">
      <w:numFmt w:val="bullet"/>
      <w:lvlText w:val="•"/>
      <w:lvlJc w:val="left"/>
      <w:pPr>
        <w:ind w:left="3713" w:hanging="475"/>
      </w:pPr>
      <w:rPr>
        <w:rFonts w:hint="default"/>
        <w:lang w:val="en-US" w:eastAsia="en-US" w:bidi="ar-SA"/>
      </w:rPr>
    </w:lvl>
    <w:lvl w:ilvl="4">
      <w:numFmt w:val="bullet"/>
      <w:lvlText w:val="•"/>
      <w:lvlJc w:val="left"/>
      <w:pPr>
        <w:ind w:left="4758" w:hanging="475"/>
      </w:pPr>
      <w:rPr>
        <w:rFonts w:hint="default"/>
        <w:lang w:val="en-US" w:eastAsia="en-US" w:bidi="ar-SA"/>
      </w:rPr>
    </w:lvl>
    <w:lvl w:ilvl="5">
      <w:numFmt w:val="bullet"/>
      <w:lvlText w:val="•"/>
      <w:lvlJc w:val="left"/>
      <w:pPr>
        <w:ind w:left="5802" w:hanging="475"/>
      </w:pPr>
      <w:rPr>
        <w:rFonts w:hint="default"/>
        <w:lang w:val="en-US" w:eastAsia="en-US" w:bidi="ar-SA"/>
      </w:rPr>
    </w:lvl>
    <w:lvl w:ilvl="6">
      <w:numFmt w:val="bullet"/>
      <w:lvlText w:val="•"/>
      <w:lvlJc w:val="left"/>
      <w:pPr>
        <w:ind w:left="6847" w:hanging="475"/>
      </w:pPr>
      <w:rPr>
        <w:rFonts w:hint="default"/>
        <w:lang w:val="en-US" w:eastAsia="en-US" w:bidi="ar-SA"/>
      </w:rPr>
    </w:lvl>
    <w:lvl w:ilvl="7">
      <w:numFmt w:val="bullet"/>
      <w:lvlText w:val="•"/>
      <w:lvlJc w:val="left"/>
      <w:pPr>
        <w:ind w:left="7891" w:hanging="475"/>
      </w:pPr>
      <w:rPr>
        <w:rFonts w:hint="default"/>
        <w:lang w:val="en-US" w:eastAsia="en-US" w:bidi="ar-SA"/>
      </w:rPr>
    </w:lvl>
    <w:lvl w:ilvl="8">
      <w:numFmt w:val="bullet"/>
      <w:lvlText w:val="•"/>
      <w:lvlJc w:val="left"/>
      <w:pPr>
        <w:ind w:left="8936" w:hanging="475"/>
      </w:pPr>
      <w:rPr>
        <w:rFonts w:hint="default"/>
        <w:lang w:val="en-US" w:eastAsia="en-US" w:bidi="ar-SA"/>
      </w:rPr>
    </w:lvl>
  </w:abstractNum>
  <w:abstractNum w:abstractNumId="35" w15:restartNumberingAfterBreak="0">
    <w:nsid w:val="7A4633C2"/>
    <w:multiLevelType w:val="multilevel"/>
    <w:tmpl w:val="9DE84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8505F7"/>
    <w:multiLevelType w:val="multilevel"/>
    <w:tmpl w:val="6C96147E"/>
    <w:lvl w:ilvl="0">
      <w:start w:val="1"/>
      <w:numFmt w:val="decimal"/>
      <w:lvlText w:val="%1."/>
      <w:lvlJc w:val="left"/>
      <w:pPr>
        <w:ind w:left="4230" w:hanging="360"/>
      </w:pPr>
      <w:rPr>
        <w:rFonts w:hint="default"/>
      </w:rPr>
    </w:lvl>
    <w:lvl w:ilvl="1">
      <w:start w:val="1"/>
      <w:numFmt w:val="decimal"/>
      <w:isLgl/>
      <w:lvlText w:val="%1.%2"/>
      <w:lvlJc w:val="left"/>
      <w:pPr>
        <w:ind w:left="503" w:hanging="390"/>
      </w:pPr>
      <w:rPr>
        <w:rFonts w:hint="default"/>
        <w:b w:val="0"/>
        <w:bCs/>
      </w:rPr>
    </w:lvl>
    <w:lvl w:ilvl="2">
      <w:start w:val="1"/>
      <w:numFmt w:val="decimal"/>
      <w:isLgl/>
      <w:lvlText w:val="%1.%2.%3"/>
      <w:lvlJc w:val="left"/>
      <w:pPr>
        <w:ind w:left="833" w:hanging="720"/>
      </w:pPr>
      <w:rPr>
        <w:rFonts w:hint="default"/>
        <w:b/>
      </w:rPr>
    </w:lvl>
    <w:lvl w:ilvl="3">
      <w:start w:val="1"/>
      <w:numFmt w:val="decimal"/>
      <w:isLgl/>
      <w:lvlText w:val="%1.%2.%3.%4"/>
      <w:lvlJc w:val="left"/>
      <w:pPr>
        <w:ind w:left="833" w:hanging="720"/>
      </w:pPr>
      <w:rPr>
        <w:rFonts w:hint="default"/>
        <w:b/>
      </w:rPr>
    </w:lvl>
    <w:lvl w:ilvl="4">
      <w:start w:val="1"/>
      <w:numFmt w:val="decimal"/>
      <w:isLgl/>
      <w:lvlText w:val="%1.%2.%3.%4.%5"/>
      <w:lvlJc w:val="left"/>
      <w:pPr>
        <w:ind w:left="1193" w:hanging="1080"/>
      </w:pPr>
      <w:rPr>
        <w:rFonts w:hint="default"/>
        <w:b/>
      </w:rPr>
    </w:lvl>
    <w:lvl w:ilvl="5">
      <w:start w:val="1"/>
      <w:numFmt w:val="decimal"/>
      <w:isLgl/>
      <w:lvlText w:val="%1.%2.%3.%4.%5.%6"/>
      <w:lvlJc w:val="left"/>
      <w:pPr>
        <w:ind w:left="1193" w:hanging="1080"/>
      </w:pPr>
      <w:rPr>
        <w:rFonts w:hint="default"/>
        <w:b/>
      </w:rPr>
    </w:lvl>
    <w:lvl w:ilvl="6">
      <w:start w:val="1"/>
      <w:numFmt w:val="decimal"/>
      <w:isLgl/>
      <w:lvlText w:val="%1.%2.%3.%4.%5.%6.%7"/>
      <w:lvlJc w:val="left"/>
      <w:pPr>
        <w:ind w:left="1553" w:hanging="1440"/>
      </w:pPr>
      <w:rPr>
        <w:rFonts w:hint="default"/>
        <w:b/>
      </w:rPr>
    </w:lvl>
    <w:lvl w:ilvl="7">
      <w:start w:val="1"/>
      <w:numFmt w:val="decimal"/>
      <w:isLgl/>
      <w:lvlText w:val="%1.%2.%3.%4.%5.%6.%7.%8"/>
      <w:lvlJc w:val="left"/>
      <w:pPr>
        <w:ind w:left="1553" w:hanging="1440"/>
      </w:pPr>
      <w:rPr>
        <w:rFonts w:hint="default"/>
        <w:b/>
      </w:rPr>
    </w:lvl>
    <w:lvl w:ilvl="8">
      <w:start w:val="1"/>
      <w:numFmt w:val="decimal"/>
      <w:isLgl/>
      <w:lvlText w:val="%1.%2.%3.%4.%5.%6.%7.%8.%9"/>
      <w:lvlJc w:val="left"/>
      <w:pPr>
        <w:ind w:left="1913" w:hanging="1800"/>
      </w:pPr>
      <w:rPr>
        <w:rFonts w:hint="default"/>
        <w:b/>
      </w:rPr>
    </w:lvl>
  </w:abstractNum>
  <w:abstractNum w:abstractNumId="37" w15:restartNumberingAfterBreak="0">
    <w:nsid w:val="7C005019"/>
    <w:multiLevelType w:val="multilevel"/>
    <w:tmpl w:val="CE80987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520" w:hanging="2160"/>
      </w:pPr>
      <w:rPr>
        <w:rFonts w:hint="default"/>
        <w:b w:val="0"/>
      </w:rPr>
    </w:lvl>
    <w:lvl w:ilvl="8">
      <w:start w:val="1"/>
      <w:numFmt w:val="decimal"/>
      <w:isLgl/>
      <w:lvlText w:val="%1.%2.%3.%4.%5.%6.%7.%8.%9"/>
      <w:lvlJc w:val="left"/>
      <w:pPr>
        <w:ind w:left="2880" w:hanging="2520"/>
      </w:pPr>
      <w:rPr>
        <w:rFonts w:hint="default"/>
        <w:b w:val="0"/>
      </w:rPr>
    </w:lvl>
  </w:abstractNum>
  <w:num w:numId="1" w16cid:durableId="290476542">
    <w:abstractNumId w:val="8"/>
  </w:num>
  <w:num w:numId="2" w16cid:durableId="783381610">
    <w:abstractNumId w:val="36"/>
  </w:num>
  <w:num w:numId="3" w16cid:durableId="54276380">
    <w:abstractNumId w:val="14"/>
  </w:num>
  <w:num w:numId="4" w16cid:durableId="1532720483">
    <w:abstractNumId w:val="15"/>
  </w:num>
  <w:num w:numId="5" w16cid:durableId="2049603508">
    <w:abstractNumId w:val="5"/>
  </w:num>
  <w:num w:numId="6" w16cid:durableId="906764795">
    <w:abstractNumId w:val="0"/>
  </w:num>
  <w:num w:numId="7" w16cid:durableId="1719892691">
    <w:abstractNumId w:val="17"/>
  </w:num>
  <w:num w:numId="8" w16cid:durableId="2016613441">
    <w:abstractNumId w:val="16"/>
  </w:num>
  <w:num w:numId="9" w16cid:durableId="1095401415">
    <w:abstractNumId w:val="22"/>
  </w:num>
  <w:num w:numId="10" w16cid:durableId="506869258">
    <w:abstractNumId w:val="11"/>
  </w:num>
  <w:num w:numId="11" w16cid:durableId="970935671">
    <w:abstractNumId w:val="12"/>
  </w:num>
  <w:num w:numId="12" w16cid:durableId="779184224">
    <w:abstractNumId w:val="13"/>
  </w:num>
  <w:num w:numId="13" w16cid:durableId="364866786">
    <w:abstractNumId w:val="9"/>
  </w:num>
  <w:num w:numId="14" w16cid:durableId="1611740781">
    <w:abstractNumId w:val="32"/>
  </w:num>
  <w:num w:numId="15" w16cid:durableId="1061095121">
    <w:abstractNumId w:val="25"/>
  </w:num>
  <w:num w:numId="16" w16cid:durableId="1205674644">
    <w:abstractNumId w:val="1"/>
  </w:num>
  <w:num w:numId="17" w16cid:durableId="784808704">
    <w:abstractNumId w:val="20"/>
  </w:num>
  <w:num w:numId="18" w16cid:durableId="57870140">
    <w:abstractNumId w:val="2"/>
  </w:num>
  <w:num w:numId="19" w16cid:durableId="336857755">
    <w:abstractNumId w:val="29"/>
  </w:num>
  <w:num w:numId="20" w16cid:durableId="878469280">
    <w:abstractNumId w:val="4"/>
  </w:num>
  <w:num w:numId="21" w16cid:durableId="1105809489">
    <w:abstractNumId w:val="10"/>
  </w:num>
  <w:num w:numId="22" w16cid:durableId="2116169328">
    <w:abstractNumId w:val="30"/>
  </w:num>
  <w:num w:numId="23" w16cid:durableId="979336918">
    <w:abstractNumId w:val="31"/>
  </w:num>
  <w:num w:numId="24" w16cid:durableId="1465200206">
    <w:abstractNumId w:val="3"/>
  </w:num>
  <w:num w:numId="25" w16cid:durableId="2053916449">
    <w:abstractNumId w:val="35"/>
  </w:num>
  <w:num w:numId="26" w16cid:durableId="1488519404">
    <w:abstractNumId w:val="26"/>
  </w:num>
  <w:num w:numId="27" w16cid:durableId="1065224951">
    <w:abstractNumId w:val="7"/>
  </w:num>
  <w:num w:numId="28" w16cid:durableId="1906842174">
    <w:abstractNumId w:val="18"/>
  </w:num>
  <w:num w:numId="29" w16cid:durableId="969818394">
    <w:abstractNumId w:val="33"/>
  </w:num>
  <w:num w:numId="30" w16cid:durableId="1885677302">
    <w:abstractNumId w:val="21"/>
  </w:num>
  <w:num w:numId="31" w16cid:durableId="1239290184">
    <w:abstractNumId w:val="23"/>
  </w:num>
  <w:num w:numId="32" w16cid:durableId="933321287">
    <w:abstractNumId w:val="19"/>
  </w:num>
  <w:num w:numId="33" w16cid:durableId="548028306">
    <w:abstractNumId w:val="28"/>
  </w:num>
  <w:num w:numId="34" w16cid:durableId="1902475688">
    <w:abstractNumId w:val="27"/>
  </w:num>
  <w:num w:numId="35" w16cid:durableId="1977686954">
    <w:abstractNumId w:val="6"/>
  </w:num>
  <w:num w:numId="36" w16cid:durableId="794063720">
    <w:abstractNumId w:val="34"/>
  </w:num>
  <w:num w:numId="37" w16cid:durableId="492987300">
    <w:abstractNumId w:val="37"/>
  </w:num>
  <w:num w:numId="38" w16cid:durableId="558325907">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CB7"/>
    <w:rsid w:val="000000CC"/>
    <w:rsid w:val="00002603"/>
    <w:rsid w:val="0000380A"/>
    <w:rsid w:val="000059C4"/>
    <w:rsid w:val="00005EB9"/>
    <w:rsid w:val="00013F45"/>
    <w:rsid w:val="00017236"/>
    <w:rsid w:val="000179BD"/>
    <w:rsid w:val="00017D1E"/>
    <w:rsid w:val="00022361"/>
    <w:rsid w:val="00033355"/>
    <w:rsid w:val="000335A1"/>
    <w:rsid w:val="00033C2E"/>
    <w:rsid w:val="00034C3B"/>
    <w:rsid w:val="00035510"/>
    <w:rsid w:val="0003786A"/>
    <w:rsid w:val="00040969"/>
    <w:rsid w:val="000425E3"/>
    <w:rsid w:val="00043873"/>
    <w:rsid w:val="000449D2"/>
    <w:rsid w:val="00046CA5"/>
    <w:rsid w:val="00050E3B"/>
    <w:rsid w:val="00053079"/>
    <w:rsid w:val="00062ED3"/>
    <w:rsid w:val="0006443A"/>
    <w:rsid w:val="000661D9"/>
    <w:rsid w:val="00070F7D"/>
    <w:rsid w:val="00071CED"/>
    <w:rsid w:val="0007447A"/>
    <w:rsid w:val="00076817"/>
    <w:rsid w:val="00080D54"/>
    <w:rsid w:val="00080DEA"/>
    <w:rsid w:val="000812B3"/>
    <w:rsid w:val="00082FD0"/>
    <w:rsid w:val="000832B6"/>
    <w:rsid w:val="00083FA5"/>
    <w:rsid w:val="00090CF3"/>
    <w:rsid w:val="00091E44"/>
    <w:rsid w:val="00091F54"/>
    <w:rsid w:val="00093C25"/>
    <w:rsid w:val="00093D32"/>
    <w:rsid w:val="00095C42"/>
    <w:rsid w:val="000966D3"/>
    <w:rsid w:val="000A0095"/>
    <w:rsid w:val="000A0B4E"/>
    <w:rsid w:val="000A1B43"/>
    <w:rsid w:val="000A1B77"/>
    <w:rsid w:val="000A1FB7"/>
    <w:rsid w:val="000A40F7"/>
    <w:rsid w:val="000A5638"/>
    <w:rsid w:val="000B391A"/>
    <w:rsid w:val="000B4537"/>
    <w:rsid w:val="000B638E"/>
    <w:rsid w:val="000C3105"/>
    <w:rsid w:val="000C3CE5"/>
    <w:rsid w:val="000C3D76"/>
    <w:rsid w:val="000C54F7"/>
    <w:rsid w:val="000D3EEE"/>
    <w:rsid w:val="000D644B"/>
    <w:rsid w:val="000E41D3"/>
    <w:rsid w:val="000E6A9E"/>
    <w:rsid w:val="000F1FF8"/>
    <w:rsid w:val="000F2845"/>
    <w:rsid w:val="000F36DD"/>
    <w:rsid w:val="000F44FB"/>
    <w:rsid w:val="000F6A48"/>
    <w:rsid w:val="001003D5"/>
    <w:rsid w:val="001012D5"/>
    <w:rsid w:val="00103437"/>
    <w:rsid w:val="001071F6"/>
    <w:rsid w:val="0011119C"/>
    <w:rsid w:val="00111CA3"/>
    <w:rsid w:val="001121AD"/>
    <w:rsid w:val="00113B12"/>
    <w:rsid w:val="00113B22"/>
    <w:rsid w:val="00114111"/>
    <w:rsid w:val="00114DC8"/>
    <w:rsid w:val="001171C4"/>
    <w:rsid w:val="0012020C"/>
    <w:rsid w:val="00124715"/>
    <w:rsid w:val="00126B1D"/>
    <w:rsid w:val="00127690"/>
    <w:rsid w:val="0012799B"/>
    <w:rsid w:val="0013028C"/>
    <w:rsid w:val="00130411"/>
    <w:rsid w:val="00130B35"/>
    <w:rsid w:val="0013320D"/>
    <w:rsid w:val="00133260"/>
    <w:rsid w:val="0013440A"/>
    <w:rsid w:val="0013624D"/>
    <w:rsid w:val="00140032"/>
    <w:rsid w:val="001402F9"/>
    <w:rsid w:val="001423DC"/>
    <w:rsid w:val="00143F26"/>
    <w:rsid w:val="00146462"/>
    <w:rsid w:val="00146AD5"/>
    <w:rsid w:val="001477C3"/>
    <w:rsid w:val="0015002D"/>
    <w:rsid w:val="00155A6B"/>
    <w:rsid w:val="00157F78"/>
    <w:rsid w:val="0016007F"/>
    <w:rsid w:val="00165A39"/>
    <w:rsid w:val="00165DC3"/>
    <w:rsid w:val="00171274"/>
    <w:rsid w:val="00171B08"/>
    <w:rsid w:val="00171DD7"/>
    <w:rsid w:val="00173E10"/>
    <w:rsid w:val="0017506A"/>
    <w:rsid w:val="00176AB8"/>
    <w:rsid w:val="00177C82"/>
    <w:rsid w:val="00181B12"/>
    <w:rsid w:val="001830A9"/>
    <w:rsid w:val="001839D2"/>
    <w:rsid w:val="00183F23"/>
    <w:rsid w:val="00184FC8"/>
    <w:rsid w:val="0018535D"/>
    <w:rsid w:val="00186EC5"/>
    <w:rsid w:val="001872DA"/>
    <w:rsid w:val="00187A79"/>
    <w:rsid w:val="00192D71"/>
    <w:rsid w:val="001963BB"/>
    <w:rsid w:val="001966A1"/>
    <w:rsid w:val="001A471B"/>
    <w:rsid w:val="001A4C1F"/>
    <w:rsid w:val="001A7422"/>
    <w:rsid w:val="001B0A23"/>
    <w:rsid w:val="001B13B1"/>
    <w:rsid w:val="001B707B"/>
    <w:rsid w:val="001C5AA5"/>
    <w:rsid w:val="001D156A"/>
    <w:rsid w:val="001D440B"/>
    <w:rsid w:val="001D45FA"/>
    <w:rsid w:val="001D501C"/>
    <w:rsid w:val="001E1653"/>
    <w:rsid w:val="001E7E54"/>
    <w:rsid w:val="001F05B4"/>
    <w:rsid w:val="001F15F2"/>
    <w:rsid w:val="001F1E26"/>
    <w:rsid w:val="001F642E"/>
    <w:rsid w:val="001F773C"/>
    <w:rsid w:val="00200FEA"/>
    <w:rsid w:val="0020119E"/>
    <w:rsid w:val="00201933"/>
    <w:rsid w:val="00201F67"/>
    <w:rsid w:val="00202190"/>
    <w:rsid w:val="00202D56"/>
    <w:rsid w:val="00203E2B"/>
    <w:rsid w:val="00204392"/>
    <w:rsid w:val="0020454D"/>
    <w:rsid w:val="002046F7"/>
    <w:rsid w:val="00205C4A"/>
    <w:rsid w:val="002065DE"/>
    <w:rsid w:val="002109D9"/>
    <w:rsid w:val="0021254A"/>
    <w:rsid w:val="002151AC"/>
    <w:rsid w:val="002157DB"/>
    <w:rsid w:val="0021635B"/>
    <w:rsid w:val="0022649E"/>
    <w:rsid w:val="00226533"/>
    <w:rsid w:val="0022731F"/>
    <w:rsid w:val="00227E66"/>
    <w:rsid w:val="002325AA"/>
    <w:rsid w:val="0023296E"/>
    <w:rsid w:val="00232BC2"/>
    <w:rsid w:val="00233339"/>
    <w:rsid w:val="0023379A"/>
    <w:rsid w:val="00233E7B"/>
    <w:rsid w:val="002346C3"/>
    <w:rsid w:val="00234DFE"/>
    <w:rsid w:val="00235B7E"/>
    <w:rsid w:val="0024092F"/>
    <w:rsid w:val="002422B1"/>
    <w:rsid w:val="002422C9"/>
    <w:rsid w:val="00242FD5"/>
    <w:rsid w:val="002433B3"/>
    <w:rsid w:val="0024638E"/>
    <w:rsid w:val="0024785A"/>
    <w:rsid w:val="00252F0C"/>
    <w:rsid w:val="00261357"/>
    <w:rsid w:val="002627F2"/>
    <w:rsid w:val="00262AC1"/>
    <w:rsid w:val="00262E10"/>
    <w:rsid w:val="002662E9"/>
    <w:rsid w:val="0026636C"/>
    <w:rsid w:val="00266BD8"/>
    <w:rsid w:val="00266F30"/>
    <w:rsid w:val="002714CA"/>
    <w:rsid w:val="00275B71"/>
    <w:rsid w:val="00277E0C"/>
    <w:rsid w:val="0028149C"/>
    <w:rsid w:val="00285598"/>
    <w:rsid w:val="00287EA4"/>
    <w:rsid w:val="002922B3"/>
    <w:rsid w:val="00292A08"/>
    <w:rsid w:val="00294045"/>
    <w:rsid w:val="00295086"/>
    <w:rsid w:val="00295AAC"/>
    <w:rsid w:val="00296A35"/>
    <w:rsid w:val="00296C12"/>
    <w:rsid w:val="00296F40"/>
    <w:rsid w:val="002A0030"/>
    <w:rsid w:val="002A1A10"/>
    <w:rsid w:val="002A7D7C"/>
    <w:rsid w:val="002B089C"/>
    <w:rsid w:val="002B139C"/>
    <w:rsid w:val="002B2137"/>
    <w:rsid w:val="002B5908"/>
    <w:rsid w:val="002B6AAC"/>
    <w:rsid w:val="002C0955"/>
    <w:rsid w:val="002C366E"/>
    <w:rsid w:val="002C4C82"/>
    <w:rsid w:val="002C6EDB"/>
    <w:rsid w:val="002D03CB"/>
    <w:rsid w:val="002D4992"/>
    <w:rsid w:val="002D77C8"/>
    <w:rsid w:val="002D7ED3"/>
    <w:rsid w:val="002E243A"/>
    <w:rsid w:val="002E2901"/>
    <w:rsid w:val="002E2B0D"/>
    <w:rsid w:val="002E2D3C"/>
    <w:rsid w:val="002E35E1"/>
    <w:rsid w:val="002E4E52"/>
    <w:rsid w:val="002E5B3F"/>
    <w:rsid w:val="002F129D"/>
    <w:rsid w:val="002F1F26"/>
    <w:rsid w:val="002F270A"/>
    <w:rsid w:val="002F5521"/>
    <w:rsid w:val="002F6633"/>
    <w:rsid w:val="002F7868"/>
    <w:rsid w:val="003041FF"/>
    <w:rsid w:val="003051F5"/>
    <w:rsid w:val="00306391"/>
    <w:rsid w:val="00306457"/>
    <w:rsid w:val="003118A2"/>
    <w:rsid w:val="00313E63"/>
    <w:rsid w:val="00314227"/>
    <w:rsid w:val="00322E31"/>
    <w:rsid w:val="00326448"/>
    <w:rsid w:val="00327274"/>
    <w:rsid w:val="00327527"/>
    <w:rsid w:val="003312F3"/>
    <w:rsid w:val="003367CD"/>
    <w:rsid w:val="00336949"/>
    <w:rsid w:val="00341ACE"/>
    <w:rsid w:val="0034330D"/>
    <w:rsid w:val="00344B40"/>
    <w:rsid w:val="003461FF"/>
    <w:rsid w:val="00351D06"/>
    <w:rsid w:val="00351D77"/>
    <w:rsid w:val="00352BFF"/>
    <w:rsid w:val="00354B38"/>
    <w:rsid w:val="0035548D"/>
    <w:rsid w:val="0036002C"/>
    <w:rsid w:val="003605B4"/>
    <w:rsid w:val="00363CE8"/>
    <w:rsid w:val="00364D94"/>
    <w:rsid w:val="0036576B"/>
    <w:rsid w:val="003720C7"/>
    <w:rsid w:val="003739B6"/>
    <w:rsid w:val="00373DBE"/>
    <w:rsid w:val="00374B81"/>
    <w:rsid w:val="00384DA1"/>
    <w:rsid w:val="00386B8F"/>
    <w:rsid w:val="00387D19"/>
    <w:rsid w:val="003918FF"/>
    <w:rsid w:val="00392CD2"/>
    <w:rsid w:val="0039461C"/>
    <w:rsid w:val="00395B4E"/>
    <w:rsid w:val="003967B1"/>
    <w:rsid w:val="003A0AFA"/>
    <w:rsid w:val="003A1619"/>
    <w:rsid w:val="003A4813"/>
    <w:rsid w:val="003A4DF5"/>
    <w:rsid w:val="003A73F0"/>
    <w:rsid w:val="003B092F"/>
    <w:rsid w:val="003B1F2A"/>
    <w:rsid w:val="003B5608"/>
    <w:rsid w:val="003B612F"/>
    <w:rsid w:val="003B7F28"/>
    <w:rsid w:val="003B7F37"/>
    <w:rsid w:val="003B7FC2"/>
    <w:rsid w:val="003C00CC"/>
    <w:rsid w:val="003C21BC"/>
    <w:rsid w:val="003C3E29"/>
    <w:rsid w:val="003C4737"/>
    <w:rsid w:val="003D7198"/>
    <w:rsid w:val="003E197D"/>
    <w:rsid w:val="003E2057"/>
    <w:rsid w:val="003E3733"/>
    <w:rsid w:val="003E3B88"/>
    <w:rsid w:val="003E4234"/>
    <w:rsid w:val="003F0D47"/>
    <w:rsid w:val="003F0DD4"/>
    <w:rsid w:val="003F3F1E"/>
    <w:rsid w:val="003F74F1"/>
    <w:rsid w:val="00404F7B"/>
    <w:rsid w:val="00407BF0"/>
    <w:rsid w:val="00410CCA"/>
    <w:rsid w:val="00411510"/>
    <w:rsid w:val="00411DD9"/>
    <w:rsid w:val="00417B4F"/>
    <w:rsid w:val="00417C6F"/>
    <w:rsid w:val="004201E6"/>
    <w:rsid w:val="00422D16"/>
    <w:rsid w:val="00423E0B"/>
    <w:rsid w:val="004300D6"/>
    <w:rsid w:val="00430A87"/>
    <w:rsid w:val="00430DBE"/>
    <w:rsid w:val="00433C00"/>
    <w:rsid w:val="004347BF"/>
    <w:rsid w:val="00434B13"/>
    <w:rsid w:val="004360F5"/>
    <w:rsid w:val="0044207F"/>
    <w:rsid w:val="0044281A"/>
    <w:rsid w:val="00446FE7"/>
    <w:rsid w:val="00452F1D"/>
    <w:rsid w:val="00456999"/>
    <w:rsid w:val="00463F0E"/>
    <w:rsid w:val="0046474D"/>
    <w:rsid w:val="004651F2"/>
    <w:rsid w:val="0046736A"/>
    <w:rsid w:val="00467FC6"/>
    <w:rsid w:val="00470C9B"/>
    <w:rsid w:val="00471425"/>
    <w:rsid w:val="0047193E"/>
    <w:rsid w:val="004761F8"/>
    <w:rsid w:val="004768AD"/>
    <w:rsid w:val="00476B77"/>
    <w:rsid w:val="004771B6"/>
    <w:rsid w:val="0048001E"/>
    <w:rsid w:val="0048012B"/>
    <w:rsid w:val="0048455D"/>
    <w:rsid w:val="00484D02"/>
    <w:rsid w:val="00485D7A"/>
    <w:rsid w:val="00485EE3"/>
    <w:rsid w:val="00487B93"/>
    <w:rsid w:val="0049104E"/>
    <w:rsid w:val="00491AE0"/>
    <w:rsid w:val="00491CD5"/>
    <w:rsid w:val="0049532B"/>
    <w:rsid w:val="00495FF4"/>
    <w:rsid w:val="00497516"/>
    <w:rsid w:val="004A4088"/>
    <w:rsid w:val="004A6249"/>
    <w:rsid w:val="004A68D9"/>
    <w:rsid w:val="004B635F"/>
    <w:rsid w:val="004C50F8"/>
    <w:rsid w:val="004D0B12"/>
    <w:rsid w:val="004D5754"/>
    <w:rsid w:val="004D679E"/>
    <w:rsid w:val="004D7B1C"/>
    <w:rsid w:val="004E1094"/>
    <w:rsid w:val="004E15AC"/>
    <w:rsid w:val="004F353C"/>
    <w:rsid w:val="004F405F"/>
    <w:rsid w:val="004F4594"/>
    <w:rsid w:val="004F554B"/>
    <w:rsid w:val="004F65EF"/>
    <w:rsid w:val="004F6EA6"/>
    <w:rsid w:val="00500D73"/>
    <w:rsid w:val="00501D43"/>
    <w:rsid w:val="00503FA1"/>
    <w:rsid w:val="00510213"/>
    <w:rsid w:val="0051262C"/>
    <w:rsid w:val="00516637"/>
    <w:rsid w:val="0051761B"/>
    <w:rsid w:val="00521922"/>
    <w:rsid w:val="005219B0"/>
    <w:rsid w:val="005240D9"/>
    <w:rsid w:val="00525D96"/>
    <w:rsid w:val="00526EE3"/>
    <w:rsid w:val="005274F4"/>
    <w:rsid w:val="005277C8"/>
    <w:rsid w:val="00530CB0"/>
    <w:rsid w:val="00531773"/>
    <w:rsid w:val="00532795"/>
    <w:rsid w:val="0053651D"/>
    <w:rsid w:val="0053729A"/>
    <w:rsid w:val="00537453"/>
    <w:rsid w:val="00537BDF"/>
    <w:rsid w:val="005438FB"/>
    <w:rsid w:val="00543ECD"/>
    <w:rsid w:val="0054410E"/>
    <w:rsid w:val="005453BA"/>
    <w:rsid w:val="0055188C"/>
    <w:rsid w:val="00552D6B"/>
    <w:rsid w:val="00553224"/>
    <w:rsid w:val="00557689"/>
    <w:rsid w:val="00561C7F"/>
    <w:rsid w:val="0056444B"/>
    <w:rsid w:val="00566369"/>
    <w:rsid w:val="0056659C"/>
    <w:rsid w:val="00570881"/>
    <w:rsid w:val="00574219"/>
    <w:rsid w:val="00575B08"/>
    <w:rsid w:val="00576744"/>
    <w:rsid w:val="005779FB"/>
    <w:rsid w:val="005815C9"/>
    <w:rsid w:val="005832D6"/>
    <w:rsid w:val="00584CB7"/>
    <w:rsid w:val="00585144"/>
    <w:rsid w:val="00585F6D"/>
    <w:rsid w:val="0058618D"/>
    <w:rsid w:val="00590C6E"/>
    <w:rsid w:val="00591068"/>
    <w:rsid w:val="0059458D"/>
    <w:rsid w:val="00596149"/>
    <w:rsid w:val="0059677D"/>
    <w:rsid w:val="005A09B6"/>
    <w:rsid w:val="005A2603"/>
    <w:rsid w:val="005A3BD8"/>
    <w:rsid w:val="005A65A3"/>
    <w:rsid w:val="005B1D5D"/>
    <w:rsid w:val="005B5145"/>
    <w:rsid w:val="005B6827"/>
    <w:rsid w:val="005C391C"/>
    <w:rsid w:val="005C4216"/>
    <w:rsid w:val="005C6E6E"/>
    <w:rsid w:val="005D0538"/>
    <w:rsid w:val="005D30AB"/>
    <w:rsid w:val="005D310A"/>
    <w:rsid w:val="005D5C55"/>
    <w:rsid w:val="005D779D"/>
    <w:rsid w:val="005E0EB8"/>
    <w:rsid w:val="005E16FE"/>
    <w:rsid w:val="005E561D"/>
    <w:rsid w:val="005E7B29"/>
    <w:rsid w:val="005F0B02"/>
    <w:rsid w:val="005F16CF"/>
    <w:rsid w:val="005F3754"/>
    <w:rsid w:val="005F3BC8"/>
    <w:rsid w:val="006015D2"/>
    <w:rsid w:val="00601D46"/>
    <w:rsid w:val="0060294A"/>
    <w:rsid w:val="006051DC"/>
    <w:rsid w:val="0060751B"/>
    <w:rsid w:val="006105BA"/>
    <w:rsid w:val="006111CE"/>
    <w:rsid w:val="006163DD"/>
    <w:rsid w:val="006231E5"/>
    <w:rsid w:val="00624384"/>
    <w:rsid w:val="006248B3"/>
    <w:rsid w:val="006365F2"/>
    <w:rsid w:val="00636724"/>
    <w:rsid w:val="0064085C"/>
    <w:rsid w:val="006415A2"/>
    <w:rsid w:val="00646B9F"/>
    <w:rsid w:val="00651B57"/>
    <w:rsid w:val="00651F4C"/>
    <w:rsid w:val="00652B40"/>
    <w:rsid w:val="00654434"/>
    <w:rsid w:val="00660B45"/>
    <w:rsid w:val="00662848"/>
    <w:rsid w:val="00662FB8"/>
    <w:rsid w:val="00670054"/>
    <w:rsid w:val="006710B3"/>
    <w:rsid w:val="00672009"/>
    <w:rsid w:val="0067478B"/>
    <w:rsid w:val="00675775"/>
    <w:rsid w:val="006770E1"/>
    <w:rsid w:val="00677DF8"/>
    <w:rsid w:val="00681B28"/>
    <w:rsid w:val="00683DE1"/>
    <w:rsid w:val="006847F4"/>
    <w:rsid w:val="006849A1"/>
    <w:rsid w:val="00687451"/>
    <w:rsid w:val="0069249C"/>
    <w:rsid w:val="0069437A"/>
    <w:rsid w:val="00695140"/>
    <w:rsid w:val="00695E2A"/>
    <w:rsid w:val="006A23D0"/>
    <w:rsid w:val="006A2C25"/>
    <w:rsid w:val="006A386D"/>
    <w:rsid w:val="006A4F27"/>
    <w:rsid w:val="006A68F2"/>
    <w:rsid w:val="006B12C7"/>
    <w:rsid w:val="006B6CD2"/>
    <w:rsid w:val="006B7759"/>
    <w:rsid w:val="006C094E"/>
    <w:rsid w:val="006C2938"/>
    <w:rsid w:val="006C2A45"/>
    <w:rsid w:val="006C4E0B"/>
    <w:rsid w:val="006C5B00"/>
    <w:rsid w:val="006D6EBD"/>
    <w:rsid w:val="006E1D58"/>
    <w:rsid w:val="006E2F1B"/>
    <w:rsid w:val="006E44A3"/>
    <w:rsid w:val="006E538F"/>
    <w:rsid w:val="006E695D"/>
    <w:rsid w:val="006E7D87"/>
    <w:rsid w:val="006F025C"/>
    <w:rsid w:val="006F3A05"/>
    <w:rsid w:val="0070349E"/>
    <w:rsid w:val="007034C1"/>
    <w:rsid w:val="0070356D"/>
    <w:rsid w:val="0070755C"/>
    <w:rsid w:val="00707759"/>
    <w:rsid w:val="00712594"/>
    <w:rsid w:val="00713C80"/>
    <w:rsid w:val="00713F23"/>
    <w:rsid w:val="00717377"/>
    <w:rsid w:val="007220B3"/>
    <w:rsid w:val="00732E5A"/>
    <w:rsid w:val="00736579"/>
    <w:rsid w:val="00736AD3"/>
    <w:rsid w:val="007417AA"/>
    <w:rsid w:val="00743F96"/>
    <w:rsid w:val="00745188"/>
    <w:rsid w:val="00751AD9"/>
    <w:rsid w:val="00751E32"/>
    <w:rsid w:val="0075220B"/>
    <w:rsid w:val="00752C49"/>
    <w:rsid w:val="00754635"/>
    <w:rsid w:val="0075603C"/>
    <w:rsid w:val="007608C6"/>
    <w:rsid w:val="007612A8"/>
    <w:rsid w:val="007630B4"/>
    <w:rsid w:val="00763CE1"/>
    <w:rsid w:val="0076461D"/>
    <w:rsid w:val="0076587C"/>
    <w:rsid w:val="0076792F"/>
    <w:rsid w:val="00775787"/>
    <w:rsid w:val="0077598C"/>
    <w:rsid w:val="00784193"/>
    <w:rsid w:val="0078482E"/>
    <w:rsid w:val="007851F9"/>
    <w:rsid w:val="00785547"/>
    <w:rsid w:val="007912EC"/>
    <w:rsid w:val="00791BAE"/>
    <w:rsid w:val="00796AF9"/>
    <w:rsid w:val="007A0DCE"/>
    <w:rsid w:val="007A4814"/>
    <w:rsid w:val="007A4F43"/>
    <w:rsid w:val="007A5A0B"/>
    <w:rsid w:val="007B0B21"/>
    <w:rsid w:val="007B2521"/>
    <w:rsid w:val="007B25AB"/>
    <w:rsid w:val="007B38BD"/>
    <w:rsid w:val="007B480F"/>
    <w:rsid w:val="007B49AC"/>
    <w:rsid w:val="007B71B5"/>
    <w:rsid w:val="007C1F9D"/>
    <w:rsid w:val="007C625B"/>
    <w:rsid w:val="007C69A2"/>
    <w:rsid w:val="007C7314"/>
    <w:rsid w:val="007D04D1"/>
    <w:rsid w:val="007D0B1F"/>
    <w:rsid w:val="007D499E"/>
    <w:rsid w:val="007D60B2"/>
    <w:rsid w:val="007D6BCD"/>
    <w:rsid w:val="007E068D"/>
    <w:rsid w:val="007E373D"/>
    <w:rsid w:val="007E5EC0"/>
    <w:rsid w:val="007F0428"/>
    <w:rsid w:val="007F0893"/>
    <w:rsid w:val="007F09B5"/>
    <w:rsid w:val="007F366B"/>
    <w:rsid w:val="007F53E3"/>
    <w:rsid w:val="007F6D05"/>
    <w:rsid w:val="00801057"/>
    <w:rsid w:val="00801370"/>
    <w:rsid w:val="00812D6C"/>
    <w:rsid w:val="00815CBA"/>
    <w:rsid w:val="008166CE"/>
    <w:rsid w:val="00820C45"/>
    <w:rsid w:val="0082156D"/>
    <w:rsid w:val="00821A1D"/>
    <w:rsid w:val="00823A4A"/>
    <w:rsid w:val="00823D1F"/>
    <w:rsid w:val="00823EA3"/>
    <w:rsid w:val="00825754"/>
    <w:rsid w:val="00825777"/>
    <w:rsid w:val="00826645"/>
    <w:rsid w:val="00826C80"/>
    <w:rsid w:val="0082771B"/>
    <w:rsid w:val="00830ECC"/>
    <w:rsid w:val="00833E1F"/>
    <w:rsid w:val="008340BC"/>
    <w:rsid w:val="00834E5B"/>
    <w:rsid w:val="008366A5"/>
    <w:rsid w:val="00842FD0"/>
    <w:rsid w:val="00844CA7"/>
    <w:rsid w:val="008451B9"/>
    <w:rsid w:val="00847DFB"/>
    <w:rsid w:val="008533AC"/>
    <w:rsid w:val="008552A1"/>
    <w:rsid w:val="00856253"/>
    <w:rsid w:val="008621E2"/>
    <w:rsid w:val="00862AC1"/>
    <w:rsid w:val="00866E06"/>
    <w:rsid w:val="00867230"/>
    <w:rsid w:val="008708EC"/>
    <w:rsid w:val="00871053"/>
    <w:rsid w:val="00872588"/>
    <w:rsid w:val="00873902"/>
    <w:rsid w:val="00875931"/>
    <w:rsid w:val="008773C2"/>
    <w:rsid w:val="008776EA"/>
    <w:rsid w:val="00881BE6"/>
    <w:rsid w:val="008822A8"/>
    <w:rsid w:val="00883540"/>
    <w:rsid w:val="0088366A"/>
    <w:rsid w:val="00886291"/>
    <w:rsid w:val="00887131"/>
    <w:rsid w:val="00893A49"/>
    <w:rsid w:val="00894627"/>
    <w:rsid w:val="00895662"/>
    <w:rsid w:val="00895A0E"/>
    <w:rsid w:val="0089781D"/>
    <w:rsid w:val="00897E28"/>
    <w:rsid w:val="00897E7A"/>
    <w:rsid w:val="008A23B9"/>
    <w:rsid w:val="008A2DF1"/>
    <w:rsid w:val="008A5C6D"/>
    <w:rsid w:val="008A7DAA"/>
    <w:rsid w:val="008B04D6"/>
    <w:rsid w:val="008B4469"/>
    <w:rsid w:val="008B6470"/>
    <w:rsid w:val="008B7D40"/>
    <w:rsid w:val="008C07CA"/>
    <w:rsid w:val="008C2B13"/>
    <w:rsid w:val="008C360E"/>
    <w:rsid w:val="008C7EF6"/>
    <w:rsid w:val="008D0843"/>
    <w:rsid w:val="008D2AF8"/>
    <w:rsid w:val="008D304B"/>
    <w:rsid w:val="008D47EC"/>
    <w:rsid w:val="008D52A2"/>
    <w:rsid w:val="008D5EE2"/>
    <w:rsid w:val="008E0BAD"/>
    <w:rsid w:val="008E46E7"/>
    <w:rsid w:val="008E490C"/>
    <w:rsid w:val="008E5ADC"/>
    <w:rsid w:val="008F0740"/>
    <w:rsid w:val="008F428E"/>
    <w:rsid w:val="008F5D41"/>
    <w:rsid w:val="008F6F3B"/>
    <w:rsid w:val="008F7584"/>
    <w:rsid w:val="008F7EF9"/>
    <w:rsid w:val="00900F37"/>
    <w:rsid w:val="009071EE"/>
    <w:rsid w:val="00911A77"/>
    <w:rsid w:val="00913B8A"/>
    <w:rsid w:val="009150D8"/>
    <w:rsid w:val="00916CAE"/>
    <w:rsid w:val="00922DAC"/>
    <w:rsid w:val="00923E48"/>
    <w:rsid w:val="00926657"/>
    <w:rsid w:val="00931256"/>
    <w:rsid w:val="00934661"/>
    <w:rsid w:val="00941E03"/>
    <w:rsid w:val="0094281E"/>
    <w:rsid w:val="00945CC3"/>
    <w:rsid w:val="009466A0"/>
    <w:rsid w:val="0094746B"/>
    <w:rsid w:val="00950BD8"/>
    <w:rsid w:val="0095285A"/>
    <w:rsid w:val="00952E34"/>
    <w:rsid w:val="00954389"/>
    <w:rsid w:val="00954DA8"/>
    <w:rsid w:val="00961F06"/>
    <w:rsid w:val="00970469"/>
    <w:rsid w:val="009713E2"/>
    <w:rsid w:val="00982171"/>
    <w:rsid w:val="009836FB"/>
    <w:rsid w:val="009837CE"/>
    <w:rsid w:val="00984A73"/>
    <w:rsid w:val="00984BD4"/>
    <w:rsid w:val="00986301"/>
    <w:rsid w:val="00991446"/>
    <w:rsid w:val="00992D5E"/>
    <w:rsid w:val="00995FB0"/>
    <w:rsid w:val="009978A2"/>
    <w:rsid w:val="00997E1C"/>
    <w:rsid w:val="009A2A43"/>
    <w:rsid w:val="009A374F"/>
    <w:rsid w:val="009A53F2"/>
    <w:rsid w:val="009A55BA"/>
    <w:rsid w:val="009A571E"/>
    <w:rsid w:val="009A640E"/>
    <w:rsid w:val="009B2FF3"/>
    <w:rsid w:val="009B5A54"/>
    <w:rsid w:val="009B6143"/>
    <w:rsid w:val="009B6B34"/>
    <w:rsid w:val="009C1890"/>
    <w:rsid w:val="009C46FF"/>
    <w:rsid w:val="009C4A05"/>
    <w:rsid w:val="009C511C"/>
    <w:rsid w:val="009C5886"/>
    <w:rsid w:val="009C5FAE"/>
    <w:rsid w:val="009D0C3A"/>
    <w:rsid w:val="009D271A"/>
    <w:rsid w:val="009D7BB9"/>
    <w:rsid w:val="009E10BE"/>
    <w:rsid w:val="009E6DE9"/>
    <w:rsid w:val="009F0381"/>
    <w:rsid w:val="009F184B"/>
    <w:rsid w:val="009F2363"/>
    <w:rsid w:val="009F4BA9"/>
    <w:rsid w:val="009F6115"/>
    <w:rsid w:val="009F6560"/>
    <w:rsid w:val="00A04738"/>
    <w:rsid w:val="00A0623D"/>
    <w:rsid w:val="00A06628"/>
    <w:rsid w:val="00A11400"/>
    <w:rsid w:val="00A11FEB"/>
    <w:rsid w:val="00A135E1"/>
    <w:rsid w:val="00A17235"/>
    <w:rsid w:val="00A2095B"/>
    <w:rsid w:val="00A20FED"/>
    <w:rsid w:val="00A23255"/>
    <w:rsid w:val="00A25E56"/>
    <w:rsid w:val="00A30293"/>
    <w:rsid w:val="00A30350"/>
    <w:rsid w:val="00A306BB"/>
    <w:rsid w:val="00A33D17"/>
    <w:rsid w:val="00A35A80"/>
    <w:rsid w:val="00A36C5D"/>
    <w:rsid w:val="00A373F8"/>
    <w:rsid w:val="00A37FED"/>
    <w:rsid w:val="00A40150"/>
    <w:rsid w:val="00A4015B"/>
    <w:rsid w:val="00A40829"/>
    <w:rsid w:val="00A420D1"/>
    <w:rsid w:val="00A42D4C"/>
    <w:rsid w:val="00A42FD7"/>
    <w:rsid w:val="00A43512"/>
    <w:rsid w:val="00A50DC6"/>
    <w:rsid w:val="00A5273A"/>
    <w:rsid w:val="00A52C70"/>
    <w:rsid w:val="00A575DC"/>
    <w:rsid w:val="00A629DF"/>
    <w:rsid w:val="00A65CEB"/>
    <w:rsid w:val="00A6713A"/>
    <w:rsid w:val="00A67C53"/>
    <w:rsid w:val="00A67C7F"/>
    <w:rsid w:val="00A706AD"/>
    <w:rsid w:val="00A73026"/>
    <w:rsid w:val="00A744CF"/>
    <w:rsid w:val="00A74505"/>
    <w:rsid w:val="00A74A10"/>
    <w:rsid w:val="00A75A37"/>
    <w:rsid w:val="00A76A08"/>
    <w:rsid w:val="00A76FE9"/>
    <w:rsid w:val="00A81ACB"/>
    <w:rsid w:val="00A81CE6"/>
    <w:rsid w:val="00A85323"/>
    <w:rsid w:val="00A9355C"/>
    <w:rsid w:val="00A93615"/>
    <w:rsid w:val="00A9767A"/>
    <w:rsid w:val="00AA1427"/>
    <w:rsid w:val="00AA2044"/>
    <w:rsid w:val="00AA7301"/>
    <w:rsid w:val="00AB0A8A"/>
    <w:rsid w:val="00AB1A16"/>
    <w:rsid w:val="00AB2314"/>
    <w:rsid w:val="00AB43B9"/>
    <w:rsid w:val="00AB725D"/>
    <w:rsid w:val="00AC07ED"/>
    <w:rsid w:val="00AC142A"/>
    <w:rsid w:val="00AC6559"/>
    <w:rsid w:val="00AD234E"/>
    <w:rsid w:val="00AD2F47"/>
    <w:rsid w:val="00AD4E02"/>
    <w:rsid w:val="00AD6C59"/>
    <w:rsid w:val="00AD6E44"/>
    <w:rsid w:val="00AE1858"/>
    <w:rsid w:val="00AE1888"/>
    <w:rsid w:val="00AE1D28"/>
    <w:rsid w:val="00AE3359"/>
    <w:rsid w:val="00AF2CFB"/>
    <w:rsid w:val="00AF50B0"/>
    <w:rsid w:val="00AF6DDE"/>
    <w:rsid w:val="00B00FF5"/>
    <w:rsid w:val="00B01785"/>
    <w:rsid w:val="00B02608"/>
    <w:rsid w:val="00B13DC5"/>
    <w:rsid w:val="00B14203"/>
    <w:rsid w:val="00B1511F"/>
    <w:rsid w:val="00B152CA"/>
    <w:rsid w:val="00B16307"/>
    <w:rsid w:val="00B169E9"/>
    <w:rsid w:val="00B16FA5"/>
    <w:rsid w:val="00B179C6"/>
    <w:rsid w:val="00B20577"/>
    <w:rsid w:val="00B23AD9"/>
    <w:rsid w:val="00B2446E"/>
    <w:rsid w:val="00B26BE9"/>
    <w:rsid w:val="00B26C54"/>
    <w:rsid w:val="00B26ED2"/>
    <w:rsid w:val="00B316E3"/>
    <w:rsid w:val="00B32BCD"/>
    <w:rsid w:val="00B32DC0"/>
    <w:rsid w:val="00B351AB"/>
    <w:rsid w:val="00B40BF6"/>
    <w:rsid w:val="00B424A4"/>
    <w:rsid w:val="00B42C99"/>
    <w:rsid w:val="00B45183"/>
    <w:rsid w:val="00B451EB"/>
    <w:rsid w:val="00B45BF3"/>
    <w:rsid w:val="00B45C15"/>
    <w:rsid w:val="00B45F8F"/>
    <w:rsid w:val="00B55812"/>
    <w:rsid w:val="00B56A05"/>
    <w:rsid w:val="00B57886"/>
    <w:rsid w:val="00B63E07"/>
    <w:rsid w:val="00B66D6A"/>
    <w:rsid w:val="00B67DB6"/>
    <w:rsid w:val="00B70617"/>
    <w:rsid w:val="00B730FD"/>
    <w:rsid w:val="00B771EC"/>
    <w:rsid w:val="00B8084B"/>
    <w:rsid w:val="00B822F2"/>
    <w:rsid w:val="00B82AA9"/>
    <w:rsid w:val="00B83326"/>
    <w:rsid w:val="00B84103"/>
    <w:rsid w:val="00B854DA"/>
    <w:rsid w:val="00B90301"/>
    <w:rsid w:val="00B957F9"/>
    <w:rsid w:val="00B97BDF"/>
    <w:rsid w:val="00BA051B"/>
    <w:rsid w:val="00BA0BFD"/>
    <w:rsid w:val="00BA592B"/>
    <w:rsid w:val="00BA7852"/>
    <w:rsid w:val="00BB60EB"/>
    <w:rsid w:val="00BC06D9"/>
    <w:rsid w:val="00BC0C25"/>
    <w:rsid w:val="00BC2992"/>
    <w:rsid w:val="00BC29BE"/>
    <w:rsid w:val="00BC2F24"/>
    <w:rsid w:val="00BC47DF"/>
    <w:rsid w:val="00BC5A24"/>
    <w:rsid w:val="00BC5E90"/>
    <w:rsid w:val="00BC6C12"/>
    <w:rsid w:val="00BD0E3B"/>
    <w:rsid w:val="00BD4856"/>
    <w:rsid w:val="00BE1F65"/>
    <w:rsid w:val="00BE59AD"/>
    <w:rsid w:val="00BE7AD3"/>
    <w:rsid w:val="00BF019A"/>
    <w:rsid w:val="00BF0D90"/>
    <w:rsid w:val="00BF2A65"/>
    <w:rsid w:val="00BF5721"/>
    <w:rsid w:val="00C00A44"/>
    <w:rsid w:val="00C026BA"/>
    <w:rsid w:val="00C032F7"/>
    <w:rsid w:val="00C068C3"/>
    <w:rsid w:val="00C11DD4"/>
    <w:rsid w:val="00C122F6"/>
    <w:rsid w:val="00C125F7"/>
    <w:rsid w:val="00C12A17"/>
    <w:rsid w:val="00C12DC0"/>
    <w:rsid w:val="00C14FD4"/>
    <w:rsid w:val="00C15CDD"/>
    <w:rsid w:val="00C2106C"/>
    <w:rsid w:val="00C21472"/>
    <w:rsid w:val="00C30682"/>
    <w:rsid w:val="00C33C04"/>
    <w:rsid w:val="00C34AB9"/>
    <w:rsid w:val="00C34EAF"/>
    <w:rsid w:val="00C43CCD"/>
    <w:rsid w:val="00C45B23"/>
    <w:rsid w:val="00C46545"/>
    <w:rsid w:val="00C4708F"/>
    <w:rsid w:val="00C473CE"/>
    <w:rsid w:val="00C51256"/>
    <w:rsid w:val="00C52A12"/>
    <w:rsid w:val="00C540B9"/>
    <w:rsid w:val="00C57B97"/>
    <w:rsid w:val="00C6110B"/>
    <w:rsid w:val="00C61926"/>
    <w:rsid w:val="00C63B7A"/>
    <w:rsid w:val="00C6536C"/>
    <w:rsid w:val="00C75110"/>
    <w:rsid w:val="00C77C41"/>
    <w:rsid w:val="00C85606"/>
    <w:rsid w:val="00C87A94"/>
    <w:rsid w:val="00C903F5"/>
    <w:rsid w:val="00C93CBC"/>
    <w:rsid w:val="00C9519C"/>
    <w:rsid w:val="00C96975"/>
    <w:rsid w:val="00C96AF7"/>
    <w:rsid w:val="00CA01CD"/>
    <w:rsid w:val="00CA1D14"/>
    <w:rsid w:val="00CA3042"/>
    <w:rsid w:val="00CA45DA"/>
    <w:rsid w:val="00CA4B76"/>
    <w:rsid w:val="00CA6B58"/>
    <w:rsid w:val="00CB11FF"/>
    <w:rsid w:val="00CB5782"/>
    <w:rsid w:val="00CB5DC6"/>
    <w:rsid w:val="00CB7B86"/>
    <w:rsid w:val="00CC0BC6"/>
    <w:rsid w:val="00CC2515"/>
    <w:rsid w:val="00CC2B2A"/>
    <w:rsid w:val="00CC4FD1"/>
    <w:rsid w:val="00CC51E4"/>
    <w:rsid w:val="00CC589E"/>
    <w:rsid w:val="00CC5F8A"/>
    <w:rsid w:val="00CC7C4E"/>
    <w:rsid w:val="00CC7E2A"/>
    <w:rsid w:val="00CD2A25"/>
    <w:rsid w:val="00CD3FEB"/>
    <w:rsid w:val="00CD6BF6"/>
    <w:rsid w:val="00CD78C8"/>
    <w:rsid w:val="00CD79D3"/>
    <w:rsid w:val="00CE22B1"/>
    <w:rsid w:val="00CE2E39"/>
    <w:rsid w:val="00CE49AA"/>
    <w:rsid w:val="00CE4F4B"/>
    <w:rsid w:val="00CE5A45"/>
    <w:rsid w:val="00CE718C"/>
    <w:rsid w:val="00CF00A8"/>
    <w:rsid w:val="00CF09DE"/>
    <w:rsid w:val="00CF0E6F"/>
    <w:rsid w:val="00CF1FED"/>
    <w:rsid w:val="00CF4561"/>
    <w:rsid w:val="00CF45A6"/>
    <w:rsid w:val="00CF51A0"/>
    <w:rsid w:val="00CF6FF0"/>
    <w:rsid w:val="00CF7E5C"/>
    <w:rsid w:val="00D013A3"/>
    <w:rsid w:val="00D04F3D"/>
    <w:rsid w:val="00D05E15"/>
    <w:rsid w:val="00D06D13"/>
    <w:rsid w:val="00D1241E"/>
    <w:rsid w:val="00D13BCE"/>
    <w:rsid w:val="00D15F48"/>
    <w:rsid w:val="00D172FD"/>
    <w:rsid w:val="00D32107"/>
    <w:rsid w:val="00D32CEC"/>
    <w:rsid w:val="00D34D91"/>
    <w:rsid w:val="00D41F18"/>
    <w:rsid w:val="00D42BD0"/>
    <w:rsid w:val="00D47091"/>
    <w:rsid w:val="00D50019"/>
    <w:rsid w:val="00D506D1"/>
    <w:rsid w:val="00D516CF"/>
    <w:rsid w:val="00D52D8C"/>
    <w:rsid w:val="00D5357D"/>
    <w:rsid w:val="00D55349"/>
    <w:rsid w:val="00D61EA6"/>
    <w:rsid w:val="00D63A29"/>
    <w:rsid w:val="00D649C2"/>
    <w:rsid w:val="00D66A3F"/>
    <w:rsid w:val="00D67867"/>
    <w:rsid w:val="00D70176"/>
    <w:rsid w:val="00D734FD"/>
    <w:rsid w:val="00D74A3E"/>
    <w:rsid w:val="00D75ADA"/>
    <w:rsid w:val="00D812E4"/>
    <w:rsid w:val="00D84CF9"/>
    <w:rsid w:val="00D8595F"/>
    <w:rsid w:val="00D86689"/>
    <w:rsid w:val="00D919F2"/>
    <w:rsid w:val="00D93A77"/>
    <w:rsid w:val="00DA39FF"/>
    <w:rsid w:val="00DA6659"/>
    <w:rsid w:val="00DB0926"/>
    <w:rsid w:val="00DB231E"/>
    <w:rsid w:val="00DB2702"/>
    <w:rsid w:val="00DB2B56"/>
    <w:rsid w:val="00DB36DD"/>
    <w:rsid w:val="00DB4964"/>
    <w:rsid w:val="00DB62A8"/>
    <w:rsid w:val="00DB6D48"/>
    <w:rsid w:val="00DB7694"/>
    <w:rsid w:val="00DC0C7D"/>
    <w:rsid w:val="00DC37CA"/>
    <w:rsid w:val="00DC3FE0"/>
    <w:rsid w:val="00DC5742"/>
    <w:rsid w:val="00DC5D2D"/>
    <w:rsid w:val="00DC75E3"/>
    <w:rsid w:val="00DC7658"/>
    <w:rsid w:val="00DC7D8A"/>
    <w:rsid w:val="00DD0955"/>
    <w:rsid w:val="00DD16E5"/>
    <w:rsid w:val="00DE031B"/>
    <w:rsid w:val="00DE28A8"/>
    <w:rsid w:val="00DE35DB"/>
    <w:rsid w:val="00DE36A8"/>
    <w:rsid w:val="00DF0B1C"/>
    <w:rsid w:val="00DF1B89"/>
    <w:rsid w:val="00DF4A9D"/>
    <w:rsid w:val="00DF61DD"/>
    <w:rsid w:val="00DF791F"/>
    <w:rsid w:val="00E01F8D"/>
    <w:rsid w:val="00E04C14"/>
    <w:rsid w:val="00E050E2"/>
    <w:rsid w:val="00E069D5"/>
    <w:rsid w:val="00E06DDC"/>
    <w:rsid w:val="00E07A54"/>
    <w:rsid w:val="00E12280"/>
    <w:rsid w:val="00E12F8C"/>
    <w:rsid w:val="00E13BF7"/>
    <w:rsid w:val="00E13DD2"/>
    <w:rsid w:val="00E152A3"/>
    <w:rsid w:val="00E16121"/>
    <w:rsid w:val="00E22BDB"/>
    <w:rsid w:val="00E24199"/>
    <w:rsid w:val="00E24338"/>
    <w:rsid w:val="00E25CDD"/>
    <w:rsid w:val="00E25D35"/>
    <w:rsid w:val="00E300D4"/>
    <w:rsid w:val="00E31527"/>
    <w:rsid w:val="00E32DCE"/>
    <w:rsid w:val="00E35024"/>
    <w:rsid w:val="00E35B55"/>
    <w:rsid w:val="00E37A0E"/>
    <w:rsid w:val="00E479E6"/>
    <w:rsid w:val="00E53456"/>
    <w:rsid w:val="00E53941"/>
    <w:rsid w:val="00E5779F"/>
    <w:rsid w:val="00E749CC"/>
    <w:rsid w:val="00E75646"/>
    <w:rsid w:val="00E831E9"/>
    <w:rsid w:val="00E85FE7"/>
    <w:rsid w:val="00E864D2"/>
    <w:rsid w:val="00E9052F"/>
    <w:rsid w:val="00E92337"/>
    <w:rsid w:val="00E92C5C"/>
    <w:rsid w:val="00E9355C"/>
    <w:rsid w:val="00E972CF"/>
    <w:rsid w:val="00EA04B2"/>
    <w:rsid w:val="00EA6150"/>
    <w:rsid w:val="00EA7BCE"/>
    <w:rsid w:val="00EB7098"/>
    <w:rsid w:val="00EB73DE"/>
    <w:rsid w:val="00EB7EDE"/>
    <w:rsid w:val="00EC0045"/>
    <w:rsid w:val="00EC1256"/>
    <w:rsid w:val="00EC577F"/>
    <w:rsid w:val="00EC6B19"/>
    <w:rsid w:val="00EC6E23"/>
    <w:rsid w:val="00EC7AE7"/>
    <w:rsid w:val="00ED5202"/>
    <w:rsid w:val="00ED6D14"/>
    <w:rsid w:val="00EF0346"/>
    <w:rsid w:val="00EF170E"/>
    <w:rsid w:val="00EF1820"/>
    <w:rsid w:val="00EF5F64"/>
    <w:rsid w:val="00EF6D98"/>
    <w:rsid w:val="00EF700C"/>
    <w:rsid w:val="00EF7E74"/>
    <w:rsid w:val="00F00862"/>
    <w:rsid w:val="00F03F06"/>
    <w:rsid w:val="00F05C8B"/>
    <w:rsid w:val="00F07D84"/>
    <w:rsid w:val="00F119AC"/>
    <w:rsid w:val="00F1278A"/>
    <w:rsid w:val="00F12B1C"/>
    <w:rsid w:val="00F1333B"/>
    <w:rsid w:val="00F14684"/>
    <w:rsid w:val="00F14CB3"/>
    <w:rsid w:val="00F21C5B"/>
    <w:rsid w:val="00F251CC"/>
    <w:rsid w:val="00F26363"/>
    <w:rsid w:val="00F3110A"/>
    <w:rsid w:val="00F32CA4"/>
    <w:rsid w:val="00F3344D"/>
    <w:rsid w:val="00F4002F"/>
    <w:rsid w:val="00F41A5F"/>
    <w:rsid w:val="00F437D1"/>
    <w:rsid w:val="00F43F8B"/>
    <w:rsid w:val="00F47F04"/>
    <w:rsid w:val="00F564EF"/>
    <w:rsid w:val="00F574EC"/>
    <w:rsid w:val="00F6089A"/>
    <w:rsid w:val="00F60B85"/>
    <w:rsid w:val="00F616DD"/>
    <w:rsid w:val="00F616F4"/>
    <w:rsid w:val="00F624F0"/>
    <w:rsid w:val="00F63590"/>
    <w:rsid w:val="00F647FA"/>
    <w:rsid w:val="00F64A42"/>
    <w:rsid w:val="00F65217"/>
    <w:rsid w:val="00F66CE4"/>
    <w:rsid w:val="00F746A2"/>
    <w:rsid w:val="00F7548D"/>
    <w:rsid w:val="00F76FE7"/>
    <w:rsid w:val="00F779BB"/>
    <w:rsid w:val="00F81DF8"/>
    <w:rsid w:val="00F860E8"/>
    <w:rsid w:val="00F919F1"/>
    <w:rsid w:val="00F91F7B"/>
    <w:rsid w:val="00F92016"/>
    <w:rsid w:val="00F93462"/>
    <w:rsid w:val="00FA3456"/>
    <w:rsid w:val="00FA6DA2"/>
    <w:rsid w:val="00FB0943"/>
    <w:rsid w:val="00FB2F01"/>
    <w:rsid w:val="00FB4A51"/>
    <w:rsid w:val="00FB5A99"/>
    <w:rsid w:val="00FC2025"/>
    <w:rsid w:val="00FD2438"/>
    <w:rsid w:val="00FD28EC"/>
    <w:rsid w:val="00FD373A"/>
    <w:rsid w:val="00FD4E24"/>
    <w:rsid w:val="00FD5138"/>
    <w:rsid w:val="00FD6750"/>
    <w:rsid w:val="00FD6ABE"/>
    <w:rsid w:val="00FD6F29"/>
    <w:rsid w:val="00FE0D18"/>
    <w:rsid w:val="00FE6323"/>
    <w:rsid w:val="00FE64A1"/>
    <w:rsid w:val="00FF03BB"/>
    <w:rsid w:val="00FF1694"/>
    <w:rsid w:val="00FF1C61"/>
    <w:rsid w:val="00FF232C"/>
    <w:rsid w:val="00FF3808"/>
    <w:rsid w:val="00FF389C"/>
    <w:rsid w:val="0628ECB5"/>
    <w:rsid w:val="0D097FB4"/>
    <w:rsid w:val="0FECA90C"/>
    <w:rsid w:val="1246D161"/>
    <w:rsid w:val="1447DFEA"/>
    <w:rsid w:val="18F8DC55"/>
    <w:rsid w:val="29DB0C95"/>
    <w:rsid w:val="30020CE7"/>
    <w:rsid w:val="35F92399"/>
    <w:rsid w:val="486E1153"/>
    <w:rsid w:val="4BAF2904"/>
    <w:rsid w:val="4E75C79C"/>
    <w:rsid w:val="4ED8EBC1"/>
    <w:rsid w:val="519305D7"/>
    <w:rsid w:val="5B752507"/>
    <w:rsid w:val="5BE8FCD7"/>
    <w:rsid w:val="5EEDB4B4"/>
    <w:rsid w:val="75DDA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C2858D9"/>
  <w15:chartTrackingRefBased/>
  <w15:docId w15:val="{EAF0A50B-41CE-47EE-96FB-1EE768D77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120" w:line="360" w:lineRule="auto"/>
        <w:ind w:left="567" w:right="340" w:hanging="34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23296E"/>
    <w:pPr>
      <w:keepNext/>
      <w:spacing w:before="0" w:line="240" w:lineRule="auto"/>
      <w:ind w:left="576" w:right="0" w:hanging="576"/>
      <w:jc w:val="left"/>
      <w:outlineLvl w:val="0"/>
    </w:pPr>
    <w:rPr>
      <w:rFonts w:ascii="Tahoma" w:eastAsia="SimSun" w:hAnsi="Tahoma" w:cs="Times New Roman"/>
      <w:b/>
      <w:kern w:val="28"/>
    </w:rPr>
  </w:style>
  <w:style w:type="paragraph" w:styleId="Heading2">
    <w:name w:val="heading 2"/>
    <w:basedOn w:val="Normal"/>
    <w:link w:val="Heading2Char"/>
    <w:uiPriority w:val="9"/>
    <w:qFormat/>
    <w:rsid w:val="001B13B1"/>
    <w:pPr>
      <w:spacing w:before="0" w:line="240" w:lineRule="auto"/>
      <w:ind w:left="576" w:right="0" w:hanging="576"/>
      <w:outlineLvl w:val="1"/>
    </w:pPr>
    <w:rPr>
      <w:rFonts w:ascii="Tahoma" w:eastAsia="SimSun" w:hAnsi="Tahoma" w:cs="Times New Roman"/>
      <w:b/>
      <w:color w:val="000000"/>
    </w:rPr>
  </w:style>
  <w:style w:type="paragraph" w:styleId="Heading3">
    <w:name w:val="heading 3"/>
    <w:basedOn w:val="Normal"/>
    <w:link w:val="Heading3Char"/>
    <w:uiPriority w:val="9"/>
    <w:qFormat/>
    <w:rsid w:val="003739B6"/>
    <w:pPr>
      <w:spacing w:before="100" w:beforeAutospacing="1" w:after="100" w:afterAutospacing="1" w:line="240" w:lineRule="auto"/>
      <w:outlineLvl w:val="2"/>
    </w:pPr>
    <w:rPr>
      <w:rFonts w:ascii="Century Gothic Bold" w:eastAsia="Times New Roman" w:hAnsi="Century Gothic Bold" w:cs="Times New Roman"/>
      <w:b/>
      <w:bCs/>
      <w:color w:val="00838D"/>
      <w:sz w:val="24"/>
      <w:szCs w:val="24"/>
      <w:lang w:eastAsia="en-GB"/>
    </w:rPr>
  </w:style>
  <w:style w:type="paragraph" w:styleId="Heading4">
    <w:name w:val="heading 4"/>
    <w:basedOn w:val="Normal"/>
    <w:next w:val="Normal"/>
    <w:link w:val="Heading4Char"/>
    <w:uiPriority w:val="9"/>
    <w:unhideWhenUsed/>
    <w:qFormat/>
    <w:rsid w:val="005D30A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01370"/>
    <w:pPr>
      <w:ind w:left="720"/>
      <w:contextualSpacing/>
    </w:pPr>
  </w:style>
  <w:style w:type="paragraph" w:styleId="Header">
    <w:name w:val="header"/>
    <w:basedOn w:val="Normal"/>
    <w:link w:val="HeaderChar"/>
    <w:uiPriority w:val="99"/>
    <w:unhideWhenUsed/>
    <w:rsid w:val="00CF09DE"/>
    <w:pPr>
      <w:tabs>
        <w:tab w:val="center" w:pos="4513"/>
        <w:tab w:val="right" w:pos="9026"/>
      </w:tabs>
      <w:spacing w:line="240" w:lineRule="auto"/>
    </w:pPr>
  </w:style>
  <w:style w:type="character" w:customStyle="1" w:styleId="HeaderChar">
    <w:name w:val="Header Char"/>
    <w:basedOn w:val="DefaultParagraphFont"/>
    <w:link w:val="Header"/>
    <w:uiPriority w:val="99"/>
    <w:rsid w:val="00CF09DE"/>
  </w:style>
  <w:style w:type="paragraph" w:styleId="Footer">
    <w:name w:val="footer"/>
    <w:basedOn w:val="Normal"/>
    <w:link w:val="FooterChar"/>
    <w:uiPriority w:val="99"/>
    <w:unhideWhenUsed/>
    <w:rsid w:val="00CF09DE"/>
    <w:pPr>
      <w:tabs>
        <w:tab w:val="center" w:pos="4513"/>
        <w:tab w:val="right" w:pos="9026"/>
      </w:tabs>
      <w:spacing w:line="240" w:lineRule="auto"/>
    </w:pPr>
  </w:style>
  <w:style w:type="character" w:customStyle="1" w:styleId="FooterChar">
    <w:name w:val="Footer Char"/>
    <w:basedOn w:val="DefaultParagraphFont"/>
    <w:link w:val="Footer"/>
    <w:uiPriority w:val="99"/>
    <w:rsid w:val="00CF09DE"/>
  </w:style>
  <w:style w:type="paragraph" w:styleId="BalloonText">
    <w:name w:val="Balloon Text"/>
    <w:basedOn w:val="Normal"/>
    <w:link w:val="BalloonTextChar"/>
    <w:uiPriority w:val="99"/>
    <w:semiHidden/>
    <w:unhideWhenUsed/>
    <w:rsid w:val="00CF09D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9DE"/>
    <w:rPr>
      <w:rFonts w:ascii="Segoe UI" w:hAnsi="Segoe UI" w:cs="Segoe UI"/>
      <w:sz w:val="18"/>
      <w:szCs w:val="18"/>
    </w:rPr>
  </w:style>
  <w:style w:type="character" w:customStyle="1" w:styleId="Heading3Char">
    <w:name w:val="Heading 3 Char"/>
    <w:basedOn w:val="DefaultParagraphFont"/>
    <w:link w:val="Heading3"/>
    <w:uiPriority w:val="9"/>
    <w:rsid w:val="003739B6"/>
    <w:rPr>
      <w:rFonts w:ascii="Century Gothic Bold" w:eastAsia="Times New Roman" w:hAnsi="Century Gothic Bold" w:cs="Times New Roman"/>
      <w:b/>
      <w:bCs/>
      <w:color w:val="00838D"/>
      <w:sz w:val="24"/>
      <w:szCs w:val="24"/>
      <w:lang w:eastAsia="en-GB"/>
    </w:rPr>
  </w:style>
  <w:style w:type="character" w:styleId="Hyperlink">
    <w:name w:val="Hyperlink"/>
    <w:basedOn w:val="DefaultParagraphFont"/>
    <w:uiPriority w:val="99"/>
    <w:unhideWhenUsed/>
    <w:rsid w:val="003739B6"/>
    <w:rPr>
      <w:color w:val="0000FF"/>
      <w:u w:val="single"/>
    </w:rPr>
  </w:style>
  <w:style w:type="paragraph" w:styleId="NormalWeb">
    <w:name w:val="Normal (Web)"/>
    <w:basedOn w:val="Normal"/>
    <w:uiPriority w:val="99"/>
    <w:unhideWhenUsed/>
    <w:rsid w:val="003739B6"/>
    <w:pPr>
      <w:spacing w:before="100" w:beforeAutospacing="1" w:after="375"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C903F5"/>
    <w:pPr>
      <w:spacing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C21472"/>
    <w:rPr>
      <w:sz w:val="16"/>
      <w:szCs w:val="16"/>
    </w:rPr>
  </w:style>
  <w:style w:type="paragraph" w:styleId="CommentText">
    <w:name w:val="annotation text"/>
    <w:basedOn w:val="Normal"/>
    <w:link w:val="CommentTextChar"/>
    <w:uiPriority w:val="99"/>
    <w:semiHidden/>
    <w:unhideWhenUsed/>
    <w:rsid w:val="00C21472"/>
    <w:pPr>
      <w:spacing w:line="240" w:lineRule="auto"/>
    </w:pPr>
    <w:rPr>
      <w:sz w:val="20"/>
      <w:szCs w:val="20"/>
    </w:rPr>
  </w:style>
  <w:style w:type="character" w:customStyle="1" w:styleId="CommentTextChar">
    <w:name w:val="Comment Text Char"/>
    <w:basedOn w:val="DefaultParagraphFont"/>
    <w:link w:val="CommentText"/>
    <w:uiPriority w:val="99"/>
    <w:semiHidden/>
    <w:rsid w:val="00C21472"/>
    <w:rPr>
      <w:sz w:val="20"/>
      <w:szCs w:val="20"/>
    </w:rPr>
  </w:style>
  <w:style w:type="paragraph" w:styleId="CommentSubject">
    <w:name w:val="annotation subject"/>
    <w:basedOn w:val="CommentText"/>
    <w:next w:val="CommentText"/>
    <w:link w:val="CommentSubjectChar"/>
    <w:uiPriority w:val="99"/>
    <w:semiHidden/>
    <w:unhideWhenUsed/>
    <w:rsid w:val="00C21472"/>
    <w:rPr>
      <w:b/>
      <w:bCs/>
    </w:rPr>
  </w:style>
  <w:style w:type="character" w:customStyle="1" w:styleId="CommentSubjectChar">
    <w:name w:val="Comment Subject Char"/>
    <w:basedOn w:val="CommentTextChar"/>
    <w:link w:val="CommentSubject"/>
    <w:uiPriority w:val="99"/>
    <w:semiHidden/>
    <w:rsid w:val="00C21472"/>
    <w:rPr>
      <w:b/>
      <w:bCs/>
      <w:sz w:val="20"/>
      <w:szCs w:val="20"/>
    </w:rPr>
  </w:style>
  <w:style w:type="character" w:customStyle="1" w:styleId="Heading4Char">
    <w:name w:val="Heading 4 Char"/>
    <w:basedOn w:val="DefaultParagraphFont"/>
    <w:link w:val="Heading4"/>
    <w:uiPriority w:val="9"/>
    <w:semiHidden/>
    <w:rsid w:val="005D30AB"/>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rsid w:val="0023296E"/>
    <w:rPr>
      <w:rFonts w:ascii="Tahoma" w:eastAsia="SimSun" w:hAnsi="Tahoma" w:cs="Times New Roman"/>
      <w:b/>
      <w:kern w:val="28"/>
    </w:rPr>
  </w:style>
  <w:style w:type="character" w:customStyle="1" w:styleId="Heading2Char">
    <w:name w:val="Heading 2 Char"/>
    <w:basedOn w:val="DefaultParagraphFont"/>
    <w:link w:val="Heading2"/>
    <w:uiPriority w:val="9"/>
    <w:rsid w:val="001B13B1"/>
    <w:rPr>
      <w:rFonts w:ascii="Tahoma" w:eastAsia="SimSun" w:hAnsi="Tahoma" w:cs="Times New Roman"/>
      <w:b/>
      <w:color w:val="000000"/>
    </w:rPr>
  </w:style>
  <w:style w:type="numbering" w:customStyle="1" w:styleId="1111116">
    <w:name w:val="1 / 1.1 / 1.1.16"/>
    <w:basedOn w:val="NoList"/>
    <w:rsid w:val="005D30AB"/>
    <w:pPr>
      <w:numPr>
        <w:numId w:val="1"/>
      </w:numPr>
    </w:pPr>
  </w:style>
  <w:style w:type="paragraph" w:styleId="Revision">
    <w:name w:val="Revision"/>
    <w:hidden/>
    <w:uiPriority w:val="99"/>
    <w:semiHidden/>
    <w:rsid w:val="00D05E15"/>
    <w:pPr>
      <w:spacing w:line="240" w:lineRule="auto"/>
    </w:pPr>
  </w:style>
  <w:style w:type="paragraph" w:styleId="BodyText">
    <w:name w:val="Body Text"/>
    <w:basedOn w:val="Normal"/>
    <w:link w:val="BodyTextChar"/>
    <w:uiPriority w:val="1"/>
    <w:unhideWhenUsed/>
    <w:qFormat/>
    <w:rsid w:val="00B26BE9"/>
    <w:pPr>
      <w:widowControl w:val="0"/>
      <w:autoSpaceDE w:val="0"/>
      <w:autoSpaceDN w:val="0"/>
      <w:spacing w:line="240" w:lineRule="auto"/>
    </w:pPr>
    <w:rPr>
      <w:rFonts w:ascii="DIN Pro" w:eastAsia="DIN Pro" w:hAnsi="DIN Pro" w:cs="DIN Pro"/>
      <w:sz w:val="18"/>
      <w:szCs w:val="18"/>
    </w:rPr>
  </w:style>
  <w:style w:type="character" w:customStyle="1" w:styleId="BodyTextChar">
    <w:name w:val="Body Text Char"/>
    <w:basedOn w:val="DefaultParagraphFont"/>
    <w:link w:val="BodyText"/>
    <w:uiPriority w:val="1"/>
    <w:rsid w:val="00B26BE9"/>
    <w:rPr>
      <w:rFonts w:ascii="DIN Pro" w:eastAsia="DIN Pro" w:hAnsi="DIN Pro" w:cs="DIN Pro"/>
      <w:sz w:val="18"/>
      <w:szCs w:val="18"/>
    </w:rPr>
  </w:style>
  <w:style w:type="table" w:styleId="TableGrid">
    <w:name w:val="Table Grid"/>
    <w:basedOn w:val="TableNormal"/>
    <w:uiPriority w:val="39"/>
    <w:rsid w:val="00AB0A8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26ED2"/>
    <w:rPr>
      <w:color w:val="605E5C"/>
      <w:shd w:val="clear" w:color="auto" w:fill="E1DFDD"/>
    </w:rPr>
  </w:style>
  <w:style w:type="paragraph" w:styleId="Title">
    <w:name w:val="Title"/>
    <w:basedOn w:val="Normal"/>
    <w:next w:val="Normal"/>
    <w:link w:val="TitleChar"/>
    <w:uiPriority w:val="10"/>
    <w:qFormat/>
    <w:rsid w:val="0012799B"/>
    <w:pPr>
      <w:spacing w:before="0" w:line="240" w:lineRule="auto"/>
      <w:ind w:left="0" w:right="0" w:firstLine="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99B"/>
    <w:rPr>
      <w:rFonts w:asciiTheme="majorHAnsi" w:eastAsiaTheme="majorEastAsia" w:hAnsiTheme="majorHAnsi" w:cstheme="majorBidi"/>
      <w:spacing w:val="-10"/>
      <w:kern w:val="28"/>
      <w:sz w:val="56"/>
      <w:szCs w:val="56"/>
    </w:rPr>
  </w:style>
  <w:style w:type="paragraph" w:styleId="TOC1">
    <w:name w:val="toc 1"/>
    <w:basedOn w:val="Normal"/>
    <w:uiPriority w:val="39"/>
    <w:qFormat/>
    <w:rsid w:val="0003786A"/>
    <w:pPr>
      <w:widowControl w:val="0"/>
      <w:autoSpaceDE w:val="0"/>
      <w:autoSpaceDN w:val="0"/>
      <w:spacing w:before="122" w:line="240" w:lineRule="auto"/>
      <w:ind w:left="439" w:right="0" w:hanging="324"/>
      <w:jc w:val="left"/>
    </w:pPr>
    <w:rPr>
      <w:rFonts w:ascii="Calibri" w:eastAsia="Calibri" w:hAnsi="Calibri" w:cs="Calibri"/>
      <w:lang w:val="en-US"/>
    </w:rPr>
  </w:style>
  <w:style w:type="paragraph" w:styleId="TOC2">
    <w:name w:val="toc 2"/>
    <w:basedOn w:val="Normal"/>
    <w:next w:val="Normal"/>
    <w:autoRedefine/>
    <w:uiPriority w:val="39"/>
    <w:unhideWhenUsed/>
    <w:rsid w:val="00BD0E3B"/>
    <w:pPr>
      <w:spacing w:before="0" w:after="100" w:line="258" w:lineRule="auto"/>
      <w:ind w:left="220" w:right="394" w:hanging="10"/>
      <w:jc w:val="left"/>
    </w:pPr>
    <w:rPr>
      <w:rFonts w:ascii="Calibri" w:eastAsia="Calibri" w:hAnsi="Calibri" w:cs="Calibri"/>
      <w:color w:val="000000"/>
      <w:lang w:eastAsia="en-GB"/>
    </w:rPr>
  </w:style>
  <w:style w:type="table" w:customStyle="1" w:styleId="TableGrid1">
    <w:name w:val="Table Grid1"/>
    <w:rsid w:val="001966A1"/>
    <w:pPr>
      <w:spacing w:before="0" w:line="240" w:lineRule="auto"/>
      <w:ind w:left="0" w:right="0" w:firstLine="0"/>
      <w:jc w:val="left"/>
    </w:pPr>
    <w:rPr>
      <w:rFonts w:eastAsiaTheme="minorEastAsia"/>
      <w:lang w:eastAsia="en-GB"/>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F65217"/>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F65217"/>
    <w:rPr>
      <w:sz w:val="20"/>
      <w:szCs w:val="20"/>
    </w:rPr>
  </w:style>
  <w:style w:type="character" w:styleId="FootnoteReference">
    <w:name w:val="footnote reference"/>
    <w:basedOn w:val="DefaultParagraphFont"/>
    <w:uiPriority w:val="99"/>
    <w:semiHidden/>
    <w:unhideWhenUsed/>
    <w:rsid w:val="00F652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048234">
      <w:bodyDiv w:val="1"/>
      <w:marLeft w:val="0"/>
      <w:marRight w:val="0"/>
      <w:marTop w:val="0"/>
      <w:marBottom w:val="0"/>
      <w:divBdr>
        <w:top w:val="none" w:sz="0" w:space="0" w:color="auto"/>
        <w:left w:val="none" w:sz="0" w:space="0" w:color="auto"/>
        <w:bottom w:val="none" w:sz="0" w:space="0" w:color="auto"/>
        <w:right w:val="none" w:sz="0" w:space="0" w:color="auto"/>
      </w:divBdr>
    </w:div>
    <w:div w:id="632099859">
      <w:bodyDiv w:val="1"/>
      <w:marLeft w:val="0"/>
      <w:marRight w:val="0"/>
      <w:marTop w:val="0"/>
      <w:marBottom w:val="0"/>
      <w:divBdr>
        <w:top w:val="none" w:sz="0" w:space="0" w:color="auto"/>
        <w:left w:val="none" w:sz="0" w:space="0" w:color="auto"/>
        <w:bottom w:val="none" w:sz="0" w:space="0" w:color="auto"/>
        <w:right w:val="none" w:sz="0" w:space="0" w:color="auto"/>
      </w:divBdr>
    </w:div>
    <w:div w:id="1314602599">
      <w:bodyDiv w:val="1"/>
      <w:marLeft w:val="0"/>
      <w:marRight w:val="0"/>
      <w:marTop w:val="0"/>
      <w:marBottom w:val="0"/>
      <w:divBdr>
        <w:top w:val="none" w:sz="0" w:space="0" w:color="auto"/>
        <w:left w:val="none" w:sz="0" w:space="0" w:color="auto"/>
        <w:bottom w:val="none" w:sz="0" w:space="0" w:color="auto"/>
        <w:right w:val="none" w:sz="0" w:space="0" w:color="auto"/>
      </w:divBdr>
    </w:div>
    <w:div w:id="208622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E077AC856BA8449AD517D42FD3FB48E" ma:contentTypeVersion="16" ma:contentTypeDescription="Create a new document." ma:contentTypeScope="" ma:versionID="c9d62bc2ebddc9bcfcd37ef7fd71d4bb">
  <xsd:schema xmlns:xsd="http://www.w3.org/2001/XMLSchema" xmlns:xs="http://www.w3.org/2001/XMLSchema" xmlns:p="http://schemas.microsoft.com/office/2006/metadata/properties" xmlns:ns1="http://schemas.microsoft.com/sharepoint/v3" xmlns:ns2="dae0a337-b6e0-42e7-970e-374a8d268e41" xmlns:ns3="102d5f27-5011-4e27-8697-67a7238bfb72" targetNamespace="http://schemas.microsoft.com/office/2006/metadata/properties" ma:root="true" ma:fieldsID="9d37071420d2c2fe68fc2a812ca1d078" ns1:_="" ns2:_="" ns3:_="">
    <xsd:import namespace="http://schemas.microsoft.com/sharepoint/v3"/>
    <xsd:import namespace="dae0a337-b6e0-42e7-970e-374a8d268e41"/>
    <xsd:import namespace="102d5f27-5011-4e27-8697-67a7238bfb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a337-b6e0-42e7-970e-374a8d268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a31a50a-6716-47ca-89dc-357bd2c2c21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2d5f27-5011-4e27-8697-67a7238bfb7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577d8b8-2a9c-40ee-8cca-4cee1afd71bc}" ma:internalName="TaxCatchAll" ma:showField="CatchAllData" ma:web="102d5f27-5011-4e27-8697-67a7238bfb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02d5f27-5011-4e27-8697-67a7238bfb72">
      <UserInfo>
        <DisplayName>Debra Gray</DisplayName>
        <AccountId>26</AccountId>
        <AccountType/>
      </UserInfo>
    </SharedWithUsers>
    <_ip_UnifiedCompliancePolicyUIAction xmlns="http://schemas.microsoft.com/sharepoint/v3" xsi:nil="true"/>
    <lcf76f155ced4ddcb4097134ff3c332f xmlns="dae0a337-b6e0-42e7-970e-374a8d268e41">
      <Terms xmlns="http://schemas.microsoft.com/office/infopath/2007/PartnerControls"/>
    </lcf76f155ced4ddcb4097134ff3c332f>
    <_ip_UnifiedCompliancePolicyProperties xmlns="http://schemas.microsoft.com/sharepoint/v3" xsi:nil="true"/>
    <TaxCatchAll xmlns="102d5f27-5011-4e27-8697-67a7238bfb72"/>
  </documentManagement>
</p:properties>
</file>

<file path=customXml/itemProps1.xml><?xml version="1.0" encoding="utf-8"?>
<ds:datastoreItem xmlns:ds="http://schemas.openxmlformats.org/officeDocument/2006/customXml" ds:itemID="{F9288106-8E1B-4442-A17D-8CF6B5197433}">
  <ds:schemaRefs>
    <ds:schemaRef ds:uri="http://schemas.microsoft.com/sharepoint/v3/contenttype/forms"/>
  </ds:schemaRefs>
</ds:datastoreItem>
</file>

<file path=customXml/itemProps2.xml><?xml version="1.0" encoding="utf-8"?>
<ds:datastoreItem xmlns:ds="http://schemas.openxmlformats.org/officeDocument/2006/customXml" ds:itemID="{564E43FE-2BDE-4E6A-8D9B-B425F27FB026}">
  <ds:schemaRefs>
    <ds:schemaRef ds:uri="http://schemas.openxmlformats.org/officeDocument/2006/bibliography"/>
  </ds:schemaRefs>
</ds:datastoreItem>
</file>

<file path=customXml/itemProps3.xml><?xml version="1.0" encoding="utf-8"?>
<ds:datastoreItem xmlns:ds="http://schemas.openxmlformats.org/officeDocument/2006/customXml" ds:itemID="{8C6999D4-7EC5-4D9E-B0E0-B3A0CE186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ae0a337-b6e0-42e7-970e-374a8d268e41"/>
    <ds:schemaRef ds:uri="102d5f27-5011-4e27-8697-67a7238bf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08068B-9794-4A37-ABB6-D75212A7C6D4}">
  <ds:schemaRefs>
    <ds:schemaRef ds:uri="http://purl.org/dc/elements/1.1/"/>
    <ds:schemaRef ds:uri="dae0a337-b6e0-42e7-970e-374a8d268e41"/>
    <ds:schemaRef ds:uri="http://purl.org/dc/dcmitype/"/>
    <ds:schemaRef ds:uri="http://schemas.microsoft.com/office/infopath/2007/PartnerControls"/>
    <ds:schemaRef ds:uri="http://schemas.microsoft.com/office/2006/metadata/properties"/>
    <ds:schemaRef ds:uri="http://schemas.microsoft.com/office/2006/documentManagement/types"/>
    <ds:schemaRef ds:uri="http://schemas.microsoft.com/sharepoint/v3"/>
    <ds:schemaRef ds:uri="http://purl.org/dc/terms/"/>
    <ds:schemaRef ds:uri="http://schemas.openxmlformats.org/package/2006/metadata/core-properties"/>
    <ds:schemaRef ds:uri="102d5f27-5011-4e27-8697-67a7238bfb7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2344</Words>
  <Characters>12816</Characters>
  <Application>Microsoft Office Word</Application>
  <DocSecurity>0</DocSecurity>
  <Lines>298</Lines>
  <Paragraphs>172</Paragraphs>
  <ScaleCrop>false</ScaleCrop>
  <Company>Hull College Group</Company>
  <LinksUpToDate>false</LinksUpToDate>
  <CharactersWithSpaces>14988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Sykes</dc:creator>
  <cp:keywords/>
  <dc:description/>
  <cp:lastModifiedBy>Penny Tracey</cp:lastModifiedBy>
  <cp:revision>3</cp:revision>
  <cp:lastPrinted>2023-01-16T12:01:00Z</cp:lastPrinted>
  <dcterms:created xsi:type="dcterms:W3CDTF">2025-12-22T11:29:00Z</dcterms:created>
  <dcterms:modified xsi:type="dcterms:W3CDTF">2025-12-22T11:37:00Z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ID">
    <vt:i4>36482</vt:i4>
  </property>
  <property fmtid="{D5CDD505-2E9C-101B-9397-08002B2CF9AE}" pid="3" name="ContentTypeId">
    <vt:lpwstr>0x0101001E077AC856BA8449AD517D42FD3FB48E</vt:lpwstr>
  </property>
  <property fmtid="{D5CDD505-2E9C-101B-9397-08002B2CF9AE}" pid="4" name="MediaServiceImageTags">
    <vt:lpwstr/>
  </property>
  <property fmtid="{D5CDD505-2E9C-101B-9397-08002B2CF9AE}" pid="5" name="GrammarlyDocumentId">
    <vt:lpwstr>9396864f1c3729f202135b37e71b1c958d4a9be26757720ba997670ea2df590a</vt:lpwstr>
  </property>
</Properties>
</file>