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07AF" w14:textId="77777777" w:rsidR="00502D1C" w:rsidRDefault="0007092D" w:rsidP="00502D1C">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4020D7">
        <w:rPr>
          <w:rFonts w:ascii="Tahoma" w:hAnsi="Tahoma" w:cs="Tahoma"/>
        </w:rPr>
        <w:t>Vice Principal</w:t>
      </w:r>
      <w:r w:rsidR="00910888">
        <w:rPr>
          <w:rFonts w:ascii="Tahoma" w:hAnsi="Tahoma" w:cs="Tahoma"/>
        </w:rPr>
        <w:t xml:space="preserve"> Governance</w:t>
      </w:r>
      <w:r w:rsidR="004020D7">
        <w:rPr>
          <w:rFonts w:ascii="Tahoma" w:hAnsi="Tahoma" w:cs="Tahoma"/>
        </w:rPr>
        <w:t xml:space="preserve"> &amp; Compliance </w:t>
      </w:r>
    </w:p>
    <w:p w14:paraId="1633559F" w14:textId="3C2F88A0" w:rsidR="0007092D" w:rsidRPr="0024638E" w:rsidRDefault="00502D1C" w:rsidP="00862393">
      <w:pPr>
        <w:tabs>
          <w:tab w:val="left" w:pos="2970"/>
        </w:tabs>
        <w:spacing w:before="0"/>
        <w:ind w:left="0" w:firstLine="0"/>
        <w:contextualSpacing/>
        <w:jc w:val="left"/>
        <w:rPr>
          <w:rFonts w:ascii="Tahoma" w:hAnsi="Tahoma" w:cs="Tahoma"/>
        </w:rPr>
      </w:pPr>
      <w:r>
        <w:rPr>
          <w:rFonts w:ascii="Tahoma" w:hAnsi="Tahoma" w:cs="Tahoma"/>
        </w:rPr>
        <w:tab/>
      </w:r>
      <w:r w:rsidR="004020D7">
        <w:rPr>
          <w:rFonts w:ascii="Tahoma" w:hAnsi="Tahoma" w:cs="Tahoma"/>
        </w:rPr>
        <w:t>(Governance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54AAE781"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4020D7">
        <w:rPr>
          <w:rFonts w:ascii="Tahoma" w:hAnsi="Tahoma" w:cs="Tahoma"/>
        </w:rPr>
        <w:t>rch</w:t>
      </w:r>
      <w:r w:rsidR="00F65AD1" w:rsidRPr="00F65AD1">
        <w:rPr>
          <w:rFonts w:ascii="Tahoma" w:hAnsi="Tahoma" w:cs="Tahoma"/>
        </w:rPr>
        <w:t xml:space="preserve"> 202</w:t>
      </w:r>
      <w:r w:rsidR="004020D7">
        <w:rPr>
          <w:rFonts w:ascii="Tahoma" w:hAnsi="Tahoma" w:cs="Tahoma"/>
        </w:rPr>
        <w:t>6</w:t>
      </w:r>
    </w:p>
    <w:p w14:paraId="7FF0BA7F" w14:textId="3B6CCB50"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4020D7">
        <w:rPr>
          <w:rFonts w:ascii="Tahoma" w:hAnsi="Tahoma" w:cs="Tahoma"/>
        </w:rPr>
        <w:t>rch</w:t>
      </w:r>
      <w:r w:rsidR="001B04A5">
        <w:rPr>
          <w:rFonts w:ascii="Tahoma" w:hAnsi="Tahoma" w:cs="Tahoma"/>
        </w:rPr>
        <w:t xml:space="preserve"> </w:t>
      </w:r>
      <w:r w:rsidR="00F65AD1" w:rsidRPr="00F65AD1">
        <w:rPr>
          <w:rFonts w:ascii="Tahoma" w:hAnsi="Tahoma" w:cs="Tahoma"/>
        </w:rPr>
        <w:t>202</w:t>
      </w:r>
      <w:r w:rsidR="004020D7">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4CFCE10C"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5B59EA" w:rsidRPr="005B59EA">
        <w:rPr>
          <w:rFonts w:ascii="Tahoma" w:hAnsi="Tahoma" w:cs="Tahoma"/>
          <w:b/>
          <w:bCs/>
        </w:rPr>
        <w:t xml:space="preserve">Senior Post Holder Probationary Period Process </w:t>
      </w:r>
      <w:r w:rsidR="0083286F">
        <w:rPr>
          <w:rFonts w:ascii="Tahoma" w:hAnsi="Tahoma" w:cs="Tahoma"/>
          <w:b/>
          <w:bCs/>
        </w:rPr>
        <w:t>Policy</w:t>
      </w:r>
      <w:r w:rsidR="008674EA">
        <w:rPr>
          <w:rFonts w:ascii="Tahoma" w:hAnsi="Tahoma" w:cs="Tahoma"/>
          <w:b/>
          <w:bCs/>
        </w:rPr>
        <w:t xml:space="preserve"> </w:t>
      </w:r>
    </w:p>
    <w:p w14:paraId="39573450" w14:textId="531C79E6"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5B59EA">
        <w:rPr>
          <w:rFonts w:ascii="Tahoma" w:hAnsi="Tahoma" w:cs="Tahoma"/>
        </w:rPr>
        <w:t>20</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76C3B48D" w:rsidR="0007092D" w:rsidRPr="0024638E" w:rsidRDefault="0007092D" w:rsidP="00862393">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p>
    <w:p w14:paraId="03B94CCB" w14:textId="77777777" w:rsidR="00502D1C" w:rsidRDefault="00502D1C" w:rsidP="00502D1C">
      <w:pPr>
        <w:spacing w:before="0" w:line="240" w:lineRule="auto"/>
        <w:ind w:left="0" w:firstLine="0"/>
        <w:contextualSpacing/>
        <w:jc w:val="left"/>
        <w:rPr>
          <w:rFonts w:ascii="Tahoma" w:hAnsi="Tahoma" w:cs="Tahoma"/>
          <w:b/>
          <w:bCs/>
        </w:rPr>
      </w:pPr>
    </w:p>
    <w:p w14:paraId="660BFD13" w14:textId="1C1F9C3B" w:rsidR="00FA1132" w:rsidRPr="00FA1132" w:rsidRDefault="00FA1132" w:rsidP="00502D1C">
      <w:pPr>
        <w:spacing w:before="0" w:line="240" w:lineRule="auto"/>
        <w:ind w:left="0" w:firstLine="0"/>
        <w:contextualSpacing/>
        <w:jc w:val="left"/>
        <w:rPr>
          <w:rFonts w:ascii="Tahoma" w:hAnsi="Tahoma" w:cs="Tahoma"/>
          <w:b/>
          <w:bCs/>
        </w:rPr>
      </w:pPr>
      <w:r w:rsidRPr="00FA1132">
        <w:rPr>
          <w:rFonts w:ascii="Tahoma" w:hAnsi="Tahoma" w:cs="Tahoma"/>
          <w:b/>
          <w:bCs/>
        </w:rPr>
        <w:t>Version Control</w:t>
      </w:r>
    </w:p>
    <w:tbl>
      <w:tblPr>
        <w:tblStyle w:val="TableGrid"/>
        <w:tblW w:w="0" w:type="auto"/>
        <w:tblLook w:val="04A0" w:firstRow="1" w:lastRow="0" w:firstColumn="1" w:lastColumn="0" w:noHBand="0" w:noVBand="1"/>
      </w:tblPr>
      <w:tblGrid>
        <w:gridCol w:w="1075"/>
        <w:gridCol w:w="2970"/>
        <w:gridCol w:w="1440"/>
        <w:gridCol w:w="4144"/>
      </w:tblGrid>
      <w:tr w:rsidR="00FA1132" w:rsidRPr="00FA1132" w14:paraId="4688D9F3" w14:textId="77777777" w:rsidTr="00502D1C">
        <w:tc>
          <w:tcPr>
            <w:tcW w:w="1075" w:type="dxa"/>
            <w:tcBorders>
              <w:top w:val="single" w:sz="4" w:space="0" w:color="auto"/>
              <w:left w:val="single" w:sz="4" w:space="0" w:color="auto"/>
              <w:bottom w:val="single" w:sz="4" w:space="0" w:color="auto"/>
              <w:right w:val="single" w:sz="4" w:space="0" w:color="auto"/>
            </w:tcBorders>
            <w:hideMark/>
          </w:tcPr>
          <w:p w14:paraId="00CC1614"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Version</w:t>
            </w:r>
          </w:p>
        </w:tc>
        <w:tc>
          <w:tcPr>
            <w:tcW w:w="2970" w:type="dxa"/>
            <w:tcBorders>
              <w:top w:val="single" w:sz="4" w:space="0" w:color="auto"/>
              <w:left w:val="single" w:sz="4" w:space="0" w:color="auto"/>
              <w:bottom w:val="single" w:sz="4" w:space="0" w:color="auto"/>
              <w:right w:val="single" w:sz="4" w:space="0" w:color="auto"/>
            </w:tcBorders>
            <w:hideMark/>
          </w:tcPr>
          <w:p w14:paraId="3077B025"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Author</w:t>
            </w:r>
          </w:p>
        </w:tc>
        <w:tc>
          <w:tcPr>
            <w:tcW w:w="1440" w:type="dxa"/>
            <w:tcBorders>
              <w:top w:val="single" w:sz="4" w:space="0" w:color="auto"/>
              <w:left w:val="single" w:sz="4" w:space="0" w:color="auto"/>
              <w:bottom w:val="single" w:sz="4" w:space="0" w:color="auto"/>
              <w:right w:val="single" w:sz="4" w:space="0" w:color="auto"/>
            </w:tcBorders>
            <w:hideMark/>
          </w:tcPr>
          <w:p w14:paraId="7AAD3BBA"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Date</w:t>
            </w:r>
          </w:p>
        </w:tc>
        <w:tc>
          <w:tcPr>
            <w:tcW w:w="4144" w:type="dxa"/>
            <w:tcBorders>
              <w:top w:val="single" w:sz="4" w:space="0" w:color="auto"/>
              <w:left w:val="single" w:sz="4" w:space="0" w:color="auto"/>
              <w:bottom w:val="single" w:sz="4" w:space="0" w:color="auto"/>
              <w:right w:val="single" w:sz="4" w:space="0" w:color="auto"/>
            </w:tcBorders>
            <w:hideMark/>
          </w:tcPr>
          <w:p w14:paraId="62D9546E"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Changes</w:t>
            </w:r>
          </w:p>
        </w:tc>
      </w:tr>
      <w:tr w:rsidR="00FA1132" w:rsidRPr="00FA1132" w14:paraId="0288FEBA" w14:textId="77777777" w:rsidTr="00502D1C">
        <w:tc>
          <w:tcPr>
            <w:tcW w:w="1075" w:type="dxa"/>
            <w:tcBorders>
              <w:top w:val="single" w:sz="4" w:space="0" w:color="auto"/>
              <w:left w:val="single" w:sz="4" w:space="0" w:color="auto"/>
              <w:bottom w:val="single" w:sz="4" w:space="0" w:color="auto"/>
              <w:right w:val="single" w:sz="4" w:space="0" w:color="auto"/>
            </w:tcBorders>
            <w:hideMark/>
          </w:tcPr>
          <w:p w14:paraId="0B1E1EE4"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1.1</w:t>
            </w:r>
          </w:p>
        </w:tc>
        <w:tc>
          <w:tcPr>
            <w:tcW w:w="2970" w:type="dxa"/>
            <w:tcBorders>
              <w:top w:val="single" w:sz="4" w:space="0" w:color="auto"/>
              <w:left w:val="single" w:sz="4" w:space="0" w:color="auto"/>
              <w:bottom w:val="single" w:sz="4" w:space="0" w:color="auto"/>
              <w:right w:val="single" w:sz="4" w:space="0" w:color="auto"/>
            </w:tcBorders>
            <w:hideMark/>
          </w:tcPr>
          <w:p w14:paraId="1D93BB9D"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Vice Principal Governance &amp; Compliance</w:t>
            </w:r>
          </w:p>
        </w:tc>
        <w:tc>
          <w:tcPr>
            <w:tcW w:w="1440" w:type="dxa"/>
            <w:tcBorders>
              <w:top w:val="single" w:sz="4" w:space="0" w:color="auto"/>
              <w:left w:val="single" w:sz="4" w:space="0" w:color="auto"/>
              <w:bottom w:val="single" w:sz="4" w:space="0" w:color="auto"/>
              <w:right w:val="single" w:sz="4" w:space="0" w:color="auto"/>
            </w:tcBorders>
            <w:hideMark/>
          </w:tcPr>
          <w:p w14:paraId="47914502" w14:textId="77777777" w:rsidR="00FA1132" w:rsidRPr="00502D1C" w:rsidRDefault="00FA1132" w:rsidP="00502D1C">
            <w:pPr>
              <w:spacing w:before="0"/>
              <w:ind w:left="0" w:right="0" w:firstLine="0"/>
              <w:jc w:val="left"/>
              <w:rPr>
                <w:rFonts w:ascii="Tahoma" w:hAnsi="Tahoma" w:cs="Tahoma"/>
              </w:rPr>
            </w:pPr>
            <w:r w:rsidRPr="00502D1C">
              <w:rPr>
                <w:rFonts w:ascii="Tahoma" w:hAnsi="Tahoma" w:cs="Tahoma"/>
              </w:rPr>
              <w:t>Feb 2026</w:t>
            </w:r>
          </w:p>
        </w:tc>
        <w:tc>
          <w:tcPr>
            <w:tcW w:w="4144" w:type="dxa"/>
            <w:tcBorders>
              <w:top w:val="single" w:sz="4" w:space="0" w:color="auto"/>
              <w:left w:val="single" w:sz="4" w:space="0" w:color="auto"/>
              <w:bottom w:val="single" w:sz="4" w:space="0" w:color="auto"/>
              <w:right w:val="single" w:sz="4" w:space="0" w:color="auto"/>
            </w:tcBorders>
            <w:hideMark/>
          </w:tcPr>
          <w:p w14:paraId="2B1148CD" w14:textId="58175430" w:rsidR="00FA1132" w:rsidRPr="00502D1C" w:rsidRDefault="00FA1132" w:rsidP="00502D1C">
            <w:pPr>
              <w:spacing w:before="0"/>
              <w:ind w:left="0" w:right="0" w:firstLine="0"/>
              <w:jc w:val="left"/>
              <w:rPr>
                <w:rFonts w:ascii="Tahoma" w:hAnsi="Tahoma" w:cs="Tahoma"/>
              </w:rPr>
            </w:pPr>
            <w:r w:rsidRPr="00502D1C">
              <w:rPr>
                <w:rFonts w:ascii="Tahoma" w:hAnsi="Tahoma" w:cs="Tahoma"/>
              </w:rPr>
              <w:t xml:space="preserve">Triannual Review. Title changes. </w:t>
            </w:r>
          </w:p>
          <w:p w14:paraId="7DDF81F1" w14:textId="3114E8C2" w:rsidR="00FA1132" w:rsidRPr="00502D1C" w:rsidRDefault="00FA1132" w:rsidP="00502D1C">
            <w:pPr>
              <w:spacing w:before="0"/>
              <w:ind w:left="0" w:right="0" w:firstLine="0"/>
              <w:jc w:val="left"/>
              <w:rPr>
                <w:rFonts w:ascii="Tahoma" w:hAnsi="Tahoma" w:cs="Tahoma"/>
              </w:rPr>
            </w:pPr>
          </w:p>
        </w:tc>
      </w:tr>
    </w:tbl>
    <w:p w14:paraId="4E028BEB" w14:textId="77777777" w:rsidR="0007092D" w:rsidRPr="0024638E" w:rsidRDefault="0007092D" w:rsidP="00862393">
      <w:pPr>
        <w:spacing w:before="0" w:line="240" w:lineRule="auto"/>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59832BEE" w14:textId="7E33D85C" w:rsidR="00385DD7" w:rsidRDefault="0091371E" w:rsidP="009E33EC">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385DD7" w:rsidRPr="00385DD7">
        <w:rPr>
          <w:rFonts w:ascii="Tahoma" w:hAnsi="Tahoma" w:cs="Tahoma"/>
        </w:rPr>
        <w:t xml:space="preserve">The purpose of the probationary period is to ensure that a Senior Post Holder taking up a new appointment </w:t>
      </w:r>
      <w:proofErr w:type="gramStart"/>
      <w:r w:rsidR="00385DD7" w:rsidRPr="00385DD7">
        <w:rPr>
          <w:rFonts w:ascii="Tahoma" w:hAnsi="Tahoma" w:cs="Tahoma"/>
        </w:rPr>
        <w:t>is able to</w:t>
      </w:r>
      <w:proofErr w:type="gramEnd"/>
      <w:r w:rsidR="00385DD7" w:rsidRPr="00385DD7">
        <w:rPr>
          <w:rFonts w:ascii="Tahoma" w:hAnsi="Tahoma" w:cs="Tahoma"/>
        </w:rPr>
        <w:t xml:space="preserve"> gain a full understanding of the requirements of the post and to</w:t>
      </w:r>
      <w:r w:rsidR="009E33EC">
        <w:rPr>
          <w:rFonts w:ascii="Tahoma" w:hAnsi="Tahoma" w:cs="Tahoma"/>
        </w:rPr>
        <w:t xml:space="preserve"> </w:t>
      </w:r>
      <w:r w:rsidR="00385DD7" w:rsidRPr="00385DD7">
        <w:rPr>
          <w:rFonts w:ascii="Tahoma" w:hAnsi="Tahoma" w:cs="Tahoma"/>
        </w:rPr>
        <w:t xml:space="preserve">achieve a satisfactory level of performance. </w:t>
      </w:r>
    </w:p>
    <w:p w14:paraId="7269AE4D" w14:textId="77777777" w:rsidR="009E33EC" w:rsidRPr="00385DD7" w:rsidRDefault="009E33EC" w:rsidP="009E33EC">
      <w:pPr>
        <w:spacing w:before="0" w:line="240" w:lineRule="auto"/>
        <w:ind w:left="576" w:right="0" w:hanging="576"/>
        <w:contextualSpacing/>
        <w:jc w:val="left"/>
        <w:rPr>
          <w:rFonts w:ascii="Tahoma" w:hAnsi="Tahoma" w:cs="Tahoma"/>
        </w:rPr>
      </w:pPr>
    </w:p>
    <w:p w14:paraId="18393642" w14:textId="77777777" w:rsidR="00385DD7" w:rsidRP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1.2</w:t>
      </w:r>
      <w:r w:rsidRPr="00385DD7">
        <w:rPr>
          <w:rFonts w:ascii="Tahoma" w:hAnsi="Tahoma" w:cs="Tahoma"/>
        </w:rPr>
        <w:tab/>
        <w:t>The probationary process as outlined in this document does not form part of the contract of employment between a Senior Post Holder and the College but is intended to give clarity as to how performance will be supported, monitored and assessed during this period.</w:t>
      </w:r>
    </w:p>
    <w:p w14:paraId="4214C51A" w14:textId="77777777" w:rsidR="009E33EC" w:rsidRDefault="009E33EC" w:rsidP="00385DD7">
      <w:pPr>
        <w:spacing w:before="0" w:line="240" w:lineRule="auto"/>
        <w:ind w:left="576" w:right="0" w:hanging="576"/>
        <w:contextualSpacing/>
        <w:jc w:val="left"/>
        <w:rPr>
          <w:rFonts w:ascii="Tahoma" w:hAnsi="Tahoma" w:cs="Tahoma"/>
        </w:rPr>
      </w:pPr>
    </w:p>
    <w:p w14:paraId="65E351EC" w14:textId="57C0A2B7" w:rsid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1.3</w:t>
      </w:r>
      <w:r w:rsidRPr="00385DD7">
        <w:rPr>
          <w:rFonts w:ascii="Tahoma" w:hAnsi="Tahoma" w:cs="Tahoma"/>
        </w:rPr>
        <w:tab/>
        <w:t>For the avoidance of doubt the College reserves the right not to apply the College’s full capability or disciplinary procedures during the Senior Post Holder’s probationary period.</w:t>
      </w:r>
    </w:p>
    <w:p w14:paraId="1C64136E" w14:textId="77777777" w:rsidR="009E33EC" w:rsidRPr="00385DD7" w:rsidRDefault="009E33EC" w:rsidP="00385DD7">
      <w:pPr>
        <w:spacing w:before="0" w:line="240" w:lineRule="auto"/>
        <w:ind w:left="576" w:right="0" w:hanging="576"/>
        <w:contextualSpacing/>
        <w:jc w:val="left"/>
        <w:rPr>
          <w:rFonts w:ascii="Tahoma" w:hAnsi="Tahoma" w:cs="Tahoma"/>
        </w:rPr>
      </w:pPr>
    </w:p>
    <w:p w14:paraId="5CCAC3AB" w14:textId="77777777" w:rsidR="00385DD7" w:rsidRP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w:t>
      </w:r>
      <w:r w:rsidRPr="00385DD7">
        <w:rPr>
          <w:rFonts w:ascii="Tahoma" w:hAnsi="Tahoma" w:cs="Tahoma"/>
        </w:rPr>
        <w:tab/>
      </w:r>
      <w:r w:rsidRPr="009E33EC">
        <w:rPr>
          <w:rFonts w:ascii="Tahoma" w:hAnsi="Tahoma" w:cs="Tahoma"/>
          <w:b/>
          <w:bCs/>
        </w:rPr>
        <w:t>Policy Statement</w:t>
      </w:r>
      <w:r w:rsidRPr="00385DD7">
        <w:rPr>
          <w:rFonts w:ascii="Tahoma" w:hAnsi="Tahoma" w:cs="Tahoma"/>
        </w:rPr>
        <w:t xml:space="preserve"> </w:t>
      </w:r>
    </w:p>
    <w:p w14:paraId="69C15767" w14:textId="77777777" w:rsid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2.1</w:t>
      </w:r>
      <w:r w:rsidRPr="00385DD7">
        <w:rPr>
          <w:rFonts w:ascii="Tahoma" w:hAnsi="Tahoma" w:cs="Tahoma"/>
        </w:rPr>
        <w:tab/>
        <w:t xml:space="preserve">Probation provides an opportunity for the Senior Post Holder to demonstrate satisfactorily that they have the skills and competencies to do the job to which they have been appointed and as set out in the Job Description. </w:t>
      </w:r>
    </w:p>
    <w:p w14:paraId="26B850EB" w14:textId="77777777" w:rsidR="009E33EC" w:rsidRPr="00385DD7" w:rsidRDefault="009E33EC" w:rsidP="00385DD7">
      <w:pPr>
        <w:spacing w:before="0" w:line="240" w:lineRule="auto"/>
        <w:ind w:left="576" w:right="0" w:hanging="576"/>
        <w:contextualSpacing/>
        <w:jc w:val="left"/>
        <w:rPr>
          <w:rFonts w:ascii="Tahoma" w:hAnsi="Tahoma" w:cs="Tahoma"/>
        </w:rPr>
      </w:pPr>
    </w:p>
    <w:p w14:paraId="3942F3EB" w14:textId="77777777" w:rsid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2.2</w:t>
      </w:r>
      <w:r w:rsidRPr="00385DD7">
        <w:rPr>
          <w:rFonts w:ascii="Tahoma" w:hAnsi="Tahoma" w:cs="Tahoma"/>
        </w:rPr>
        <w:tab/>
        <w:t xml:space="preserve">All Senior Post Holders will be given the same period of probation, except in cases </w:t>
      </w:r>
      <w:proofErr w:type="gramStart"/>
      <w:r w:rsidRPr="00385DD7">
        <w:rPr>
          <w:rFonts w:ascii="Tahoma" w:hAnsi="Tahoma" w:cs="Tahoma"/>
        </w:rPr>
        <w:t>where</w:t>
      </w:r>
      <w:proofErr w:type="gramEnd"/>
      <w:r w:rsidRPr="00385DD7">
        <w:rPr>
          <w:rFonts w:ascii="Tahoma" w:hAnsi="Tahoma" w:cs="Tahoma"/>
        </w:rPr>
        <w:t xml:space="preserve"> explicit, objective reasons for a variation can be provided. </w:t>
      </w:r>
    </w:p>
    <w:p w14:paraId="4362B9A2" w14:textId="77777777" w:rsidR="009E33EC" w:rsidRPr="00385DD7" w:rsidRDefault="009E33EC" w:rsidP="00385DD7">
      <w:pPr>
        <w:spacing w:before="0" w:line="240" w:lineRule="auto"/>
        <w:ind w:left="576" w:right="0" w:hanging="576"/>
        <w:contextualSpacing/>
        <w:jc w:val="left"/>
        <w:rPr>
          <w:rFonts w:ascii="Tahoma" w:hAnsi="Tahoma" w:cs="Tahoma"/>
        </w:rPr>
      </w:pPr>
    </w:p>
    <w:p w14:paraId="58944E9E" w14:textId="77777777" w:rsidR="00385DD7" w:rsidRP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2.3</w:t>
      </w:r>
      <w:r w:rsidRPr="00385DD7">
        <w:rPr>
          <w:rFonts w:ascii="Tahoma" w:hAnsi="Tahoma" w:cs="Tahoma"/>
        </w:rPr>
        <w:tab/>
        <w:t xml:space="preserve">The probationary period will be for 6 months, unless explicit, objective reasons for a variation have been provided, and this will be specified in the contract of employment. There will be formal review/feedback meetings with the Governance, Search &amp; Remuneration Committee at 3 and 6 months. This period may be extended if the required standards of performance are not met (see below). </w:t>
      </w:r>
    </w:p>
    <w:p w14:paraId="4A62B128" w14:textId="77777777" w:rsidR="009E33EC" w:rsidRDefault="009E33EC" w:rsidP="00385DD7">
      <w:pPr>
        <w:spacing w:before="0" w:line="240" w:lineRule="auto"/>
        <w:ind w:left="576" w:right="0" w:hanging="576"/>
        <w:contextualSpacing/>
        <w:jc w:val="left"/>
        <w:rPr>
          <w:rFonts w:ascii="Tahoma" w:hAnsi="Tahoma" w:cs="Tahoma"/>
        </w:rPr>
      </w:pPr>
    </w:p>
    <w:p w14:paraId="4C98F1D8" w14:textId="3D7847AE" w:rsidR="00385DD7" w:rsidRP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2.4</w:t>
      </w:r>
      <w:r w:rsidRPr="00385DD7">
        <w:rPr>
          <w:rFonts w:ascii="Tahoma" w:hAnsi="Tahoma" w:cs="Tahoma"/>
        </w:rPr>
        <w:tab/>
      </w:r>
      <w:r w:rsidRPr="009E33EC">
        <w:rPr>
          <w:rFonts w:ascii="Tahoma" w:hAnsi="Tahoma" w:cs="Tahoma"/>
          <w:b/>
          <w:bCs/>
        </w:rPr>
        <w:t>Conduct of Probation Period</w:t>
      </w:r>
      <w:r w:rsidRPr="00385DD7">
        <w:rPr>
          <w:rFonts w:ascii="Tahoma" w:hAnsi="Tahoma" w:cs="Tahoma"/>
        </w:rPr>
        <w:t xml:space="preserve"> </w:t>
      </w:r>
    </w:p>
    <w:p w14:paraId="2282BB45" w14:textId="77777777" w:rsidR="00385DD7" w:rsidRPr="00385DD7" w:rsidRDefault="00385DD7" w:rsidP="009E33EC">
      <w:pPr>
        <w:spacing w:before="0" w:line="240" w:lineRule="auto"/>
        <w:ind w:left="1296" w:right="0" w:hanging="720"/>
        <w:contextualSpacing/>
        <w:jc w:val="left"/>
        <w:rPr>
          <w:rFonts w:ascii="Tahoma" w:hAnsi="Tahoma" w:cs="Tahoma"/>
        </w:rPr>
      </w:pPr>
      <w:r w:rsidRPr="00385DD7">
        <w:rPr>
          <w:rFonts w:ascii="Tahoma" w:hAnsi="Tahoma" w:cs="Tahoma"/>
        </w:rPr>
        <w:t>2.4.1</w:t>
      </w:r>
      <w:r w:rsidRPr="00385DD7">
        <w:rPr>
          <w:rFonts w:ascii="Tahoma" w:hAnsi="Tahoma" w:cs="Tahoma"/>
        </w:rPr>
        <w:tab/>
        <w:t>At the outset and during the probationary period the Senior Post Holder will:</w:t>
      </w:r>
    </w:p>
    <w:p w14:paraId="0C570AB4" w14:textId="6E17858C" w:rsidR="00385DD7" w:rsidRPr="00385DD7" w:rsidRDefault="00385DD7" w:rsidP="009E33EC">
      <w:pPr>
        <w:spacing w:before="0" w:line="240" w:lineRule="auto"/>
        <w:ind w:left="1656" w:right="0" w:hanging="360"/>
        <w:contextualSpacing/>
        <w:jc w:val="left"/>
        <w:rPr>
          <w:rFonts w:ascii="Tahoma" w:hAnsi="Tahoma" w:cs="Tahoma"/>
        </w:rPr>
      </w:pPr>
      <w:r w:rsidRPr="00385DD7">
        <w:rPr>
          <w:rFonts w:ascii="Tahoma" w:hAnsi="Tahoma" w:cs="Tahoma"/>
        </w:rPr>
        <w:t>•</w:t>
      </w:r>
      <w:r w:rsidRPr="00385DD7">
        <w:rPr>
          <w:rFonts w:ascii="Tahoma" w:hAnsi="Tahoma" w:cs="Tahoma"/>
        </w:rPr>
        <w:tab/>
        <w:t>Receive confirmation of their Line Manager (for all Senior Post Holder’s other than the Principal and Governance</w:t>
      </w:r>
      <w:r w:rsidR="00FA1132">
        <w:rPr>
          <w:rFonts w:ascii="Tahoma" w:hAnsi="Tahoma" w:cs="Tahoma"/>
        </w:rPr>
        <w:t xml:space="preserve"> Professional</w:t>
      </w:r>
      <w:r w:rsidRPr="00385DD7">
        <w:rPr>
          <w:rFonts w:ascii="Tahoma" w:hAnsi="Tahoma" w:cs="Tahoma"/>
        </w:rPr>
        <w:t xml:space="preserve"> the appropriate day-to-day Line Manager will be the </w:t>
      </w:r>
      <w:proofErr w:type="gramStart"/>
      <w:r w:rsidRPr="00385DD7">
        <w:rPr>
          <w:rFonts w:ascii="Tahoma" w:hAnsi="Tahoma" w:cs="Tahoma"/>
        </w:rPr>
        <w:t>Principal</w:t>
      </w:r>
      <w:proofErr w:type="gramEnd"/>
      <w:r w:rsidRPr="00385DD7">
        <w:rPr>
          <w:rFonts w:ascii="Tahoma" w:hAnsi="Tahoma" w:cs="Tahoma"/>
        </w:rPr>
        <w:t>.  For the Principal and the Governance</w:t>
      </w:r>
      <w:r w:rsidR="00FA1132">
        <w:rPr>
          <w:rFonts w:ascii="Tahoma" w:hAnsi="Tahoma" w:cs="Tahoma"/>
        </w:rPr>
        <w:t xml:space="preserve"> Professional</w:t>
      </w:r>
      <w:r w:rsidRPr="00385DD7">
        <w:rPr>
          <w:rFonts w:ascii="Tahoma" w:hAnsi="Tahoma" w:cs="Tahoma"/>
        </w:rPr>
        <w:t xml:space="preserve"> the appropriate day-to-day Line Manager will be the Chair</w:t>
      </w:r>
      <w:r w:rsidR="00FA1132">
        <w:rPr>
          <w:rFonts w:ascii="Tahoma" w:hAnsi="Tahoma" w:cs="Tahoma"/>
        </w:rPr>
        <w:t xml:space="preserve"> of Corporation</w:t>
      </w:r>
      <w:proofErr w:type="gramStart"/>
      <w:r w:rsidRPr="00385DD7">
        <w:rPr>
          <w:rFonts w:ascii="Tahoma" w:hAnsi="Tahoma" w:cs="Tahoma"/>
        </w:rPr>
        <w:t>);</w:t>
      </w:r>
      <w:proofErr w:type="gramEnd"/>
    </w:p>
    <w:p w14:paraId="02425D8E" w14:textId="77777777" w:rsidR="00385DD7" w:rsidRPr="00385DD7" w:rsidRDefault="00385DD7" w:rsidP="009E33EC">
      <w:pPr>
        <w:spacing w:before="0" w:line="240" w:lineRule="auto"/>
        <w:ind w:left="1656" w:right="0" w:hanging="360"/>
        <w:contextualSpacing/>
        <w:jc w:val="left"/>
        <w:rPr>
          <w:rFonts w:ascii="Tahoma" w:hAnsi="Tahoma" w:cs="Tahoma"/>
        </w:rPr>
      </w:pPr>
      <w:r w:rsidRPr="00385DD7">
        <w:rPr>
          <w:rFonts w:ascii="Tahoma" w:hAnsi="Tahoma" w:cs="Tahoma"/>
        </w:rPr>
        <w:t>•</w:t>
      </w:r>
      <w:r w:rsidRPr="00385DD7">
        <w:rPr>
          <w:rFonts w:ascii="Tahoma" w:hAnsi="Tahoma" w:cs="Tahoma"/>
        </w:rPr>
        <w:tab/>
        <w:t xml:space="preserve">Receive appropriate induction activity planned and supported by </w:t>
      </w:r>
      <w:proofErr w:type="gramStart"/>
      <w:r w:rsidRPr="00385DD7">
        <w:rPr>
          <w:rFonts w:ascii="Tahoma" w:hAnsi="Tahoma" w:cs="Tahoma"/>
        </w:rPr>
        <w:t>HR;</w:t>
      </w:r>
      <w:proofErr w:type="gramEnd"/>
    </w:p>
    <w:p w14:paraId="470BD2F9" w14:textId="77777777" w:rsidR="00385DD7" w:rsidRPr="00385DD7" w:rsidRDefault="00385DD7" w:rsidP="009E33EC">
      <w:pPr>
        <w:spacing w:before="0" w:line="240" w:lineRule="auto"/>
        <w:ind w:left="1656" w:right="0" w:hanging="360"/>
        <w:contextualSpacing/>
        <w:jc w:val="left"/>
        <w:rPr>
          <w:rFonts w:ascii="Tahoma" w:hAnsi="Tahoma" w:cs="Tahoma"/>
        </w:rPr>
      </w:pPr>
      <w:r w:rsidRPr="00385DD7">
        <w:rPr>
          <w:rFonts w:ascii="Tahoma" w:hAnsi="Tahoma" w:cs="Tahoma"/>
        </w:rPr>
        <w:lastRenderedPageBreak/>
        <w:t>•</w:t>
      </w:r>
      <w:r w:rsidRPr="00385DD7">
        <w:rPr>
          <w:rFonts w:ascii="Tahoma" w:hAnsi="Tahoma" w:cs="Tahoma"/>
        </w:rPr>
        <w:tab/>
        <w:t xml:space="preserve">With their Line Manager, agree with the Corporation the objectives to be achieved including relevant </w:t>
      </w:r>
      <w:proofErr w:type="gramStart"/>
      <w:r w:rsidRPr="00385DD7">
        <w:rPr>
          <w:rFonts w:ascii="Tahoma" w:hAnsi="Tahoma" w:cs="Tahoma"/>
        </w:rPr>
        <w:t>timescales;</w:t>
      </w:r>
      <w:proofErr w:type="gramEnd"/>
    </w:p>
    <w:p w14:paraId="2BA971C1" w14:textId="77777777" w:rsidR="00385DD7" w:rsidRPr="00385DD7" w:rsidRDefault="00385DD7" w:rsidP="009E33EC">
      <w:pPr>
        <w:spacing w:before="0" w:line="240" w:lineRule="auto"/>
        <w:ind w:left="1656" w:right="0" w:hanging="360"/>
        <w:contextualSpacing/>
        <w:jc w:val="left"/>
        <w:rPr>
          <w:rFonts w:ascii="Tahoma" w:hAnsi="Tahoma" w:cs="Tahoma"/>
        </w:rPr>
      </w:pPr>
      <w:r w:rsidRPr="00385DD7">
        <w:rPr>
          <w:rFonts w:ascii="Tahoma" w:hAnsi="Tahoma" w:cs="Tahoma"/>
        </w:rPr>
        <w:t>•</w:t>
      </w:r>
      <w:r w:rsidRPr="00385DD7">
        <w:rPr>
          <w:rFonts w:ascii="Tahoma" w:hAnsi="Tahoma" w:cs="Tahoma"/>
        </w:rPr>
        <w:tab/>
        <w:t>With their Line Manager, agree any support, training or development requirements; and</w:t>
      </w:r>
    </w:p>
    <w:p w14:paraId="1E7DB4AF" w14:textId="77777777" w:rsidR="00385DD7" w:rsidRDefault="00385DD7" w:rsidP="009E33EC">
      <w:pPr>
        <w:spacing w:before="0" w:line="240" w:lineRule="auto"/>
        <w:ind w:left="1656" w:right="0" w:hanging="360"/>
        <w:contextualSpacing/>
        <w:jc w:val="left"/>
        <w:rPr>
          <w:rFonts w:ascii="Tahoma" w:hAnsi="Tahoma" w:cs="Tahoma"/>
        </w:rPr>
      </w:pPr>
      <w:r w:rsidRPr="00385DD7">
        <w:rPr>
          <w:rFonts w:ascii="Tahoma" w:hAnsi="Tahoma" w:cs="Tahoma"/>
        </w:rPr>
        <w:t>•</w:t>
      </w:r>
      <w:r w:rsidRPr="00385DD7">
        <w:rPr>
          <w:rFonts w:ascii="Tahoma" w:hAnsi="Tahoma" w:cs="Tahoma"/>
        </w:rPr>
        <w:tab/>
        <w:t xml:space="preserve">Have regular informal weekly meetings with their Line Manager to discuss and review progress. </w:t>
      </w:r>
    </w:p>
    <w:p w14:paraId="48587A0F" w14:textId="77777777" w:rsidR="00FA1132" w:rsidRPr="00385DD7" w:rsidRDefault="00FA1132" w:rsidP="009E33EC">
      <w:pPr>
        <w:spacing w:before="0" w:line="240" w:lineRule="auto"/>
        <w:ind w:left="1656" w:right="0" w:hanging="360"/>
        <w:contextualSpacing/>
        <w:jc w:val="left"/>
        <w:rPr>
          <w:rFonts w:ascii="Tahoma" w:hAnsi="Tahoma" w:cs="Tahoma"/>
        </w:rPr>
      </w:pPr>
    </w:p>
    <w:p w14:paraId="4C4A36A0" w14:textId="77777777" w:rsidR="00385DD7" w:rsidRPr="00385DD7" w:rsidRDefault="00385DD7" w:rsidP="00385DD7">
      <w:pPr>
        <w:spacing w:before="0" w:line="240" w:lineRule="auto"/>
        <w:ind w:left="576" w:right="0" w:hanging="576"/>
        <w:contextualSpacing/>
        <w:jc w:val="left"/>
        <w:rPr>
          <w:rFonts w:ascii="Tahoma" w:hAnsi="Tahoma" w:cs="Tahoma"/>
        </w:rPr>
      </w:pPr>
      <w:r w:rsidRPr="00385DD7">
        <w:rPr>
          <w:rFonts w:ascii="Tahoma" w:hAnsi="Tahoma" w:cs="Tahoma"/>
        </w:rPr>
        <w:t>2.5</w:t>
      </w:r>
      <w:r w:rsidRPr="00385DD7">
        <w:rPr>
          <w:rFonts w:ascii="Tahoma" w:hAnsi="Tahoma" w:cs="Tahoma"/>
        </w:rPr>
        <w:tab/>
      </w:r>
      <w:r w:rsidRPr="009E33EC">
        <w:rPr>
          <w:rFonts w:ascii="Tahoma" w:hAnsi="Tahoma" w:cs="Tahoma"/>
          <w:b/>
          <w:bCs/>
        </w:rPr>
        <w:t>Conduct of the Review Process</w:t>
      </w:r>
    </w:p>
    <w:p w14:paraId="561E6872" w14:textId="77777777"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2.5.1</w:t>
      </w:r>
      <w:r w:rsidRPr="00385DD7">
        <w:rPr>
          <w:rFonts w:ascii="Tahoma" w:hAnsi="Tahoma" w:cs="Tahoma"/>
        </w:rPr>
        <w:tab/>
        <w:t>A review of the performance of the Senior Post Holder by the Governance, Search &amp; Remuneration Committee will typically take place at 3 and 6 months into the probationary period.</w:t>
      </w:r>
    </w:p>
    <w:p w14:paraId="6799D2D3" w14:textId="77777777"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2.5.2</w:t>
      </w:r>
      <w:r w:rsidRPr="00385DD7">
        <w:rPr>
          <w:rFonts w:ascii="Tahoma" w:hAnsi="Tahoma" w:cs="Tahoma"/>
        </w:rPr>
        <w:tab/>
        <w:t xml:space="preserve">When monitoring the Senior Post Holder’s progress, the Governance, Search &amp; Remuneration Committee will </w:t>
      </w:r>
      <w:proofErr w:type="gramStart"/>
      <w:r w:rsidRPr="00385DD7">
        <w:rPr>
          <w:rFonts w:ascii="Tahoma" w:hAnsi="Tahoma" w:cs="Tahoma"/>
        </w:rPr>
        <w:t>take into account</w:t>
      </w:r>
      <w:proofErr w:type="gramEnd"/>
      <w:r w:rsidRPr="00385DD7">
        <w:rPr>
          <w:rFonts w:ascii="Tahoma" w:hAnsi="Tahoma" w:cs="Tahoma"/>
        </w:rPr>
        <w:t xml:space="preserve"> evidence available from the Senior Post Holder, the Line Manager, any meeting notes or minutes, Governor Link activity and any feedback from key stakeholders, staff or professional advisors to the College.  This list is non-</w:t>
      </w:r>
      <w:proofErr w:type="gramStart"/>
      <w:r w:rsidRPr="00385DD7">
        <w:rPr>
          <w:rFonts w:ascii="Tahoma" w:hAnsi="Tahoma" w:cs="Tahoma"/>
        </w:rPr>
        <w:t>exhaustive</w:t>
      </w:r>
      <w:proofErr w:type="gramEnd"/>
      <w:r w:rsidRPr="00385DD7">
        <w:rPr>
          <w:rFonts w:ascii="Tahoma" w:hAnsi="Tahoma" w:cs="Tahoma"/>
        </w:rPr>
        <w:t xml:space="preserve"> and the Committee reserves the right to consider any available sources of evidence available to the College.</w:t>
      </w:r>
    </w:p>
    <w:p w14:paraId="1339DAB2" w14:textId="77777777"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2.5.3</w:t>
      </w:r>
      <w:r w:rsidRPr="00385DD7">
        <w:rPr>
          <w:rFonts w:ascii="Tahoma" w:hAnsi="Tahoma" w:cs="Tahoma"/>
        </w:rPr>
        <w:tab/>
        <w:t xml:space="preserve">When considering the Senior Post Holder’s progress during the probationary period the following points should be borne in mind: </w:t>
      </w:r>
    </w:p>
    <w:p w14:paraId="2D87A3AD" w14:textId="77777777" w:rsidR="00385DD7" w:rsidRPr="00385DD7" w:rsidRDefault="00385DD7" w:rsidP="003A3887">
      <w:pPr>
        <w:spacing w:before="0" w:line="240" w:lineRule="auto"/>
        <w:ind w:left="1656" w:right="0" w:hanging="360"/>
        <w:contextualSpacing/>
        <w:jc w:val="left"/>
        <w:rPr>
          <w:rFonts w:ascii="Tahoma" w:hAnsi="Tahoma" w:cs="Tahoma"/>
        </w:rPr>
      </w:pPr>
      <w:proofErr w:type="spellStart"/>
      <w:r w:rsidRPr="00385DD7">
        <w:rPr>
          <w:rFonts w:ascii="Tahoma" w:hAnsi="Tahoma" w:cs="Tahoma"/>
        </w:rPr>
        <w:t>i</w:t>
      </w:r>
      <w:proofErr w:type="spellEnd"/>
      <w:r w:rsidRPr="00385DD7">
        <w:rPr>
          <w:rFonts w:ascii="Tahoma" w:hAnsi="Tahoma" w:cs="Tahoma"/>
        </w:rPr>
        <w:t>.</w:t>
      </w:r>
      <w:r w:rsidRPr="00385DD7">
        <w:rPr>
          <w:rFonts w:ascii="Tahoma" w:hAnsi="Tahoma" w:cs="Tahoma"/>
        </w:rPr>
        <w:tab/>
        <w:t xml:space="preserve">Delivery against the agreed objectives/ performance requirements </w:t>
      </w:r>
      <w:proofErr w:type="gramStart"/>
      <w:r w:rsidRPr="00385DD7">
        <w:rPr>
          <w:rFonts w:ascii="Tahoma" w:hAnsi="Tahoma" w:cs="Tahoma"/>
        </w:rPr>
        <w:t>taking into account</w:t>
      </w:r>
      <w:proofErr w:type="gramEnd"/>
      <w:r w:rsidRPr="00385DD7">
        <w:rPr>
          <w:rFonts w:ascii="Tahoma" w:hAnsi="Tahoma" w:cs="Tahoma"/>
        </w:rPr>
        <w:t>:</w:t>
      </w:r>
    </w:p>
    <w:p w14:paraId="479EE27D"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a.</w:t>
      </w:r>
      <w:r w:rsidRPr="00385DD7">
        <w:rPr>
          <w:rFonts w:ascii="Tahoma" w:hAnsi="Tahoma" w:cs="Tahoma"/>
        </w:rPr>
        <w:tab/>
        <w:t xml:space="preserve">Work quality - Is the Senior Post Holder producing work that is of the requisite quality considered against the seniority of the position and requirements of the role? </w:t>
      </w:r>
    </w:p>
    <w:p w14:paraId="3563A98E"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b.</w:t>
      </w:r>
      <w:r w:rsidRPr="00385DD7">
        <w:rPr>
          <w:rFonts w:ascii="Tahoma" w:hAnsi="Tahoma" w:cs="Tahoma"/>
        </w:rPr>
        <w:tab/>
        <w:t>Work pace - Is the Senior Post Holder making good progress in the amount of work which is being done and is the work contributing to the success of the college and enabling the college to successfully meet is strategic priorities?</w:t>
      </w:r>
    </w:p>
    <w:p w14:paraId="4B6C85C0"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c.</w:t>
      </w:r>
      <w:r w:rsidRPr="00385DD7">
        <w:rPr>
          <w:rFonts w:ascii="Tahoma" w:hAnsi="Tahoma" w:cs="Tahoma"/>
        </w:rPr>
        <w:tab/>
        <w:t xml:space="preserve">Standard of work – Is the Senior Post Holder demonstrating that they </w:t>
      </w:r>
      <w:proofErr w:type="gramStart"/>
      <w:r w:rsidRPr="00385DD7">
        <w:rPr>
          <w:rFonts w:ascii="Tahoma" w:hAnsi="Tahoma" w:cs="Tahoma"/>
        </w:rPr>
        <w:t>are capable of performing</w:t>
      </w:r>
      <w:proofErr w:type="gramEnd"/>
      <w:r w:rsidRPr="00385DD7">
        <w:rPr>
          <w:rFonts w:ascii="Tahoma" w:hAnsi="Tahoma" w:cs="Tahoma"/>
        </w:rPr>
        <w:t xml:space="preserve"> at the level that is expected of them and that is required in the role? </w:t>
      </w:r>
    </w:p>
    <w:p w14:paraId="1D53F670"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d.</w:t>
      </w:r>
      <w:r w:rsidRPr="00385DD7">
        <w:rPr>
          <w:rFonts w:ascii="Tahoma" w:hAnsi="Tahoma" w:cs="Tahoma"/>
        </w:rPr>
        <w:tab/>
        <w:t>Leadership – Is the Senior Post Holder demonstrating clear, robust and impactful leadership of the organisation and their portfolio and are they demonstrating the behaviours expected for their role and making a positive impact on the organisation’s future and its success?</w:t>
      </w:r>
    </w:p>
    <w:p w14:paraId="3921D871"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e.</w:t>
      </w:r>
      <w:r w:rsidRPr="00385DD7">
        <w:rPr>
          <w:rFonts w:ascii="Tahoma" w:hAnsi="Tahoma" w:cs="Tahoma"/>
        </w:rPr>
        <w:tab/>
        <w:t>Engagement with key stakeholders – Is the Senior Post Holder demonstrating good engagement and developing strong working relationships with key stakeholders such as staff, learners, external stakeholders and regulatory partners?</w:t>
      </w:r>
    </w:p>
    <w:p w14:paraId="627931E7" w14:textId="77777777" w:rsidR="00385DD7" w:rsidRPr="00385DD7" w:rsidRDefault="00385DD7" w:rsidP="003A3887">
      <w:pPr>
        <w:spacing w:before="0" w:line="240" w:lineRule="auto"/>
        <w:ind w:left="2016" w:right="0" w:hanging="360"/>
        <w:contextualSpacing/>
        <w:jc w:val="left"/>
        <w:rPr>
          <w:rFonts w:ascii="Tahoma" w:hAnsi="Tahoma" w:cs="Tahoma"/>
        </w:rPr>
      </w:pPr>
      <w:r w:rsidRPr="00385DD7">
        <w:rPr>
          <w:rFonts w:ascii="Tahoma" w:hAnsi="Tahoma" w:cs="Tahoma"/>
        </w:rPr>
        <w:t>f.</w:t>
      </w:r>
      <w:r w:rsidRPr="00385DD7">
        <w:rPr>
          <w:rFonts w:ascii="Tahoma" w:hAnsi="Tahoma" w:cs="Tahoma"/>
        </w:rPr>
        <w:tab/>
        <w:t xml:space="preserve">Attendance - What is the Senior Post Holder’s record for punctuality, attendance and sickness absence? </w:t>
      </w:r>
    </w:p>
    <w:p w14:paraId="5E7C565D" w14:textId="5DB22CE7"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2.5.4</w:t>
      </w:r>
      <w:r w:rsidRPr="00385DD7">
        <w:rPr>
          <w:rFonts w:ascii="Tahoma" w:hAnsi="Tahoma" w:cs="Tahoma"/>
        </w:rPr>
        <w:tab/>
        <w:t xml:space="preserve">It is recognised that many objectives or requirements of the role may be over a longer </w:t>
      </w:r>
      <w:proofErr w:type="gramStart"/>
      <w:r w:rsidRPr="00385DD7">
        <w:rPr>
          <w:rFonts w:ascii="Tahoma" w:hAnsi="Tahoma" w:cs="Tahoma"/>
        </w:rPr>
        <w:t>period of time</w:t>
      </w:r>
      <w:proofErr w:type="gramEnd"/>
      <w:r w:rsidRPr="00385DD7">
        <w:rPr>
          <w:rFonts w:ascii="Tahoma" w:hAnsi="Tahoma" w:cs="Tahoma"/>
        </w:rPr>
        <w:t xml:space="preserve"> and therefore the </w:t>
      </w:r>
      <w:r w:rsidR="00CE03F6" w:rsidRPr="00385DD7">
        <w:rPr>
          <w:rFonts w:ascii="Tahoma" w:hAnsi="Tahoma" w:cs="Tahoma"/>
        </w:rPr>
        <w:t>3-month</w:t>
      </w:r>
      <w:r w:rsidRPr="00385DD7">
        <w:rPr>
          <w:rFonts w:ascii="Tahoma" w:hAnsi="Tahoma" w:cs="Tahoma"/>
        </w:rPr>
        <w:t xml:space="preserve"> review will consider the progress made against those objectives, including any relevant milestones.  If there are difficulties in any of the above areas at the </w:t>
      </w:r>
      <w:r w:rsidR="00CE03F6" w:rsidRPr="00385DD7">
        <w:rPr>
          <w:rFonts w:ascii="Tahoma" w:hAnsi="Tahoma" w:cs="Tahoma"/>
        </w:rPr>
        <w:t>3-month</w:t>
      </w:r>
      <w:r w:rsidRPr="00385DD7">
        <w:rPr>
          <w:rFonts w:ascii="Tahoma" w:hAnsi="Tahoma" w:cs="Tahoma"/>
        </w:rPr>
        <w:t xml:space="preserve"> review, the Governance, Search &amp; Remuneration Committee will investigate why this is so and indicate what improvement is to be made and set these out for the Corporation to consider and approve.</w:t>
      </w:r>
    </w:p>
    <w:p w14:paraId="630A19C1" w14:textId="79B72583"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2.5.5</w:t>
      </w:r>
      <w:r w:rsidRPr="00385DD7">
        <w:rPr>
          <w:rFonts w:ascii="Tahoma" w:hAnsi="Tahoma" w:cs="Tahoma"/>
        </w:rPr>
        <w:tab/>
        <w:t xml:space="preserve">Where, at the </w:t>
      </w:r>
      <w:r w:rsidR="00CE03F6" w:rsidRPr="00385DD7">
        <w:rPr>
          <w:rFonts w:ascii="Tahoma" w:hAnsi="Tahoma" w:cs="Tahoma"/>
        </w:rPr>
        <w:t>3-month</w:t>
      </w:r>
      <w:r w:rsidRPr="00385DD7">
        <w:rPr>
          <w:rFonts w:ascii="Tahoma" w:hAnsi="Tahoma" w:cs="Tahoma"/>
        </w:rPr>
        <w:t xml:space="preserve"> review performance issues are noted, it will be at the Governance, Search &amp; Remuneration Committee’s discretion if an additional review of the probationary period needs to take place at 4.5 months.</w:t>
      </w:r>
    </w:p>
    <w:p w14:paraId="158AF781" w14:textId="3B566BB7" w:rsidR="00385DD7" w:rsidRPr="00385DD7" w:rsidRDefault="00385DD7" w:rsidP="003A3887">
      <w:pPr>
        <w:spacing w:before="0" w:line="240" w:lineRule="auto"/>
        <w:ind w:left="1296" w:right="0" w:hanging="720"/>
        <w:contextualSpacing/>
        <w:jc w:val="left"/>
        <w:rPr>
          <w:rFonts w:ascii="Tahoma" w:hAnsi="Tahoma" w:cs="Tahoma"/>
        </w:rPr>
      </w:pPr>
      <w:r w:rsidRPr="00385DD7">
        <w:rPr>
          <w:rFonts w:ascii="Tahoma" w:hAnsi="Tahoma" w:cs="Tahoma"/>
        </w:rPr>
        <w:t>2.5.6</w:t>
      </w:r>
      <w:r w:rsidRPr="00385DD7">
        <w:rPr>
          <w:rFonts w:ascii="Tahoma" w:hAnsi="Tahoma" w:cs="Tahoma"/>
        </w:rPr>
        <w:tab/>
        <w:t xml:space="preserve">Following the </w:t>
      </w:r>
      <w:r w:rsidR="00CE03F6" w:rsidRPr="00385DD7">
        <w:rPr>
          <w:rFonts w:ascii="Tahoma" w:hAnsi="Tahoma" w:cs="Tahoma"/>
        </w:rPr>
        <w:t>3-month</w:t>
      </w:r>
      <w:r w:rsidRPr="00385DD7">
        <w:rPr>
          <w:rFonts w:ascii="Tahoma" w:hAnsi="Tahoma" w:cs="Tahoma"/>
        </w:rPr>
        <w:t xml:space="preserve"> review (or </w:t>
      </w:r>
      <w:r w:rsidR="00CE03F6" w:rsidRPr="00385DD7">
        <w:rPr>
          <w:rFonts w:ascii="Tahoma" w:hAnsi="Tahoma" w:cs="Tahoma"/>
        </w:rPr>
        <w:t>4.5-month</w:t>
      </w:r>
      <w:r w:rsidRPr="00385DD7">
        <w:rPr>
          <w:rFonts w:ascii="Tahoma" w:hAnsi="Tahoma" w:cs="Tahoma"/>
        </w:rPr>
        <w:t xml:space="preserve"> review if appropriate) with the Committee, a letter will be sent to the Senior Post Holder summarising the view of the Corporation. If appropriate this will include specific details of any concerns, the action to be taken to improve performance and/or progress and draw to the attention of the Senior Post Holder that should performance and/or progress not improve within a specified period, a recommendation to dismiss could result</w:t>
      </w:r>
      <w:r w:rsidR="003A3887">
        <w:rPr>
          <w:rFonts w:ascii="Tahoma" w:hAnsi="Tahoma" w:cs="Tahoma"/>
        </w:rPr>
        <w:t>.</w:t>
      </w:r>
    </w:p>
    <w:p w14:paraId="71065CFA" w14:textId="77777777" w:rsidR="003A3887" w:rsidRDefault="003A3887" w:rsidP="00385DD7">
      <w:pPr>
        <w:spacing w:before="0" w:line="240" w:lineRule="auto"/>
        <w:ind w:left="576" w:right="0" w:hanging="576"/>
        <w:contextualSpacing/>
        <w:jc w:val="left"/>
        <w:rPr>
          <w:rFonts w:ascii="Tahoma" w:hAnsi="Tahoma" w:cs="Tahoma"/>
        </w:rPr>
      </w:pPr>
    </w:p>
    <w:p w14:paraId="0F45C30B" w14:textId="72563A45" w:rsidR="00385DD7" w:rsidRPr="00CE03F6" w:rsidRDefault="00385DD7" w:rsidP="00385DD7">
      <w:pPr>
        <w:spacing w:before="0" w:line="240" w:lineRule="auto"/>
        <w:ind w:left="576" w:right="0" w:hanging="576"/>
        <w:contextualSpacing/>
        <w:jc w:val="left"/>
        <w:rPr>
          <w:rFonts w:ascii="Tahoma" w:hAnsi="Tahoma" w:cs="Tahoma"/>
          <w:b/>
          <w:bCs/>
        </w:rPr>
      </w:pPr>
      <w:r w:rsidRPr="00385DD7">
        <w:rPr>
          <w:rFonts w:ascii="Tahoma" w:hAnsi="Tahoma" w:cs="Tahoma"/>
        </w:rPr>
        <w:t>2.6</w:t>
      </w:r>
      <w:r w:rsidRPr="00385DD7">
        <w:rPr>
          <w:rFonts w:ascii="Tahoma" w:hAnsi="Tahoma" w:cs="Tahoma"/>
        </w:rPr>
        <w:tab/>
      </w:r>
      <w:r w:rsidRPr="00CE03F6">
        <w:rPr>
          <w:rFonts w:ascii="Tahoma" w:hAnsi="Tahoma" w:cs="Tahoma"/>
          <w:b/>
          <w:bCs/>
        </w:rPr>
        <w:t>Completion of the Probation Period</w:t>
      </w:r>
    </w:p>
    <w:p w14:paraId="025832CC" w14:textId="1E80BC63" w:rsidR="00385DD7" w:rsidRPr="00385DD7" w:rsidRDefault="00385DD7" w:rsidP="00CE03F6">
      <w:pPr>
        <w:spacing w:before="0" w:line="240" w:lineRule="auto"/>
        <w:ind w:left="1296" w:right="0" w:hanging="720"/>
        <w:contextualSpacing/>
        <w:jc w:val="left"/>
        <w:rPr>
          <w:rFonts w:ascii="Tahoma" w:hAnsi="Tahoma" w:cs="Tahoma"/>
        </w:rPr>
      </w:pPr>
      <w:r w:rsidRPr="00385DD7">
        <w:rPr>
          <w:rFonts w:ascii="Tahoma" w:hAnsi="Tahoma" w:cs="Tahoma"/>
        </w:rPr>
        <w:t>2.6.1</w:t>
      </w:r>
      <w:r w:rsidRPr="00385DD7">
        <w:rPr>
          <w:rFonts w:ascii="Tahoma" w:hAnsi="Tahoma" w:cs="Tahoma"/>
        </w:rPr>
        <w:tab/>
        <w:t xml:space="preserve">At the </w:t>
      </w:r>
      <w:r w:rsidR="00CE03F6" w:rsidRPr="00385DD7">
        <w:rPr>
          <w:rFonts w:ascii="Tahoma" w:hAnsi="Tahoma" w:cs="Tahoma"/>
        </w:rPr>
        <w:t>6-month</w:t>
      </w:r>
      <w:r w:rsidRPr="00385DD7">
        <w:rPr>
          <w:rFonts w:ascii="Tahoma" w:hAnsi="Tahoma" w:cs="Tahoma"/>
        </w:rPr>
        <w:t xml:space="preserve"> review, the Governance, Search &amp; Remuneration Committee will again </w:t>
      </w:r>
      <w:proofErr w:type="gramStart"/>
      <w:r w:rsidRPr="00385DD7">
        <w:rPr>
          <w:rFonts w:ascii="Tahoma" w:hAnsi="Tahoma" w:cs="Tahoma"/>
        </w:rPr>
        <w:t>take into account</w:t>
      </w:r>
      <w:proofErr w:type="gramEnd"/>
      <w:r w:rsidRPr="00385DD7">
        <w:rPr>
          <w:rFonts w:ascii="Tahoma" w:hAnsi="Tahoma" w:cs="Tahoma"/>
        </w:rPr>
        <w:t xml:space="preserve"> the points detailed above and provide a recommendation to the Corporation on one of the following outcomes:</w:t>
      </w:r>
    </w:p>
    <w:p w14:paraId="0CA17FA0" w14:textId="4D3A1760" w:rsidR="00385DD7" w:rsidRPr="00385DD7" w:rsidRDefault="00385DD7" w:rsidP="00CE03F6">
      <w:pPr>
        <w:spacing w:before="0" w:line="240" w:lineRule="auto"/>
        <w:ind w:left="1296" w:right="0" w:hanging="720"/>
        <w:contextualSpacing/>
        <w:jc w:val="left"/>
        <w:rPr>
          <w:rFonts w:ascii="Tahoma" w:hAnsi="Tahoma" w:cs="Tahoma"/>
        </w:rPr>
      </w:pPr>
      <w:r w:rsidRPr="00385DD7">
        <w:rPr>
          <w:rFonts w:ascii="Tahoma" w:hAnsi="Tahoma" w:cs="Tahoma"/>
        </w:rPr>
        <w:t>2.6.2</w:t>
      </w:r>
      <w:r w:rsidRPr="00385DD7">
        <w:rPr>
          <w:rFonts w:ascii="Tahoma" w:hAnsi="Tahoma" w:cs="Tahoma"/>
        </w:rPr>
        <w:tab/>
        <w:t xml:space="preserve">Following the </w:t>
      </w:r>
      <w:r w:rsidR="00CE03F6" w:rsidRPr="00385DD7">
        <w:rPr>
          <w:rFonts w:ascii="Tahoma" w:hAnsi="Tahoma" w:cs="Tahoma"/>
        </w:rPr>
        <w:t>6-month</w:t>
      </w:r>
      <w:r w:rsidRPr="00385DD7">
        <w:rPr>
          <w:rFonts w:ascii="Tahoma" w:hAnsi="Tahoma" w:cs="Tahoma"/>
        </w:rPr>
        <w:t xml:space="preserve"> review period:</w:t>
      </w:r>
    </w:p>
    <w:p w14:paraId="2AA9C37E" w14:textId="77777777" w:rsidR="00385DD7" w:rsidRPr="00385DD7" w:rsidRDefault="00385DD7" w:rsidP="00647458">
      <w:pPr>
        <w:spacing w:before="0" w:line="240" w:lineRule="auto"/>
        <w:ind w:left="1656" w:right="0" w:hanging="360"/>
        <w:contextualSpacing/>
        <w:jc w:val="left"/>
        <w:rPr>
          <w:rFonts w:ascii="Tahoma" w:hAnsi="Tahoma" w:cs="Tahoma"/>
        </w:rPr>
      </w:pPr>
      <w:r w:rsidRPr="00385DD7">
        <w:rPr>
          <w:rFonts w:ascii="Tahoma" w:hAnsi="Tahoma" w:cs="Tahoma"/>
        </w:rPr>
        <w:t>a.</w:t>
      </w:r>
      <w:r w:rsidRPr="00385DD7">
        <w:rPr>
          <w:rFonts w:ascii="Tahoma" w:hAnsi="Tahoma" w:cs="Tahoma"/>
        </w:rPr>
        <w:tab/>
        <w:t>Successful completion</w:t>
      </w:r>
    </w:p>
    <w:p w14:paraId="4DBD833E" w14:textId="584A02C9" w:rsidR="00385DD7" w:rsidRPr="00385DD7" w:rsidRDefault="00647458" w:rsidP="00647458">
      <w:pPr>
        <w:spacing w:before="0" w:line="240" w:lineRule="auto"/>
        <w:ind w:left="1656" w:right="0" w:hanging="360"/>
        <w:contextualSpacing/>
        <w:jc w:val="left"/>
        <w:rPr>
          <w:rFonts w:ascii="Tahoma" w:hAnsi="Tahoma" w:cs="Tahoma"/>
        </w:rPr>
      </w:pPr>
      <w:r>
        <w:rPr>
          <w:rFonts w:ascii="Tahoma" w:hAnsi="Tahoma" w:cs="Tahoma"/>
        </w:rPr>
        <w:tab/>
      </w:r>
      <w:r w:rsidR="00385DD7" w:rsidRPr="00385DD7">
        <w:rPr>
          <w:rFonts w:ascii="Tahoma" w:hAnsi="Tahoma" w:cs="Tahoma"/>
        </w:rPr>
        <w:t xml:space="preserve">If at the end of 6 months the Senior Post Holder is judged to have successfully completed the probation period, they will be formally confirmed in post. This decision will be made by the Corporation </w:t>
      </w:r>
      <w:proofErr w:type="gramStart"/>
      <w:r w:rsidR="00385DD7" w:rsidRPr="00385DD7">
        <w:rPr>
          <w:rFonts w:ascii="Tahoma" w:hAnsi="Tahoma" w:cs="Tahoma"/>
        </w:rPr>
        <w:t>taking into account</w:t>
      </w:r>
      <w:proofErr w:type="gramEnd"/>
      <w:r w:rsidR="00385DD7" w:rsidRPr="00385DD7">
        <w:rPr>
          <w:rFonts w:ascii="Tahoma" w:hAnsi="Tahoma" w:cs="Tahoma"/>
        </w:rPr>
        <w:t xml:space="preserve"> the recommendation of the Governance, Search &amp; Remuneration Committee and any associated evidence. A probationary period will not be deemed to have been completed successfully until confirmed in writing. </w:t>
      </w:r>
    </w:p>
    <w:p w14:paraId="7A60C13E" w14:textId="77777777" w:rsidR="00385DD7" w:rsidRPr="00385DD7" w:rsidRDefault="00385DD7" w:rsidP="00647458">
      <w:pPr>
        <w:spacing w:before="0" w:line="240" w:lineRule="auto"/>
        <w:ind w:left="1656" w:right="0" w:hanging="360"/>
        <w:contextualSpacing/>
        <w:jc w:val="left"/>
        <w:rPr>
          <w:rFonts w:ascii="Tahoma" w:hAnsi="Tahoma" w:cs="Tahoma"/>
        </w:rPr>
      </w:pPr>
      <w:r w:rsidRPr="00385DD7">
        <w:rPr>
          <w:rFonts w:ascii="Tahoma" w:hAnsi="Tahoma" w:cs="Tahoma"/>
        </w:rPr>
        <w:t>b.</w:t>
      </w:r>
      <w:r w:rsidRPr="00385DD7">
        <w:rPr>
          <w:rFonts w:ascii="Tahoma" w:hAnsi="Tahoma" w:cs="Tahoma"/>
        </w:rPr>
        <w:tab/>
        <w:t xml:space="preserve">Partially Successful </w:t>
      </w:r>
    </w:p>
    <w:p w14:paraId="6CE25644" w14:textId="464DD4F5" w:rsidR="00385DD7" w:rsidRPr="00385DD7" w:rsidRDefault="00647458" w:rsidP="00647458">
      <w:pPr>
        <w:spacing w:before="0" w:line="240" w:lineRule="auto"/>
        <w:ind w:left="1656" w:right="0" w:hanging="360"/>
        <w:contextualSpacing/>
        <w:jc w:val="left"/>
        <w:rPr>
          <w:rFonts w:ascii="Tahoma" w:hAnsi="Tahoma" w:cs="Tahoma"/>
        </w:rPr>
      </w:pPr>
      <w:r>
        <w:rPr>
          <w:rFonts w:ascii="Tahoma" w:hAnsi="Tahoma" w:cs="Tahoma"/>
        </w:rPr>
        <w:tab/>
      </w:r>
      <w:r w:rsidR="00385DD7" w:rsidRPr="00385DD7">
        <w:rPr>
          <w:rFonts w:ascii="Tahoma" w:hAnsi="Tahoma" w:cs="Tahoma"/>
        </w:rPr>
        <w:t xml:space="preserve">If at the end of 6 months the Senior Post Holder is judged to have only partially completed the requirements for successful completion of his or her probation period, the probation period may be extended to 9 months, with a review taking place at the end of the eighth month. In considering whether to recommend to the Corporation that the probationary period is extended, the Governance, Search &amp; Remuneration Committee will consider any support, training and development requirements and whether there is sufficient evidence to suggest that improvement is likely to result in the Senior Post Holder meeting performance standards for the role.  The Corporation will write to the Senior Post Holder outlining the requirements and timescale for any extensions to the probationary period. </w:t>
      </w:r>
    </w:p>
    <w:p w14:paraId="42145A86" w14:textId="77777777" w:rsidR="00385DD7" w:rsidRPr="00385DD7" w:rsidRDefault="00385DD7" w:rsidP="00647458">
      <w:pPr>
        <w:spacing w:before="0" w:line="240" w:lineRule="auto"/>
        <w:ind w:left="1656" w:right="0" w:hanging="360"/>
        <w:contextualSpacing/>
        <w:jc w:val="left"/>
        <w:rPr>
          <w:rFonts w:ascii="Tahoma" w:hAnsi="Tahoma" w:cs="Tahoma"/>
        </w:rPr>
      </w:pPr>
      <w:r w:rsidRPr="00385DD7">
        <w:rPr>
          <w:rFonts w:ascii="Tahoma" w:hAnsi="Tahoma" w:cs="Tahoma"/>
        </w:rPr>
        <w:t>c.</w:t>
      </w:r>
      <w:r w:rsidRPr="00385DD7">
        <w:rPr>
          <w:rFonts w:ascii="Tahoma" w:hAnsi="Tahoma" w:cs="Tahoma"/>
        </w:rPr>
        <w:tab/>
        <w:t xml:space="preserve">Unsuccessful </w:t>
      </w:r>
    </w:p>
    <w:p w14:paraId="21E1AF35" w14:textId="32EF9512" w:rsidR="00385DD7" w:rsidRPr="00385DD7" w:rsidRDefault="00647458" w:rsidP="00647458">
      <w:pPr>
        <w:spacing w:before="0" w:line="240" w:lineRule="auto"/>
        <w:ind w:left="1656" w:right="0" w:hanging="360"/>
        <w:contextualSpacing/>
        <w:jc w:val="left"/>
        <w:rPr>
          <w:rFonts w:ascii="Tahoma" w:hAnsi="Tahoma" w:cs="Tahoma"/>
        </w:rPr>
      </w:pPr>
      <w:r>
        <w:rPr>
          <w:rFonts w:ascii="Tahoma" w:hAnsi="Tahoma" w:cs="Tahoma"/>
        </w:rPr>
        <w:tab/>
      </w:r>
      <w:r w:rsidR="00385DD7" w:rsidRPr="00385DD7">
        <w:rPr>
          <w:rFonts w:ascii="Tahoma" w:hAnsi="Tahoma" w:cs="Tahoma"/>
        </w:rPr>
        <w:t xml:space="preserve">If, after careful monitoring, formal review, support and guidance outlined above, the Senior Post Holder is judged not to have successfully completed the probationary period, the Governance, Search &amp; Remuneration Committee may recommend to the Corporation that the employment of the Senior Post Holder is terminated.   </w:t>
      </w:r>
    </w:p>
    <w:p w14:paraId="6A0B46A3" w14:textId="77777777" w:rsidR="00385DD7" w:rsidRPr="00385DD7" w:rsidRDefault="00385DD7" w:rsidP="00647458">
      <w:pPr>
        <w:spacing w:before="0" w:line="240" w:lineRule="auto"/>
        <w:ind w:left="1296" w:right="0" w:hanging="720"/>
        <w:contextualSpacing/>
        <w:jc w:val="left"/>
        <w:rPr>
          <w:rFonts w:ascii="Tahoma" w:hAnsi="Tahoma" w:cs="Tahoma"/>
        </w:rPr>
      </w:pPr>
      <w:r w:rsidRPr="00385DD7">
        <w:rPr>
          <w:rFonts w:ascii="Tahoma" w:hAnsi="Tahoma" w:cs="Tahoma"/>
        </w:rPr>
        <w:t>2.6.3</w:t>
      </w:r>
      <w:r w:rsidRPr="00385DD7">
        <w:rPr>
          <w:rFonts w:ascii="Tahoma" w:hAnsi="Tahoma" w:cs="Tahoma"/>
        </w:rPr>
        <w:tab/>
        <w:t>General</w:t>
      </w:r>
    </w:p>
    <w:p w14:paraId="4DA1D8DE" w14:textId="1BAACA4A" w:rsidR="00385DD7" w:rsidRDefault="00647458" w:rsidP="00647458">
      <w:pPr>
        <w:spacing w:before="0" w:line="240" w:lineRule="auto"/>
        <w:ind w:left="1296" w:right="0" w:hanging="720"/>
        <w:contextualSpacing/>
        <w:jc w:val="left"/>
        <w:rPr>
          <w:rFonts w:ascii="Tahoma" w:hAnsi="Tahoma" w:cs="Tahoma"/>
        </w:rPr>
      </w:pPr>
      <w:r>
        <w:rPr>
          <w:rFonts w:ascii="Tahoma" w:hAnsi="Tahoma" w:cs="Tahoma"/>
        </w:rPr>
        <w:tab/>
      </w:r>
      <w:r w:rsidR="00385DD7" w:rsidRPr="00385DD7">
        <w:rPr>
          <w:rFonts w:ascii="Tahoma" w:hAnsi="Tahoma" w:cs="Tahoma"/>
        </w:rPr>
        <w:t>The College reserves the right to bring forward the timings of meetings referred to in these procedures should there be performance standards issues which it feels need to be addressed earlier or as a matter of urgency.</w:t>
      </w:r>
    </w:p>
    <w:p w14:paraId="02F54014" w14:textId="77777777" w:rsidR="00647458" w:rsidRPr="00385DD7" w:rsidRDefault="00647458" w:rsidP="00647458">
      <w:pPr>
        <w:spacing w:before="0" w:line="240" w:lineRule="auto"/>
        <w:ind w:left="1296" w:right="0" w:hanging="720"/>
        <w:contextualSpacing/>
        <w:jc w:val="left"/>
        <w:rPr>
          <w:rFonts w:ascii="Tahoma" w:hAnsi="Tahoma" w:cs="Tahoma"/>
        </w:rPr>
      </w:pPr>
    </w:p>
    <w:p w14:paraId="5509ADF0" w14:textId="77777777" w:rsidR="00385DD7" w:rsidRPr="00385DD7" w:rsidRDefault="00385DD7" w:rsidP="00647458">
      <w:pPr>
        <w:spacing w:before="0" w:line="240" w:lineRule="auto"/>
        <w:ind w:left="576" w:right="0" w:hanging="576"/>
        <w:contextualSpacing/>
        <w:jc w:val="left"/>
        <w:rPr>
          <w:rFonts w:ascii="Tahoma" w:hAnsi="Tahoma" w:cs="Tahoma"/>
        </w:rPr>
      </w:pPr>
      <w:r w:rsidRPr="00385DD7">
        <w:rPr>
          <w:rFonts w:ascii="Tahoma" w:hAnsi="Tahoma" w:cs="Tahoma"/>
        </w:rPr>
        <w:t>3.</w:t>
      </w:r>
      <w:r w:rsidRPr="00385DD7">
        <w:rPr>
          <w:rFonts w:ascii="Tahoma" w:hAnsi="Tahoma" w:cs="Tahoma"/>
        </w:rPr>
        <w:tab/>
      </w:r>
      <w:r w:rsidRPr="00647458">
        <w:rPr>
          <w:rFonts w:ascii="Tahoma" w:hAnsi="Tahoma" w:cs="Tahoma"/>
          <w:b/>
          <w:bCs/>
        </w:rPr>
        <w:t>Monitoring and Review</w:t>
      </w:r>
    </w:p>
    <w:p w14:paraId="58287849" w14:textId="0402C403" w:rsidR="007036EA" w:rsidRPr="00764EBA" w:rsidRDefault="00647458" w:rsidP="007407CA">
      <w:pPr>
        <w:spacing w:before="0" w:line="240" w:lineRule="auto"/>
        <w:ind w:left="576" w:right="0" w:hanging="576"/>
        <w:contextualSpacing/>
        <w:jc w:val="left"/>
        <w:rPr>
          <w:rFonts w:ascii="Tahoma" w:hAnsi="Tahoma" w:cs="Tahoma"/>
        </w:rPr>
      </w:pPr>
      <w:r>
        <w:rPr>
          <w:rFonts w:ascii="Tahoma" w:hAnsi="Tahoma" w:cs="Tahoma"/>
        </w:rPr>
        <w:tab/>
      </w:r>
      <w:r w:rsidR="00385DD7" w:rsidRPr="00385DD7">
        <w:rPr>
          <w:rFonts w:ascii="Tahoma" w:hAnsi="Tahoma" w:cs="Tahoma"/>
        </w:rPr>
        <w:t>This policy will be monitored by the Governance</w:t>
      </w:r>
      <w:r w:rsidR="004020D7">
        <w:rPr>
          <w:rFonts w:ascii="Tahoma" w:hAnsi="Tahoma" w:cs="Tahoma"/>
        </w:rPr>
        <w:t xml:space="preserve"> Professional</w:t>
      </w:r>
      <w:r w:rsidR="00385DD7" w:rsidRPr="00385DD7">
        <w:rPr>
          <w:rFonts w:ascii="Tahoma" w:hAnsi="Tahoma" w:cs="Tahoma"/>
        </w:rPr>
        <w:t xml:space="preserve"> on a three yearly basis, unless changes in legislation require earlier review. </w:t>
      </w:r>
    </w:p>
    <w:sectPr w:rsidR="007036EA" w:rsidRPr="00764EBA"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784F" w14:textId="77777777" w:rsidR="00257847" w:rsidRDefault="00257847" w:rsidP="00CF09DE">
      <w:pPr>
        <w:spacing w:line="240" w:lineRule="auto"/>
      </w:pPr>
      <w:r>
        <w:separator/>
      </w:r>
    </w:p>
  </w:endnote>
  <w:endnote w:type="continuationSeparator" w:id="0">
    <w:p w14:paraId="077AD67B" w14:textId="77777777" w:rsidR="00257847" w:rsidRDefault="00257847" w:rsidP="00CF09DE">
      <w:pPr>
        <w:spacing w:line="240" w:lineRule="auto"/>
      </w:pPr>
      <w:r>
        <w:continuationSeparator/>
      </w:r>
    </w:p>
  </w:endnote>
  <w:endnote w:type="continuationNotice" w:id="1">
    <w:p w14:paraId="4B887177" w14:textId="77777777" w:rsidR="00257847" w:rsidRDefault="002578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74AF" w14:textId="77777777" w:rsidR="00257847" w:rsidRDefault="00257847" w:rsidP="00CF09DE">
      <w:pPr>
        <w:spacing w:line="240" w:lineRule="auto"/>
      </w:pPr>
      <w:r>
        <w:separator/>
      </w:r>
    </w:p>
  </w:footnote>
  <w:footnote w:type="continuationSeparator" w:id="0">
    <w:p w14:paraId="4D6DE3F2" w14:textId="77777777" w:rsidR="00257847" w:rsidRDefault="00257847" w:rsidP="00CF09DE">
      <w:pPr>
        <w:spacing w:line="240" w:lineRule="auto"/>
      </w:pPr>
      <w:r>
        <w:continuationSeparator/>
      </w:r>
    </w:p>
  </w:footnote>
  <w:footnote w:type="continuationNotice" w:id="1">
    <w:p w14:paraId="0E1F4DF2" w14:textId="77777777" w:rsidR="00257847" w:rsidRDefault="002578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0DBABFDE" w:rsidR="008238A7" w:rsidRDefault="00502D1C">
    <w:pPr>
      <w:pStyle w:val="Header"/>
    </w:pPr>
    <w:r>
      <w:rPr>
        <w:rFonts w:ascii="Arial" w:hAnsi="Arial" w:cs="Arial"/>
        <w:noProof/>
        <w:sz w:val="20"/>
        <w:szCs w:val="20"/>
      </w:rPr>
      <w:drawing>
        <wp:anchor distT="0" distB="0" distL="114300" distR="114300" simplePos="0" relativeHeight="251658240" behindDoc="1" locked="0" layoutInCell="1" allowOverlap="1" wp14:anchorId="505F6E4E" wp14:editId="0E1E66E9">
          <wp:simplePos x="0" y="0"/>
          <wp:positionH relativeFrom="column">
            <wp:posOffset>5803047</wp:posOffset>
          </wp:positionH>
          <wp:positionV relativeFrom="paragraph">
            <wp:posOffset>-334503</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7092D"/>
    <w:rsid w:val="00071CED"/>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1A1A"/>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57847"/>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5DD7"/>
    <w:rsid w:val="00387D19"/>
    <w:rsid w:val="00392CD2"/>
    <w:rsid w:val="003A0AFA"/>
    <w:rsid w:val="003A1619"/>
    <w:rsid w:val="003A3887"/>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20D7"/>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56C5E"/>
    <w:rsid w:val="004651F2"/>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2CE5"/>
    <w:rsid w:val="004C50F8"/>
    <w:rsid w:val="004D5754"/>
    <w:rsid w:val="004D679E"/>
    <w:rsid w:val="004D7B1C"/>
    <w:rsid w:val="004E1094"/>
    <w:rsid w:val="004E15AC"/>
    <w:rsid w:val="004F405F"/>
    <w:rsid w:val="004F4594"/>
    <w:rsid w:val="004F554B"/>
    <w:rsid w:val="004F65EF"/>
    <w:rsid w:val="004F6EA6"/>
    <w:rsid w:val="00500D73"/>
    <w:rsid w:val="00502D1C"/>
    <w:rsid w:val="00504BE2"/>
    <w:rsid w:val="00510213"/>
    <w:rsid w:val="0051262C"/>
    <w:rsid w:val="005142FB"/>
    <w:rsid w:val="00516637"/>
    <w:rsid w:val="0051761B"/>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6C0"/>
    <w:rsid w:val="0056444B"/>
    <w:rsid w:val="0056659C"/>
    <w:rsid w:val="00570881"/>
    <w:rsid w:val="00574219"/>
    <w:rsid w:val="00575B08"/>
    <w:rsid w:val="00576744"/>
    <w:rsid w:val="005779FB"/>
    <w:rsid w:val="005815C9"/>
    <w:rsid w:val="00583112"/>
    <w:rsid w:val="005832D6"/>
    <w:rsid w:val="0058405D"/>
    <w:rsid w:val="00584CB7"/>
    <w:rsid w:val="00585144"/>
    <w:rsid w:val="005856D9"/>
    <w:rsid w:val="0058618D"/>
    <w:rsid w:val="00590C6E"/>
    <w:rsid w:val="00591068"/>
    <w:rsid w:val="0059458D"/>
    <w:rsid w:val="00596149"/>
    <w:rsid w:val="005A2603"/>
    <w:rsid w:val="005A3BD8"/>
    <w:rsid w:val="005A65A3"/>
    <w:rsid w:val="005B5145"/>
    <w:rsid w:val="005B59EA"/>
    <w:rsid w:val="005B6827"/>
    <w:rsid w:val="005C4216"/>
    <w:rsid w:val="005C6E6E"/>
    <w:rsid w:val="005D30AB"/>
    <w:rsid w:val="005D43F9"/>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47458"/>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704"/>
    <w:rsid w:val="00695E2A"/>
    <w:rsid w:val="006A050E"/>
    <w:rsid w:val="006A23D0"/>
    <w:rsid w:val="006A68F2"/>
    <w:rsid w:val="006B18B3"/>
    <w:rsid w:val="006B39CB"/>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32E5A"/>
    <w:rsid w:val="00736579"/>
    <w:rsid w:val="007407CA"/>
    <w:rsid w:val="00743F96"/>
    <w:rsid w:val="00751AD9"/>
    <w:rsid w:val="00751E32"/>
    <w:rsid w:val="0075220B"/>
    <w:rsid w:val="00752C49"/>
    <w:rsid w:val="00754635"/>
    <w:rsid w:val="007608C6"/>
    <w:rsid w:val="007612A8"/>
    <w:rsid w:val="00763CE1"/>
    <w:rsid w:val="0076461D"/>
    <w:rsid w:val="00764EBA"/>
    <w:rsid w:val="0076792F"/>
    <w:rsid w:val="0077598C"/>
    <w:rsid w:val="00785547"/>
    <w:rsid w:val="007912EC"/>
    <w:rsid w:val="00791BAE"/>
    <w:rsid w:val="00793ADB"/>
    <w:rsid w:val="00796AF9"/>
    <w:rsid w:val="00797BEC"/>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470"/>
    <w:rsid w:val="008B7D40"/>
    <w:rsid w:val="008C360E"/>
    <w:rsid w:val="008D0843"/>
    <w:rsid w:val="008D47EC"/>
    <w:rsid w:val="008D52A2"/>
    <w:rsid w:val="008D5EE2"/>
    <w:rsid w:val="008D7C2F"/>
    <w:rsid w:val="008E0BAD"/>
    <w:rsid w:val="008E1F9E"/>
    <w:rsid w:val="008E46E7"/>
    <w:rsid w:val="008E5ADC"/>
    <w:rsid w:val="008F0740"/>
    <w:rsid w:val="008F428E"/>
    <w:rsid w:val="008F5D41"/>
    <w:rsid w:val="009071EE"/>
    <w:rsid w:val="00910888"/>
    <w:rsid w:val="0091371E"/>
    <w:rsid w:val="00913B8A"/>
    <w:rsid w:val="009150D8"/>
    <w:rsid w:val="00916CAE"/>
    <w:rsid w:val="00923E48"/>
    <w:rsid w:val="00926657"/>
    <w:rsid w:val="00934661"/>
    <w:rsid w:val="0094177E"/>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33EC"/>
    <w:rsid w:val="009E6DE9"/>
    <w:rsid w:val="009F0381"/>
    <w:rsid w:val="009F114C"/>
    <w:rsid w:val="009F184B"/>
    <w:rsid w:val="009F2363"/>
    <w:rsid w:val="009F4BA9"/>
    <w:rsid w:val="009F6115"/>
    <w:rsid w:val="009F6560"/>
    <w:rsid w:val="00A04738"/>
    <w:rsid w:val="00A04C9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4333"/>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2FBA"/>
    <w:rsid w:val="00BC47DF"/>
    <w:rsid w:val="00BC5A24"/>
    <w:rsid w:val="00BC5E90"/>
    <w:rsid w:val="00BE59AD"/>
    <w:rsid w:val="00BF019A"/>
    <w:rsid w:val="00BF2A65"/>
    <w:rsid w:val="00BF5721"/>
    <w:rsid w:val="00C026BA"/>
    <w:rsid w:val="00C042E7"/>
    <w:rsid w:val="00C068C3"/>
    <w:rsid w:val="00C122F6"/>
    <w:rsid w:val="00C125F7"/>
    <w:rsid w:val="00C12A17"/>
    <w:rsid w:val="00C15CDD"/>
    <w:rsid w:val="00C2106C"/>
    <w:rsid w:val="00C21472"/>
    <w:rsid w:val="00C33C04"/>
    <w:rsid w:val="00C34EAF"/>
    <w:rsid w:val="00C43CCD"/>
    <w:rsid w:val="00C45B23"/>
    <w:rsid w:val="00C4708F"/>
    <w:rsid w:val="00C47E50"/>
    <w:rsid w:val="00C52A12"/>
    <w:rsid w:val="00C540B9"/>
    <w:rsid w:val="00C57B97"/>
    <w:rsid w:val="00C6110B"/>
    <w:rsid w:val="00C634F5"/>
    <w:rsid w:val="00C638F9"/>
    <w:rsid w:val="00C63B7A"/>
    <w:rsid w:val="00C6536C"/>
    <w:rsid w:val="00C75110"/>
    <w:rsid w:val="00C81B88"/>
    <w:rsid w:val="00C85606"/>
    <w:rsid w:val="00C903F5"/>
    <w:rsid w:val="00C9519C"/>
    <w:rsid w:val="00C96AF7"/>
    <w:rsid w:val="00C96E81"/>
    <w:rsid w:val="00CA1D14"/>
    <w:rsid w:val="00CA45DA"/>
    <w:rsid w:val="00CA4B76"/>
    <w:rsid w:val="00CB11FF"/>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03F6"/>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10D9"/>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A113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1306</Words>
  <Characters>7178</Characters>
  <Application>Microsoft Office Word</Application>
  <DocSecurity>0</DocSecurity>
  <Lines>159</Lines>
  <Paragraphs>70</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2026-03-26T08:06:00Z</dcterms:created>
  <dcterms:modified xsi:type="dcterms:W3CDTF">2026-03-26T08:21:00Z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