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2"/>
        </w:rPr>
      </w:pPr>
      <w:r>
        <w:rPr>
          <w:rFonts w:ascii="Times New Roman"/>
          <w:sz w:val="72"/>
        </w:rPr>
        <w:drawing>
          <wp:anchor distT="0" distB="0" distL="0" distR="0" allowOverlap="1" layoutInCell="1" locked="0" behindDoc="1" simplePos="0" relativeHeight="482977792">
            <wp:simplePos x="0" y="0"/>
            <wp:positionH relativeFrom="page">
              <wp:posOffset>0</wp:posOffset>
            </wp:positionH>
            <wp:positionV relativeFrom="page">
              <wp:posOffset>0</wp:posOffset>
            </wp:positionV>
            <wp:extent cx="7553959" cy="1067371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3959" cy="10673713"/>
                    </a:xfrm>
                    <a:prstGeom prst="rect">
                      <a:avLst/>
                    </a:prstGeom>
                  </pic:spPr>
                </pic:pic>
              </a:graphicData>
            </a:graphic>
          </wp:anchor>
        </w:drawing>
      </w:r>
    </w:p>
    <w:p>
      <w:pPr>
        <w:pStyle w:val="BodyText"/>
        <w:spacing w:before="189"/>
        <w:rPr>
          <w:rFonts w:ascii="Times New Roman"/>
          <w:sz w:val="72"/>
        </w:rPr>
      </w:pPr>
    </w:p>
    <w:p>
      <w:pPr>
        <w:pStyle w:val="Title"/>
      </w:pPr>
      <w:bookmarkStart w:name="Hull College Further Education Corporati" w:id="1"/>
      <w:bookmarkEnd w:id="1"/>
      <w:r>
        <w:rPr>
          <w:b w:val="0"/>
        </w:rPr>
      </w:r>
      <w:r>
        <w:rPr>
          <w:color w:val="F4B711"/>
        </w:rPr>
        <w:t>Hull</w:t>
      </w:r>
      <w:r>
        <w:rPr>
          <w:color w:val="F4B711"/>
          <w:spacing w:val="-18"/>
        </w:rPr>
        <w:t> </w:t>
      </w:r>
      <w:r>
        <w:rPr>
          <w:color w:val="F4B711"/>
        </w:rPr>
        <w:t>College</w:t>
      </w:r>
      <w:r>
        <w:rPr>
          <w:color w:val="F4B711"/>
          <w:spacing w:val="-17"/>
        </w:rPr>
        <w:t> </w:t>
      </w:r>
      <w:r>
        <w:rPr>
          <w:color w:val="F4B711"/>
        </w:rPr>
        <w:t>Further </w:t>
      </w:r>
      <w:r>
        <w:rPr>
          <w:color w:val="F4B711"/>
          <w:spacing w:val="-8"/>
        </w:rPr>
        <w:t>Education</w:t>
      </w:r>
      <w:r>
        <w:rPr>
          <w:color w:val="F4B711"/>
          <w:spacing w:val="-44"/>
        </w:rPr>
        <w:t> </w:t>
      </w:r>
      <w:r>
        <w:rPr>
          <w:color w:val="F4B711"/>
          <w:spacing w:val="-8"/>
        </w:rPr>
        <w:t>Corporation</w:t>
      </w:r>
    </w:p>
    <w:p>
      <w:pPr>
        <w:spacing w:before="1"/>
        <w:ind w:left="874" w:right="0" w:firstLine="0"/>
        <w:jc w:val="left"/>
        <w:rPr>
          <w:rFonts w:ascii="Calibri"/>
          <w:b/>
          <w:sz w:val="28"/>
        </w:rPr>
      </w:pPr>
      <w:r>
        <w:rPr>
          <w:rFonts w:ascii="Calibri"/>
          <w:b/>
          <w:color w:val="FFFFFF"/>
          <w:spacing w:val="11"/>
          <w:sz w:val="28"/>
        </w:rPr>
        <w:t>Report</w:t>
      </w:r>
      <w:r>
        <w:rPr>
          <w:rFonts w:ascii="Calibri"/>
          <w:b/>
          <w:color w:val="FFFFFF"/>
          <w:spacing w:val="28"/>
          <w:sz w:val="28"/>
        </w:rPr>
        <w:t> </w:t>
      </w:r>
      <w:r>
        <w:rPr>
          <w:rFonts w:ascii="Calibri"/>
          <w:b/>
          <w:color w:val="FFFFFF"/>
          <w:spacing w:val="9"/>
          <w:sz w:val="28"/>
        </w:rPr>
        <w:t>and</w:t>
      </w:r>
      <w:r>
        <w:rPr>
          <w:rFonts w:ascii="Calibri"/>
          <w:b/>
          <w:color w:val="FFFFFF"/>
          <w:spacing w:val="31"/>
          <w:sz w:val="28"/>
        </w:rPr>
        <w:t> </w:t>
      </w:r>
      <w:r>
        <w:rPr>
          <w:rFonts w:ascii="Calibri"/>
          <w:b/>
          <w:color w:val="FFFFFF"/>
          <w:spacing w:val="12"/>
          <w:sz w:val="28"/>
        </w:rPr>
        <w:t>Financial</w:t>
      </w:r>
      <w:r>
        <w:rPr>
          <w:rFonts w:ascii="Calibri"/>
          <w:b/>
          <w:color w:val="FFFFFF"/>
          <w:spacing w:val="31"/>
          <w:sz w:val="28"/>
        </w:rPr>
        <w:t> </w:t>
      </w:r>
      <w:r>
        <w:rPr>
          <w:rFonts w:ascii="Calibri"/>
          <w:b/>
          <w:color w:val="FFFFFF"/>
          <w:spacing w:val="10"/>
          <w:sz w:val="28"/>
        </w:rPr>
        <w:t>Statements</w:t>
      </w:r>
    </w:p>
    <w:p>
      <w:pPr>
        <w:spacing w:before="160"/>
        <w:ind w:left="874" w:right="0" w:firstLine="0"/>
        <w:jc w:val="left"/>
        <w:rPr>
          <w:rFonts w:ascii="Calibri"/>
          <w:b/>
          <w:sz w:val="22"/>
        </w:rPr>
      </w:pPr>
      <w:r>
        <w:rPr>
          <w:rFonts w:ascii="Calibri"/>
          <w:b/>
          <w:color w:val="FFFFFF"/>
          <w:sz w:val="22"/>
        </w:rPr>
        <w:t>For</w:t>
      </w:r>
      <w:r>
        <w:rPr>
          <w:rFonts w:ascii="Calibri"/>
          <w:b/>
          <w:color w:val="FFFFFF"/>
          <w:spacing w:val="35"/>
          <w:sz w:val="22"/>
        </w:rPr>
        <w:t> </w:t>
      </w:r>
      <w:r>
        <w:rPr>
          <w:rFonts w:ascii="Calibri"/>
          <w:b/>
          <w:color w:val="FFFFFF"/>
          <w:spacing w:val="9"/>
          <w:sz w:val="22"/>
        </w:rPr>
        <w:t>the</w:t>
      </w:r>
      <w:r>
        <w:rPr>
          <w:rFonts w:ascii="Calibri"/>
          <w:b/>
          <w:color w:val="FFFFFF"/>
          <w:spacing w:val="35"/>
          <w:sz w:val="22"/>
        </w:rPr>
        <w:t> </w:t>
      </w:r>
      <w:r>
        <w:rPr>
          <w:rFonts w:ascii="Calibri"/>
          <w:b/>
          <w:color w:val="FFFFFF"/>
          <w:spacing w:val="10"/>
          <w:sz w:val="22"/>
        </w:rPr>
        <w:t>year</w:t>
      </w:r>
      <w:r>
        <w:rPr>
          <w:rFonts w:ascii="Calibri"/>
          <w:b/>
          <w:color w:val="FFFFFF"/>
          <w:spacing w:val="35"/>
          <w:sz w:val="22"/>
        </w:rPr>
        <w:t> </w:t>
      </w:r>
      <w:r>
        <w:rPr>
          <w:rFonts w:ascii="Calibri"/>
          <w:b/>
          <w:color w:val="FFFFFF"/>
          <w:spacing w:val="11"/>
          <w:sz w:val="22"/>
        </w:rPr>
        <w:t>ended</w:t>
      </w:r>
      <w:r>
        <w:rPr>
          <w:rFonts w:ascii="Calibri"/>
          <w:b/>
          <w:color w:val="FFFFFF"/>
          <w:spacing w:val="35"/>
          <w:sz w:val="22"/>
        </w:rPr>
        <w:t> </w:t>
      </w:r>
      <w:r>
        <w:rPr>
          <w:rFonts w:ascii="Calibri"/>
          <w:b/>
          <w:color w:val="FFFFFF"/>
          <w:sz w:val="22"/>
        </w:rPr>
        <w:t>31</w:t>
      </w:r>
      <w:r>
        <w:rPr>
          <w:rFonts w:ascii="Calibri"/>
          <w:b/>
          <w:color w:val="FFFFFF"/>
          <w:spacing w:val="37"/>
          <w:sz w:val="22"/>
        </w:rPr>
        <w:t> </w:t>
      </w:r>
      <w:r>
        <w:rPr>
          <w:rFonts w:ascii="Calibri"/>
          <w:b/>
          <w:color w:val="FFFFFF"/>
          <w:spacing w:val="10"/>
          <w:sz w:val="22"/>
        </w:rPr>
        <w:t>July</w:t>
      </w:r>
      <w:r>
        <w:rPr>
          <w:rFonts w:ascii="Calibri"/>
          <w:b/>
          <w:color w:val="FFFFFF"/>
          <w:spacing w:val="37"/>
          <w:sz w:val="22"/>
        </w:rPr>
        <w:t> </w:t>
      </w:r>
      <w:r>
        <w:rPr>
          <w:rFonts w:ascii="Calibri"/>
          <w:b/>
          <w:color w:val="FFFFFF"/>
          <w:spacing w:val="7"/>
          <w:sz w:val="22"/>
        </w:rPr>
        <w:t>2023</w:t>
      </w:r>
    </w:p>
    <w:p>
      <w:pPr>
        <w:spacing w:after="0"/>
        <w:jc w:val="left"/>
        <w:rPr>
          <w:rFonts w:ascii="Calibri"/>
          <w:b/>
          <w:sz w:val="22"/>
        </w:rPr>
        <w:sectPr>
          <w:type w:val="continuous"/>
          <w:pgSz w:w="11910" w:h="16840"/>
          <w:pgMar w:top="1920" w:bottom="280" w:left="566" w:right="708"/>
        </w:sectPr>
      </w:pPr>
    </w:p>
    <w:p>
      <w:pPr>
        <w:pStyle w:val="BodyText"/>
        <w:rPr>
          <w:rFonts w:ascii="Calibri"/>
          <w:b/>
          <w:sz w:val="28"/>
        </w:rPr>
      </w:pPr>
    </w:p>
    <w:p>
      <w:pPr>
        <w:pStyle w:val="BodyText"/>
        <w:spacing w:before="328"/>
        <w:rPr>
          <w:rFonts w:ascii="Calibri"/>
          <w:b/>
          <w:sz w:val="28"/>
        </w:rPr>
      </w:pPr>
    </w:p>
    <w:p>
      <w:pPr>
        <w:pStyle w:val="Heading1"/>
        <w:spacing w:before="0"/>
        <w:ind w:left="852"/>
      </w:pPr>
      <w:bookmarkStart w:name="Contents" w:id="2"/>
      <w:bookmarkEnd w:id="2"/>
      <w:r>
        <w:rPr>
          <w:b w:val="0"/>
        </w:rPr>
      </w:r>
      <w:r>
        <w:rPr>
          <w:spacing w:val="-2"/>
        </w:rPr>
        <w:t>Contents</w:t>
      </w:r>
    </w:p>
    <w:p>
      <w:pPr>
        <w:pStyle w:val="BodyText"/>
        <w:rPr>
          <w:b/>
        </w:rPr>
      </w:pPr>
    </w:p>
    <w:p>
      <w:pPr>
        <w:pStyle w:val="Heading6"/>
        <w:spacing w:before="1"/>
        <w:ind w:left="0" w:right="1843"/>
        <w:jc w:val="right"/>
      </w:pPr>
      <w:r>
        <w:rPr/>
        <w:t>Page</w:t>
      </w:r>
      <w:r>
        <w:rPr>
          <w:spacing w:val="-8"/>
        </w:rPr>
        <w:t> </w:t>
      </w:r>
      <w:r>
        <w:rPr>
          <w:spacing w:val="-2"/>
        </w:rPr>
        <w:t>number</w:t>
      </w:r>
    </w:p>
    <w:sdt>
      <w:sdtPr>
        <w:docPartObj>
          <w:docPartGallery w:val="Table of Contents"/>
          <w:docPartUnique/>
        </w:docPartObj>
      </w:sdtPr>
      <w:sdtEndPr/>
      <w:sdtContent>
        <w:p>
          <w:pPr>
            <w:pStyle w:val="TOC1"/>
            <w:tabs>
              <w:tab w:pos="8789" w:val="right" w:leader="none"/>
            </w:tabs>
            <w:spacing w:before="459"/>
          </w:pPr>
          <w:r>
            <w:rPr/>
            <w:t>Board</w:t>
          </w:r>
          <w:r>
            <w:rPr>
              <w:spacing w:val="-7"/>
            </w:rPr>
            <w:t> </w:t>
          </w:r>
          <w:r>
            <w:rPr/>
            <w:t>of</w:t>
          </w:r>
          <w:r>
            <w:rPr>
              <w:spacing w:val="-8"/>
            </w:rPr>
            <w:t> </w:t>
          </w:r>
          <w:r>
            <w:rPr/>
            <w:t>Governors,</w:t>
          </w:r>
          <w:r>
            <w:rPr>
              <w:spacing w:val="-8"/>
            </w:rPr>
            <w:t> </w:t>
          </w:r>
          <w:r>
            <w:rPr/>
            <w:t>Key</w:t>
          </w:r>
          <w:r>
            <w:rPr>
              <w:spacing w:val="-8"/>
            </w:rPr>
            <w:t> </w:t>
          </w:r>
          <w:r>
            <w:rPr/>
            <w:t>Management</w:t>
          </w:r>
          <w:r>
            <w:rPr>
              <w:spacing w:val="-6"/>
            </w:rPr>
            <w:t> </w:t>
          </w:r>
          <w:r>
            <w:rPr/>
            <w:t>Personnel,</w:t>
          </w:r>
          <w:r>
            <w:rPr>
              <w:spacing w:val="-8"/>
            </w:rPr>
            <w:t> </w:t>
          </w:r>
          <w:r>
            <w:rPr/>
            <w:t>and</w:t>
          </w:r>
          <w:r>
            <w:rPr>
              <w:spacing w:val="-7"/>
            </w:rPr>
            <w:t> </w:t>
          </w:r>
          <w:r>
            <w:rPr/>
            <w:t>Professional</w:t>
          </w:r>
          <w:r>
            <w:rPr>
              <w:spacing w:val="-6"/>
            </w:rPr>
            <w:t> </w:t>
          </w:r>
          <w:r>
            <w:rPr>
              <w:spacing w:val="-2"/>
            </w:rPr>
            <w:t>Advisors</w:t>
          </w:r>
          <w:r>
            <w:rPr/>
            <w:tab/>
          </w:r>
          <w:r>
            <w:rPr>
              <w:spacing w:val="-10"/>
            </w:rPr>
            <w:t>2</w:t>
          </w:r>
        </w:p>
        <w:p>
          <w:pPr>
            <w:pStyle w:val="TOC1"/>
            <w:tabs>
              <w:tab w:pos="8789" w:val="right" w:leader="none"/>
            </w:tabs>
          </w:pPr>
          <w:hyperlink w:history="true" w:anchor="_TOC_250003">
            <w:r>
              <w:rPr/>
              <w:t>Report</w:t>
            </w:r>
            <w:r>
              <w:rPr>
                <w:spacing w:val="-4"/>
              </w:rPr>
              <w:t> </w:t>
            </w:r>
            <w:r>
              <w:rPr/>
              <w:t>of</w:t>
            </w:r>
            <w:r>
              <w:rPr>
                <w:spacing w:val="-6"/>
              </w:rPr>
              <w:t> </w:t>
            </w:r>
            <w:r>
              <w:rPr/>
              <w:t>the</w:t>
            </w:r>
            <w:r>
              <w:rPr>
                <w:spacing w:val="-4"/>
              </w:rPr>
              <w:t> </w:t>
            </w:r>
            <w:r>
              <w:rPr/>
              <w:t>Board</w:t>
            </w:r>
            <w:r>
              <w:rPr>
                <w:spacing w:val="-4"/>
              </w:rPr>
              <w:t> </w:t>
            </w:r>
            <w:r>
              <w:rPr/>
              <w:t>of</w:t>
            </w:r>
            <w:r>
              <w:rPr>
                <w:spacing w:val="-6"/>
              </w:rPr>
              <w:t> </w:t>
            </w:r>
            <w:r>
              <w:rPr>
                <w:spacing w:val="-2"/>
              </w:rPr>
              <w:t>Governors</w:t>
            </w:r>
            <w:r>
              <w:rPr/>
              <w:tab/>
            </w:r>
            <w:r>
              <w:rPr>
                <w:spacing w:val="-10"/>
              </w:rPr>
              <w:t>4</w:t>
            </w:r>
          </w:hyperlink>
        </w:p>
        <w:p>
          <w:pPr>
            <w:pStyle w:val="TOC1"/>
            <w:tabs>
              <w:tab w:pos="8787" w:val="right" w:leader="none"/>
            </w:tabs>
          </w:pPr>
          <w:hyperlink w:history="true" w:anchor="_TOC_250002">
            <w:r>
              <w:rPr/>
              <w:t>Statement</w:t>
            </w:r>
            <w:r>
              <w:rPr>
                <w:spacing w:val="-8"/>
              </w:rPr>
              <w:t> </w:t>
            </w:r>
            <w:r>
              <w:rPr/>
              <w:t>of</w:t>
            </w:r>
            <w:r>
              <w:rPr>
                <w:spacing w:val="-7"/>
              </w:rPr>
              <w:t> </w:t>
            </w:r>
            <w:r>
              <w:rPr/>
              <w:t>Corporate</w:t>
            </w:r>
            <w:r>
              <w:rPr>
                <w:spacing w:val="-8"/>
              </w:rPr>
              <w:t> </w:t>
            </w:r>
            <w:r>
              <w:rPr/>
              <w:t>Governance</w:t>
            </w:r>
            <w:r>
              <w:rPr>
                <w:spacing w:val="-7"/>
              </w:rPr>
              <w:t> </w:t>
            </w:r>
            <w:r>
              <w:rPr/>
              <w:t>and</w:t>
            </w:r>
            <w:r>
              <w:rPr>
                <w:spacing w:val="-7"/>
              </w:rPr>
              <w:t> </w:t>
            </w:r>
            <w:r>
              <w:rPr/>
              <w:t>Internal</w:t>
            </w:r>
            <w:r>
              <w:rPr>
                <w:spacing w:val="-6"/>
              </w:rPr>
              <w:t> </w:t>
            </w:r>
            <w:r>
              <w:rPr>
                <w:spacing w:val="-2"/>
              </w:rPr>
              <w:t>Control</w:t>
            </w:r>
            <w:r>
              <w:rPr/>
              <w:tab/>
            </w:r>
            <w:r>
              <w:rPr>
                <w:spacing w:val="-5"/>
              </w:rPr>
              <w:t>20</w:t>
            </w:r>
          </w:hyperlink>
        </w:p>
        <w:p>
          <w:pPr>
            <w:pStyle w:val="TOC1"/>
            <w:spacing w:before="228"/>
          </w:pPr>
          <w:r>
            <w:rPr/>
            <w:t>Governing</w:t>
          </w:r>
          <w:r>
            <w:rPr>
              <w:spacing w:val="-9"/>
            </w:rPr>
            <w:t> </w:t>
          </w:r>
          <w:r>
            <w:rPr/>
            <w:t>Body’s</w:t>
          </w:r>
          <w:r>
            <w:rPr>
              <w:spacing w:val="-8"/>
            </w:rPr>
            <w:t> </w:t>
          </w:r>
          <w:r>
            <w:rPr/>
            <w:t>statement</w:t>
          </w:r>
          <w:r>
            <w:rPr>
              <w:spacing w:val="-9"/>
            </w:rPr>
            <w:t> </w:t>
          </w:r>
          <w:r>
            <w:rPr/>
            <w:t>on</w:t>
          </w:r>
          <w:r>
            <w:rPr>
              <w:spacing w:val="-7"/>
            </w:rPr>
            <w:t> </w:t>
          </w:r>
          <w:r>
            <w:rPr/>
            <w:t>the</w:t>
          </w:r>
          <w:r>
            <w:rPr>
              <w:spacing w:val="-7"/>
            </w:rPr>
            <w:t> </w:t>
          </w:r>
          <w:r>
            <w:rPr/>
            <w:t>College’s</w:t>
          </w:r>
          <w:r>
            <w:rPr>
              <w:spacing w:val="-8"/>
            </w:rPr>
            <w:t> </w:t>
          </w:r>
          <w:r>
            <w:rPr/>
            <w:t>regularity,</w:t>
          </w:r>
          <w:r>
            <w:rPr>
              <w:spacing w:val="-9"/>
            </w:rPr>
            <w:t> </w:t>
          </w:r>
          <w:r>
            <w:rPr/>
            <w:t>propriety</w:t>
          </w:r>
          <w:r>
            <w:rPr>
              <w:spacing w:val="-8"/>
            </w:rPr>
            <w:t> </w:t>
          </w:r>
          <w:r>
            <w:rPr>
              <w:spacing w:val="-5"/>
            </w:rPr>
            <w:t>and</w:t>
          </w:r>
        </w:p>
        <w:p>
          <w:pPr>
            <w:pStyle w:val="TOC1"/>
            <w:tabs>
              <w:tab w:pos="8787" w:val="right" w:leader="none"/>
            </w:tabs>
            <w:spacing w:before="1"/>
          </w:pPr>
          <w:r>
            <w:rPr>
              <w:spacing w:val="-2"/>
            </w:rPr>
            <w:t>compliance</w:t>
          </w:r>
          <w:r>
            <w:rPr/>
            <w:tab/>
          </w:r>
          <w:r>
            <w:rPr>
              <w:spacing w:val="-5"/>
            </w:rPr>
            <w:t>29</w:t>
          </w:r>
        </w:p>
        <w:p>
          <w:pPr>
            <w:pStyle w:val="TOC1"/>
            <w:tabs>
              <w:tab w:pos="8786" w:val="right" w:leader="none"/>
            </w:tabs>
          </w:pPr>
          <w:hyperlink w:history="true" w:anchor="_TOC_250001">
            <w:r>
              <w:rPr/>
              <w:t>Statement</w:t>
            </w:r>
            <w:r>
              <w:rPr>
                <w:spacing w:val="-7"/>
              </w:rPr>
              <w:t> </w:t>
            </w:r>
            <w:r>
              <w:rPr/>
              <w:t>of</w:t>
            </w:r>
            <w:r>
              <w:rPr>
                <w:spacing w:val="-6"/>
              </w:rPr>
              <w:t> </w:t>
            </w:r>
            <w:r>
              <w:rPr/>
              <w:t>Responsibilities</w:t>
            </w:r>
            <w:r>
              <w:rPr>
                <w:spacing w:val="-5"/>
              </w:rPr>
              <w:t> </w:t>
            </w:r>
            <w:r>
              <w:rPr/>
              <w:t>of</w:t>
            </w:r>
            <w:r>
              <w:rPr>
                <w:spacing w:val="-6"/>
              </w:rPr>
              <w:t> </w:t>
            </w:r>
            <w:r>
              <w:rPr/>
              <w:t>the</w:t>
            </w:r>
            <w:r>
              <w:rPr>
                <w:spacing w:val="-6"/>
              </w:rPr>
              <w:t> </w:t>
            </w:r>
            <w:r>
              <w:rPr/>
              <w:t>Members</w:t>
            </w:r>
            <w:r>
              <w:rPr>
                <w:spacing w:val="-5"/>
              </w:rPr>
              <w:t> </w:t>
            </w:r>
            <w:r>
              <w:rPr/>
              <w:t>of</w:t>
            </w:r>
            <w:r>
              <w:rPr>
                <w:spacing w:val="-6"/>
              </w:rPr>
              <w:t> </w:t>
            </w:r>
            <w:r>
              <w:rPr/>
              <w:t>the</w:t>
            </w:r>
            <w:r>
              <w:rPr>
                <w:spacing w:val="-6"/>
              </w:rPr>
              <w:t> </w:t>
            </w:r>
            <w:r>
              <w:rPr>
                <w:spacing w:val="-2"/>
              </w:rPr>
              <w:t>Corporation</w:t>
            </w:r>
            <w:r>
              <w:rPr/>
              <w:tab/>
            </w:r>
            <w:r>
              <w:rPr>
                <w:spacing w:val="-5"/>
              </w:rPr>
              <w:t>30</w:t>
            </w:r>
          </w:hyperlink>
        </w:p>
        <w:p>
          <w:pPr>
            <w:pStyle w:val="TOC1"/>
            <w:tabs>
              <w:tab w:pos="8787" w:val="right" w:leader="none"/>
            </w:tabs>
            <w:spacing w:before="228"/>
          </w:pPr>
          <w:r>
            <w:rPr/>
            <w:t>Independent</w:t>
          </w:r>
          <w:r>
            <w:rPr>
              <w:spacing w:val="-6"/>
            </w:rPr>
            <w:t> </w:t>
          </w:r>
          <w:r>
            <w:rPr/>
            <w:t>Auditors’</w:t>
          </w:r>
          <w:r>
            <w:rPr>
              <w:spacing w:val="-9"/>
            </w:rPr>
            <w:t> </w:t>
          </w:r>
          <w:r>
            <w:rPr/>
            <w:t>Report</w:t>
          </w:r>
          <w:r>
            <w:rPr>
              <w:spacing w:val="-7"/>
            </w:rPr>
            <w:t> </w:t>
          </w:r>
          <w:r>
            <w:rPr/>
            <w:t>to</w:t>
          </w:r>
          <w:r>
            <w:rPr>
              <w:spacing w:val="-8"/>
            </w:rPr>
            <w:t> </w:t>
          </w:r>
          <w:r>
            <w:rPr/>
            <w:t>the</w:t>
          </w:r>
          <w:r>
            <w:rPr>
              <w:spacing w:val="-7"/>
            </w:rPr>
            <w:t> </w:t>
          </w:r>
          <w:r>
            <w:rPr/>
            <w:t>Hull</w:t>
          </w:r>
          <w:r>
            <w:rPr>
              <w:spacing w:val="-9"/>
            </w:rPr>
            <w:t> </w:t>
          </w:r>
          <w:r>
            <w:rPr/>
            <w:t>College</w:t>
          </w:r>
          <w:r>
            <w:rPr>
              <w:spacing w:val="-5"/>
            </w:rPr>
            <w:t> </w:t>
          </w:r>
          <w:r>
            <w:rPr/>
            <w:t>Further</w:t>
          </w:r>
          <w:r>
            <w:rPr>
              <w:spacing w:val="-7"/>
            </w:rPr>
            <w:t> </w:t>
          </w:r>
          <w:r>
            <w:rPr/>
            <w:t>Education</w:t>
          </w:r>
          <w:r>
            <w:rPr>
              <w:spacing w:val="-7"/>
            </w:rPr>
            <w:t> </w:t>
          </w:r>
          <w:r>
            <w:rPr>
              <w:spacing w:val="-2"/>
            </w:rPr>
            <w:t>Corporation</w:t>
          </w:r>
          <w:r>
            <w:rPr/>
            <w:tab/>
          </w:r>
          <w:r>
            <w:rPr>
              <w:spacing w:val="-5"/>
            </w:rPr>
            <w:t>31</w:t>
          </w:r>
        </w:p>
        <w:p>
          <w:pPr>
            <w:pStyle w:val="TOC1"/>
            <w:tabs>
              <w:tab w:pos="8787" w:val="right" w:leader="none"/>
            </w:tabs>
          </w:pPr>
          <w:r>
            <w:rPr/>
            <w:t>Consolidated</w:t>
          </w:r>
          <w:r>
            <w:rPr>
              <w:spacing w:val="-8"/>
            </w:rPr>
            <w:t> </w:t>
          </w:r>
          <w:r>
            <w:rPr/>
            <w:t>and</w:t>
          </w:r>
          <w:r>
            <w:rPr>
              <w:spacing w:val="-9"/>
            </w:rPr>
            <w:t> </w:t>
          </w:r>
          <w:r>
            <w:rPr/>
            <w:t>College</w:t>
          </w:r>
          <w:r>
            <w:rPr>
              <w:spacing w:val="-4"/>
            </w:rPr>
            <w:t> </w:t>
          </w:r>
          <w:r>
            <w:rPr/>
            <w:t>Statement</w:t>
          </w:r>
          <w:r>
            <w:rPr>
              <w:spacing w:val="-9"/>
            </w:rPr>
            <w:t> </w:t>
          </w:r>
          <w:r>
            <w:rPr/>
            <w:t>of</w:t>
          </w:r>
          <w:r>
            <w:rPr>
              <w:spacing w:val="-9"/>
            </w:rPr>
            <w:t> </w:t>
          </w:r>
          <w:r>
            <w:rPr/>
            <w:t>Comprehensive</w:t>
          </w:r>
          <w:r>
            <w:rPr>
              <w:spacing w:val="-9"/>
            </w:rPr>
            <w:t> </w:t>
          </w:r>
          <w:r>
            <w:rPr>
              <w:spacing w:val="-2"/>
            </w:rPr>
            <w:t>Income</w:t>
          </w:r>
          <w:r>
            <w:rPr/>
            <w:tab/>
          </w:r>
          <w:r>
            <w:rPr>
              <w:spacing w:val="-5"/>
            </w:rPr>
            <w:t>35</w:t>
          </w:r>
        </w:p>
        <w:p>
          <w:pPr>
            <w:pStyle w:val="TOC1"/>
            <w:tabs>
              <w:tab w:pos="8787" w:val="right" w:leader="none"/>
            </w:tabs>
          </w:pPr>
          <w:r>
            <w:rPr/>
            <w:t>Consolidated</w:t>
          </w:r>
          <w:r>
            <w:rPr>
              <w:spacing w:val="-6"/>
            </w:rPr>
            <w:t> </w:t>
          </w:r>
          <w:r>
            <w:rPr/>
            <w:t>and</w:t>
          </w:r>
          <w:r>
            <w:rPr>
              <w:spacing w:val="-7"/>
            </w:rPr>
            <w:t> </w:t>
          </w:r>
          <w:r>
            <w:rPr/>
            <w:t>College</w:t>
          </w:r>
          <w:r>
            <w:rPr>
              <w:spacing w:val="-2"/>
            </w:rPr>
            <w:t> </w:t>
          </w:r>
          <w:r>
            <w:rPr/>
            <w:t>Balance</w:t>
          </w:r>
          <w:r>
            <w:rPr>
              <w:spacing w:val="-5"/>
            </w:rPr>
            <w:t> </w:t>
          </w:r>
          <w:r>
            <w:rPr/>
            <w:t>Sheets</w:t>
          </w:r>
          <w:r>
            <w:rPr>
              <w:spacing w:val="-6"/>
            </w:rPr>
            <w:t> </w:t>
          </w:r>
          <w:r>
            <w:rPr/>
            <w:t>as</w:t>
          </w:r>
          <w:r>
            <w:rPr>
              <w:spacing w:val="-7"/>
            </w:rPr>
            <w:t> </w:t>
          </w:r>
          <w:r>
            <w:rPr/>
            <w:t>at</w:t>
          </w:r>
          <w:r>
            <w:rPr>
              <w:spacing w:val="-7"/>
            </w:rPr>
            <w:t> </w:t>
          </w:r>
          <w:r>
            <w:rPr/>
            <w:t>31</w:t>
          </w:r>
          <w:r>
            <w:rPr>
              <w:spacing w:val="-5"/>
            </w:rPr>
            <w:t> </w:t>
          </w:r>
          <w:r>
            <w:rPr>
              <w:spacing w:val="-4"/>
            </w:rPr>
            <w:t>July</w:t>
          </w:r>
          <w:r>
            <w:rPr/>
            <w:tab/>
          </w:r>
          <w:r>
            <w:rPr>
              <w:spacing w:val="-5"/>
            </w:rPr>
            <w:t>36</w:t>
          </w:r>
        </w:p>
        <w:p>
          <w:pPr>
            <w:pStyle w:val="TOC1"/>
            <w:tabs>
              <w:tab w:pos="8787" w:val="right" w:leader="none"/>
            </w:tabs>
            <w:spacing w:before="229"/>
          </w:pPr>
          <w:r>
            <w:rPr/>
            <w:t>Consolidated</w:t>
          </w:r>
          <w:r>
            <w:rPr>
              <w:spacing w:val="-6"/>
            </w:rPr>
            <w:t> </w:t>
          </w:r>
          <w:r>
            <w:rPr/>
            <w:t>and</w:t>
          </w:r>
          <w:r>
            <w:rPr>
              <w:spacing w:val="-8"/>
            </w:rPr>
            <w:t> </w:t>
          </w:r>
          <w:r>
            <w:rPr/>
            <w:t>College</w:t>
          </w:r>
          <w:r>
            <w:rPr>
              <w:spacing w:val="-3"/>
            </w:rPr>
            <w:t> </w:t>
          </w:r>
          <w:r>
            <w:rPr/>
            <w:t>Statement</w:t>
          </w:r>
          <w:r>
            <w:rPr>
              <w:spacing w:val="-8"/>
            </w:rPr>
            <w:t> </w:t>
          </w:r>
          <w:r>
            <w:rPr/>
            <w:t>of</w:t>
          </w:r>
          <w:r>
            <w:rPr>
              <w:spacing w:val="-7"/>
            </w:rPr>
            <w:t> </w:t>
          </w:r>
          <w:r>
            <w:rPr/>
            <w:t>Changes</w:t>
          </w:r>
          <w:r>
            <w:rPr>
              <w:spacing w:val="-7"/>
            </w:rPr>
            <w:t> </w:t>
          </w:r>
          <w:r>
            <w:rPr/>
            <w:t>in</w:t>
          </w:r>
          <w:r>
            <w:rPr>
              <w:spacing w:val="-6"/>
            </w:rPr>
            <w:t> </w:t>
          </w:r>
          <w:r>
            <w:rPr>
              <w:spacing w:val="-2"/>
            </w:rPr>
            <w:t>Reserves</w:t>
          </w:r>
          <w:r>
            <w:rPr/>
            <w:tab/>
          </w:r>
          <w:r>
            <w:rPr>
              <w:spacing w:val="-5"/>
            </w:rPr>
            <w:t>37</w:t>
          </w:r>
        </w:p>
        <w:p>
          <w:pPr>
            <w:pStyle w:val="TOC1"/>
            <w:tabs>
              <w:tab w:pos="8786" w:val="right" w:leader="none"/>
            </w:tabs>
          </w:pPr>
          <w:r>
            <w:rPr/>
            <w:t>Consolidated</w:t>
          </w:r>
          <w:r>
            <w:rPr>
              <w:spacing w:val="-7"/>
            </w:rPr>
            <w:t> </w:t>
          </w:r>
          <w:r>
            <w:rPr/>
            <w:t>Statement</w:t>
          </w:r>
          <w:r>
            <w:rPr>
              <w:spacing w:val="-9"/>
            </w:rPr>
            <w:t> </w:t>
          </w:r>
          <w:r>
            <w:rPr/>
            <w:t>of</w:t>
          </w:r>
          <w:r>
            <w:rPr>
              <w:spacing w:val="-7"/>
            </w:rPr>
            <w:t> </w:t>
          </w:r>
          <w:r>
            <w:rPr/>
            <w:t>Cash</w:t>
          </w:r>
          <w:r>
            <w:rPr>
              <w:spacing w:val="-9"/>
            </w:rPr>
            <w:t> </w:t>
          </w:r>
          <w:r>
            <w:rPr>
              <w:spacing w:val="-4"/>
            </w:rPr>
            <w:t>Flows</w:t>
          </w:r>
          <w:r>
            <w:rPr/>
            <w:tab/>
          </w:r>
          <w:r>
            <w:rPr>
              <w:spacing w:val="-5"/>
            </w:rPr>
            <w:t>38</w:t>
          </w:r>
        </w:p>
        <w:p>
          <w:pPr>
            <w:pStyle w:val="TOC1"/>
            <w:tabs>
              <w:tab w:pos="8786" w:val="right" w:leader="none"/>
            </w:tabs>
          </w:pPr>
          <w:hyperlink w:history="true" w:anchor="_TOC_250000">
            <w:r>
              <w:rPr/>
              <w:t>Notes</w:t>
            </w:r>
            <w:r>
              <w:rPr>
                <w:spacing w:val="-7"/>
              </w:rPr>
              <w:t> </w:t>
            </w:r>
            <w:r>
              <w:rPr/>
              <w:t>to</w:t>
            </w:r>
            <w:r>
              <w:rPr>
                <w:spacing w:val="-5"/>
              </w:rPr>
              <w:t> </w:t>
            </w:r>
            <w:r>
              <w:rPr/>
              <w:t>the</w:t>
            </w:r>
            <w:r>
              <w:rPr>
                <w:spacing w:val="-5"/>
              </w:rPr>
              <w:t> </w:t>
            </w:r>
            <w:r>
              <w:rPr/>
              <w:t>Financial</w:t>
            </w:r>
            <w:r>
              <w:rPr>
                <w:spacing w:val="-5"/>
              </w:rPr>
              <w:t> </w:t>
            </w:r>
            <w:r>
              <w:rPr>
                <w:spacing w:val="-2"/>
              </w:rPr>
              <w:t>Statements</w:t>
            </w:r>
            <w:r>
              <w:rPr/>
              <w:tab/>
            </w:r>
            <w:r>
              <w:rPr>
                <w:spacing w:val="-5"/>
              </w:rPr>
              <w:t>39</w:t>
            </w:r>
          </w:hyperlink>
        </w:p>
      </w:sdtContent>
    </w:sdt>
    <w:p>
      <w:pPr>
        <w:pStyle w:val="BodyText"/>
        <w:spacing w:before="228"/>
        <w:ind w:left="852"/>
      </w:pPr>
      <w:r>
        <w:rPr/>
        <w:t>Reporting</w:t>
      </w:r>
      <w:r>
        <w:rPr>
          <w:spacing w:val="-8"/>
        </w:rPr>
        <w:t> </w:t>
      </w:r>
      <w:r>
        <w:rPr/>
        <w:t>Accountant’s</w:t>
      </w:r>
      <w:r>
        <w:rPr>
          <w:spacing w:val="-8"/>
        </w:rPr>
        <w:t> </w:t>
      </w:r>
      <w:r>
        <w:rPr/>
        <w:t>Assurance</w:t>
      </w:r>
      <w:r>
        <w:rPr>
          <w:spacing w:val="-9"/>
        </w:rPr>
        <w:t> </w:t>
      </w:r>
      <w:r>
        <w:rPr/>
        <w:t>Report</w:t>
      </w:r>
      <w:r>
        <w:rPr>
          <w:spacing w:val="-9"/>
        </w:rPr>
        <w:t> </w:t>
      </w:r>
      <w:r>
        <w:rPr/>
        <w:t>on</w:t>
      </w:r>
      <w:r>
        <w:rPr>
          <w:spacing w:val="-9"/>
        </w:rPr>
        <w:t> </w:t>
      </w:r>
      <w:r>
        <w:rPr>
          <w:spacing w:val="-2"/>
        </w:rPr>
        <w:t>Regularity</w:t>
      </w:r>
    </w:p>
    <w:p>
      <w:pPr>
        <w:pStyle w:val="BodyText"/>
        <w:spacing w:after="0"/>
        <w:sectPr>
          <w:headerReference w:type="default" r:id="rId6"/>
          <w:footerReference w:type="default" r:id="rId7"/>
          <w:pgSz w:w="11910" w:h="16850"/>
          <w:pgMar w:header="727" w:footer="702" w:top="1520" w:bottom="900" w:left="566" w:right="708"/>
          <w:pgNumType w:start="1"/>
        </w:sectPr>
      </w:pPr>
    </w:p>
    <w:p>
      <w:pPr>
        <w:pStyle w:val="Heading5"/>
        <w:spacing w:before="230"/>
      </w:pPr>
      <w:r>
        <w:rPr/>
        <w:t>BOARD</w:t>
      </w:r>
      <w:r>
        <w:rPr>
          <w:spacing w:val="40"/>
        </w:rPr>
        <w:t> </w:t>
      </w:r>
      <w:r>
        <w:rPr/>
        <w:t>OF</w:t>
      </w:r>
      <w:r>
        <w:rPr>
          <w:spacing w:val="40"/>
        </w:rPr>
        <w:t> </w:t>
      </w:r>
      <w:r>
        <w:rPr/>
        <w:t>GOVERNORS,</w:t>
      </w:r>
      <w:r>
        <w:rPr>
          <w:spacing w:val="40"/>
        </w:rPr>
        <w:t> </w:t>
      </w:r>
      <w:r>
        <w:rPr/>
        <w:t>KEY</w:t>
      </w:r>
      <w:r>
        <w:rPr>
          <w:spacing w:val="40"/>
        </w:rPr>
        <w:t> </w:t>
      </w:r>
      <w:r>
        <w:rPr/>
        <w:t>MANAGEMENT</w:t>
      </w:r>
      <w:r>
        <w:rPr>
          <w:spacing w:val="40"/>
        </w:rPr>
        <w:t> </w:t>
      </w:r>
      <w:r>
        <w:rPr/>
        <w:t>PERSONNEL</w:t>
      </w:r>
      <w:r>
        <w:rPr>
          <w:spacing w:val="40"/>
        </w:rPr>
        <w:t> </w:t>
      </w:r>
      <w:r>
        <w:rPr/>
        <w:t>AND</w:t>
      </w:r>
      <w:r>
        <w:rPr>
          <w:spacing w:val="40"/>
        </w:rPr>
        <w:t> </w:t>
      </w:r>
      <w:r>
        <w:rPr/>
        <w:t>PROFESSIONAL</w:t>
      </w:r>
      <w:r>
        <w:rPr>
          <w:spacing w:val="40"/>
        </w:rPr>
        <w:t> </w:t>
      </w:r>
      <w:r>
        <w:rPr>
          <w:spacing w:val="-2"/>
        </w:rPr>
        <w:t>ADVISERS</w:t>
      </w:r>
    </w:p>
    <w:p>
      <w:pPr>
        <w:spacing w:before="231"/>
        <w:ind w:left="852" w:right="0" w:firstLine="0"/>
        <w:jc w:val="left"/>
        <w:rPr>
          <w:b/>
          <w:sz w:val="22"/>
        </w:rPr>
      </w:pPr>
      <w:r>
        <w:rPr>
          <w:b/>
          <w:sz w:val="22"/>
        </w:rPr>
        <w:t>Board</w:t>
      </w:r>
      <w:r>
        <w:rPr>
          <w:b/>
          <w:spacing w:val="-3"/>
          <w:sz w:val="22"/>
        </w:rPr>
        <w:t> </w:t>
      </w:r>
      <w:r>
        <w:rPr>
          <w:b/>
          <w:sz w:val="22"/>
        </w:rPr>
        <w:t>of</w:t>
      </w:r>
      <w:r>
        <w:rPr>
          <w:b/>
          <w:spacing w:val="-3"/>
          <w:sz w:val="22"/>
        </w:rPr>
        <w:t> </w:t>
      </w:r>
      <w:r>
        <w:rPr>
          <w:b/>
          <w:spacing w:val="-2"/>
          <w:sz w:val="22"/>
        </w:rPr>
        <w:t>Governors</w:t>
      </w:r>
    </w:p>
    <w:p>
      <w:pPr>
        <w:pStyle w:val="BodyText"/>
        <w:spacing w:before="229"/>
        <w:ind w:left="852" w:right="537"/>
      </w:pPr>
      <w:r>
        <w:rPr/>
        <w:t>A</w:t>
      </w:r>
      <w:r>
        <w:rPr>
          <w:spacing w:val="-9"/>
        </w:rPr>
        <w:t> </w:t>
      </w:r>
      <w:r>
        <w:rPr/>
        <w:t>full</w:t>
      </w:r>
      <w:r>
        <w:rPr>
          <w:spacing w:val="-9"/>
        </w:rPr>
        <w:t> </w:t>
      </w:r>
      <w:r>
        <w:rPr/>
        <w:t>list</w:t>
      </w:r>
      <w:r>
        <w:rPr>
          <w:spacing w:val="-8"/>
        </w:rPr>
        <w:t> </w:t>
      </w:r>
      <w:r>
        <w:rPr/>
        <w:t>of</w:t>
      </w:r>
      <w:r>
        <w:rPr>
          <w:spacing w:val="-8"/>
        </w:rPr>
        <w:t> </w:t>
      </w:r>
      <w:r>
        <w:rPr/>
        <w:t>Governors</w:t>
      </w:r>
      <w:r>
        <w:rPr>
          <w:spacing w:val="-7"/>
        </w:rPr>
        <w:t> </w:t>
      </w:r>
      <w:r>
        <w:rPr/>
        <w:t>is</w:t>
      </w:r>
      <w:r>
        <w:rPr>
          <w:spacing w:val="-7"/>
        </w:rPr>
        <w:t> </w:t>
      </w:r>
      <w:r>
        <w:rPr/>
        <w:t>given</w:t>
      </w:r>
      <w:r>
        <w:rPr>
          <w:spacing w:val="-8"/>
        </w:rPr>
        <w:t> </w:t>
      </w:r>
      <w:r>
        <w:rPr/>
        <w:t>on</w:t>
      </w:r>
      <w:r>
        <w:rPr>
          <w:spacing w:val="-8"/>
        </w:rPr>
        <w:t> </w:t>
      </w:r>
      <w:r>
        <w:rPr/>
        <w:t>pages</w:t>
      </w:r>
      <w:r>
        <w:rPr>
          <w:spacing w:val="-7"/>
        </w:rPr>
        <w:t> </w:t>
      </w:r>
      <w:r>
        <w:rPr/>
        <w:t>21</w:t>
      </w:r>
      <w:r>
        <w:rPr>
          <w:spacing w:val="-8"/>
        </w:rPr>
        <w:t> </w:t>
      </w:r>
      <w:r>
        <w:rPr/>
        <w:t>to</w:t>
      </w:r>
      <w:r>
        <w:rPr>
          <w:spacing w:val="-8"/>
        </w:rPr>
        <w:t> </w:t>
      </w:r>
      <w:r>
        <w:rPr/>
        <w:t>22</w:t>
      </w:r>
      <w:r>
        <w:rPr>
          <w:spacing w:val="-8"/>
        </w:rPr>
        <w:t> </w:t>
      </w:r>
      <w:r>
        <w:rPr/>
        <w:t>of</w:t>
      </w:r>
      <w:r>
        <w:rPr>
          <w:spacing w:val="-8"/>
        </w:rPr>
        <w:t> </w:t>
      </w:r>
      <w:r>
        <w:rPr/>
        <w:t>these</w:t>
      </w:r>
      <w:r>
        <w:rPr>
          <w:spacing w:val="-8"/>
        </w:rPr>
        <w:t> </w:t>
      </w:r>
      <w:r>
        <w:rPr/>
        <w:t>financial</w:t>
      </w:r>
      <w:r>
        <w:rPr>
          <w:spacing w:val="-9"/>
        </w:rPr>
        <w:t> </w:t>
      </w:r>
      <w:r>
        <w:rPr/>
        <w:t>statements;</w:t>
      </w:r>
      <w:r>
        <w:rPr>
          <w:spacing w:val="-8"/>
        </w:rPr>
        <w:t> </w:t>
      </w:r>
      <w:r>
        <w:rPr/>
        <w:t>including</w:t>
      </w:r>
      <w:r>
        <w:rPr>
          <w:spacing w:val="-8"/>
        </w:rPr>
        <w:t> </w:t>
      </w:r>
      <w:r>
        <w:rPr/>
        <w:t>those</w:t>
      </w:r>
      <w:r>
        <w:rPr>
          <w:spacing w:val="-8"/>
        </w:rPr>
        <w:t> </w:t>
      </w:r>
      <w:r>
        <w:rPr/>
        <w:t>appointed after the year end.</w:t>
      </w:r>
    </w:p>
    <w:p>
      <w:pPr>
        <w:pStyle w:val="BodyText"/>
        <w:spacing w:before="229"/>
        <w:ind w:left="852" w:right="537"/>
      </w:pPr>
      <w:r>
        <w:rPr/>
        <w:t>Lesley Venables</w:t>
      </w:r>
      <w:r>
        <w:rPr>
          <w:spacing w:val="-3"/>
        </w:rPr>
        <w:t> </w:t>
      </w:r>
      <w:r>
        <w:rPr/>
        <w:t>acted</w:t>
      </w:r>
      <w:r>
        <w:rPr>
          <w:spacing w:val="-4"/>
        </w:rPr>
        <w:t> </w:t>
      </w:r>
      <w:r>
        <w:rPr/>
        <w:t>as</w:t>
      </w:r>
      <w:r>
        <w:rPr>
          <w:spacing w:val="-3"/>
        </w:rPr>
        <w:t> </w:t>
      </w:r>
      <w:r>
        <w:rPr/>
        <w:t>Interim</w:t>
      </w:r>
      <w:r>
        <w:rPr>
          <w:spacing w:val="-4"/>
        </w:rPr>
        <w:t> </w:t>
      </w:r>
      <w:r>
        <w:rPr/>
        <w:t>Director</w:t>
      </w:r>
      <w:r>
        <w:rPr>
          <w:spacing w:val="-3"/>
        </w:rPr>
        <w:t> </w:t>
      </w:r>
      <w:r>
        <w:rPr/>
        <w:t>of</w:t>
      </w:r>
      <w:r>
        <w:rPr>
          <w:spacing w:val="-4"/>
        </w:rPr>
        <w:t> </w:t>
      </w:r>
      <w:r>
        <w:rPr/>
        <w:t>Governance</w:t>
      </w:r>
      <w:r>
        <w:rPr>
          <w:spacing w:val="-4"/>
        </w:rPr>
        <w:t> </w:t>
      </w:r>
      <w:r>
        <w:rPr/>
        <w:t>from</w:t>
      </w:r>
      <w:r>
        <w:rPr>
          <w:spacing w:val="-2"/>
        </w:rPr>
        <w:t> </w:t>
      </w:r>
      <w:r>
        <w:rPr/>
        <w:t>1st</w:t>
      </w:r>
      <w:r>
        <w:rPr>
          <w:spacing w:val="-4"/>
        </w:rPr>
        <w:t> </w:t>
      </w:r>
      <w:r>
        <w:rPr/>
        <w:t>July</w:t>
      </w:r>
      <w:r>
        <w:rPr>
          <w:spacing w:val="-3"/>
        </w:rPr>
        <w:t> </w:t>
      </w:r>
      <w:r>
        <w:rPr/>
        <w:t>2022</w:t>
      </w:r>
      <w:r>
        <w:rPr>
          <w:spacing w:val="-1"/>
        </w:rPr>
        <w:t> </w:t>
      </w:r>
      <w:r>
        <w:rPr/>
        <w:t>to</w:t>
      </w:r>
      <w:r>
        <w:rPr>
          <w:spacing w:val="-2"/>
        </w:rPr>
        <w:t> </w:t>
      </w:r>
      <w:r>
        <w:rPr/>
        <w:t>15</w:t>
      </w:r>
      <w:r>
        <w:rPr>
          <w:position w:val="6"/>
          <w:sz w:val="13"/>
        </w:rPr>
        <w:t>th</w:t>
      </w:r>
      <w:r>
        <w:rPr>
          <w:spacing w:val="15"/>
          <w:position w:val="6"/>
          <w:sz w:val="13"/>
        </w:rPr>
        <w:t> </w:t>
      </w:r>
      <w:r>
        <w:rPr/>
        <w:t>January</w:t>
      </w:r>
      <w:r>
        <w:rPr>
          <w:spacing w:val="-3"/>
        </w:rPr>
        <w:t> </w:t>
      </w:r>
      <w:r>
        <w:rPr/>
        <w:t>2023. Catherine Sykes acted as Director of Governance from 15</w:t>
      </w:r>
      <w:r>
        <w:rPr>
          <w:position w:val="6"/>
          <w:sz w:val="13"/>
        </w:rPr>
        <w:t>th</w:t>
      </w:r>
      <w:r>
        <w:rPr>
          <w:spacing w:val="29"/>
          <w:position w:val="6"/>
          <w:sz w:val="13"/>
        </w:rPr>
        <w:t> </w:t>
      </w:r>
      <w:r>
        <w:rPr/>
        <w:t>January 2023 to 31</w:t>
      </w:r>
      <w:r>
        <w:rPr>
          <w:position w:val="6"/>
          <w:sz w:val="13"/>
        </w:rPr>
        <w:t>st</w:t>
      </w:r>
      <w:r>
        <w:rPr>
          <w:spacing w:val="29"/>
          <w:position w:val="6"/>
          <w:sz w:val="13"/>
        </w:rPr>
        <w:t> </w:t>
      </w:r>
      <w:r>
        <w:rPr/>
        <w:t>July 2023.</w:t>
      </w:r>
    </w:p>
    <w:p>
      <w:pPr>
        <w:pStyle w:val="BodyText"/>
        <w:spacing w:before="1"/>
      </w:pPr>
    </w:p>
    <w:p>
      <w:pPr>
        <w:pStyle w:val="Heading5"/>
        <w:spacing w:before="1"/>
      </w:pPr>
      <w:r>
        <w:rPr/>
        <w:t>Key</w:t>
      </w:r>
      <w:r>
        <w:rPr>
          <w:spacing w:val="-6"/>
        </w:rPr>
        <w:t> </w:t>
      </w:r>
      <w:r>
        <w:rPr/>
        <w:t>management</w:t>
      </w:r>
      <w:r>
        <w:rPr>
          <w:spacing w:val="-4"/>
        </w:rPr>
        <w:t> </w:t>
      </w:r>
      <w:r>
        <w:rPr>
          <w:spacing w:val="-2"/>
        </w:rPr>
        <w:t>personnel</w:t>
      </w:r>
    </w:p>
    <w:p>
      <w:pPr>
        <w:pStyle w:val="BodyText"/>
        <w:spacing w:before="229"/>
        <w:ind w:left="852" w:right="537"/>
      </w:pPr>
      <w:r>
        <w:rPr/>
        <w:t>Key management</w:t>
      </w:r>
      <w:r>
        <w:rPr>
          <w:spacing w:val="-2"/>
        </w:rPr>
        <w:t> </w:t>
      </w:r>
      <w:r>
        <w:rPr/>
        <w:t>personnel</w:t>
      </w:r>
      <w:r>
        <w:rPr>
          <w:spacing w:val="-3"/>
        </w:rPr>
        <w:t> </w:t>
      </w:r>
      <w:r>
        <w:rPr/>
        <w:t>are</w:t>
      </w:r>
      <w:r>
        <w:rPr>
          <w:spacing w:val="-2"/>
        </w:rPr>
        <w:t> </w:t>
      </w:r>
      <w:r>
        <w:rPr/>
        <w:t>defined</w:t>
      </w:r>
      <w:r>
        <w:rPr>
          <w:spacing w:val="-2"/>
        </w:rPr>
        <w:t> </w:t>
      </w:r>
      <w:r>
        <w:rPr/>
        <w:t>as the members of</w:t>
      </w:r>
      <w:r>
        <w:rPr>
          <w:spacing w:val="-2"/>
        </w:rPr>
        <w:t> </w:t>
      </w:r>
      <w:r>
        <w:rPr/>
        <w:t>the</w:t>
      </w:r>
      <w:r>
        <w:rPr>
          <w:spacing w:val="-2"/>
        </w:rPr>
        <w:t> </w:t>
      </w:r>
      <w:r>
        <w:rPr/>
        <w:t>Executive</w:t>
      </w:r>
      <w:r>
        <w:rPr>
          <w:spacing w:val="-2"/>
        </w:rPr>
        <w:t> </w:t>
      </w:r>
      <w:r>
        <w:rPr/>
        <w:t>Management Team</w:t>
      </w:r>
      <w:r>
        <w:rPr>
          <w:spacing w:val="-2"/>
        </w:rPr>
        <w:t> </w:t>
      </w:r>
      <w:r>
        <w:rPr/>
        <w:t>and</w:t>
      </w:r>
      <w:r>
        <w:rPr>
          <w:spacing w:val="-2"/>
        </w:rPr>
        <w:t> </w:t>
      </w:r>
      <w:r>
        <w:rPr/>
        <w:t>were the following during the financial year ended 31 July 2023:</w:t>
      </w:r>
    </w:p>
    <w:p>
      <w:pPr>
        <w:pStyle w:val="BodyText"/>
        <w:tabs>
          <w:tab w:pos="3120" w:val="left" w:leader="none"/>
        </w:tabs>
        <w:spacing w:before="229"/>
        <w:ind w:left="852" w:right="3167"/>
      </w:pPr>
      <w:r>
        <w:rPr/>
        <w:t>Debra Gray</w:t>
        <w:tab/>
        <w:t>Chief</w:t>
      </w:r>
      <w:r>
        <w:rPr>
          <w:spacing w:val="-8"/>
        </w:rPr>
        <w:t> </w:t>
      </w:r>
      <w:r>
        <w:rPr/>
        <w:t>Executive,</w:t>
      </w:r>
      <w:r>
        <w:rPr>
          <w:spacing w:val="-6"/>
        </w:rPr>
        <w:t> </w:t>
      </w:r>
      <w:r>
        <w:rPr/>
        <w:t>Principal</w:t>
      </w:r>
      <w:r>
        <w:rPr>
          <w:spacing w:val="-9"/>
        </w:rPr>
        <w:t> </w:t>
      </w:r>
      <w:r>
        <w:rPr/>
        <w:t>and</w:t>
      </w:r>
      <w:r>
        <w:rPr>
          <w:spacing w:val="-8"/>
        </w:rPr>
        <w:t> </w:t>
      </w:r>
      <w:r>
        <w:rPr/>
        <w:t>Accounting</w:t>
      </w:r>
      <w:r>
        <w:rPr>
          <w:spacing w:val="-8"/>
        </w:rPr>
        <w:t> </w:t>
      </w:r>
      <w:r>
        <w:rPr/>
        <w:t>Officer Lynette Leith</w:t>
        <w:tab/>
        <w:t>Vice Principal of Curriculum</w:t>
      </w:r>
    </w:p>
    <w:p>
      <w:pPr>
        <w:pStyle w:val="BodyText"/>
        <w:tabs>
          <w:tab w:pos="3120" w:val="left" w:leader="none"/>
        </w:tabs>
        <w:spacing w:before="1"/>
        <w:ind w:left="852" w:right="2723"/>
      </w:pPr>
      <w:r>
        <w:rPr/>
        <w:t>Catherine Sykes</w:t>
        <w:tab/>
        <w:t>Director</w:t>
      </w:r>
      <w:r>
        <w:rPr>
          <w:spacing w:val="-7"/>
        </w:rPr>
        <w:t> </w:t>
      </w:r>
      <w:r>
        <w:rPr/>
        <w:t>of</w:t>
      </w:r>
      <w:r>
        <w:rPr>
          <w:spacing w:val="-6"/>
        </w:rPr>
        <w:t> </w:t>
      </w:r>
      <w:r>
        <w:rPr/>
        <w:t>Governance</w:t>
      </w:r>
      <w:r>
        <w:rPr>
          <w:spacing w:val="-8"/>
        </w:rPr>
        <w:t> </w:t>
      </w:r>
      <w:r>
        <w:rPr/>
        <w:t>(appointed</w:t>
      </w:r>
      <w:r>
        <w:rPr>
          <w:spacing w:val="-6"/>
        </w:rPr>
        <w:t> </w:t>
      </w:r>
      <w:r>
        <w:rPr/>
        <w:t>16</w:t>
      </w:r>
      <w:r>
        <w:rPr>
          <w:position w:val="6"/>
          <w:sz w:val="13"/>
        </w:rPr>
        <w:t>th</w:t>
      </w:r>
      <w:r>
        <w:rPr>
          <w:spacing w:val="14"/>
          <w:position w:val="6"/>
          <w:sz w:val="13"/>
        </w:rPr>
        <w:t> </w:t>
      </w:r>
      <w:r>
        <w:rPr/>
        <w:t>January</w:t>
      </w:r>
      <w:r>
        <w:rPr>
          <w:spacing w:val="-7"/>
        </w:rPr>
        <w:t> </w:t>
      </w:r>
      <w:r>
        <w:rPr/>
        <w:t>2023) Nicola Dimond</w:t>
        <w:tab/>
        <w:t>Vice Principal of Human Resources</w:t>
      </w:r>
    </w:p>
    <w:p>
      <w:pPr>
        <w:pStyle w:val="BodyText"/>
        <w:tabs>
          <w:tab w:pos="3119" w:val="left" w:leader="none"/>
        </w:tabs>
        <w:ind w:left="852" w:right="567"/>
      </w:pPr>
      <w:r>
        <w:rPr/>
        <w:t>Sarah Kerwin</w:t>
        <w:tab/>
        <w:t>Senior</w:t>
      </w:r>
      <w:r>
        <w:rPr>
          <w:spacing w:val="-14"/>
        </w:rPr>
        <w:t> </w:t>
      </w:r>
      <w:r>
        <w:rPr/>
        <w:t>Director</w:t>
      </w:r>
      <w:r>
        <w:rPr>
          <w:spacing w:val="-14"/>
        </w:rPr>
        <w:t> </w:t>
      </w:r>
      <w:r>
        <w:rPr/>
        <w:t>Technical</w:t>
      </w:r>
      <w:r>
        <w:rPr>
          <w:spacing w:val="-14"/>
        </w:rPr>
        <w:t> </w:t>
      </w:r>
      <w:r>
        <w:rPr/>
        <w:t>Study</w:t>
      </w:r>
      <w:r>
        <w:rPr>
          <w:spacing w:val="-14"/>
        </w:rPr>
        <w:t> </w:t>
      </w:r>
      <w:r>
        <w:rPr/>
        <w:t>Programmes</w:t>
      </w:r>
      <w:r>
        <w:rPr>
          <w:spacing w:val="-14"/>
        </w:rPr>
        <w:t> </w:t>
      </w:r>
      <w:r>
        <w:rPr/>
        <w:t>(resigned</w:t>
      </w:r>
      <w:r>
        <w:rPr>
          <w:spacing w:val="-14"/>
        </w:rPr>
        <w:t> </w:t>
      </w:r>
      <w:r>
        <w:rPr/>
        <w:t>on</w:t>
      </w:r>
      <w:r>
        <w:rPr>
          <w:spacing w:val="-14"/>
        </w:rPr>
        <w:t> </w:t>
      </w:r>
      <w:r>
        <w:rPr/>
        <w:t>24th</w:t>
      </w:r>
      <w:r>
        <w:rPr>
          <w:spacing w:val="-14"/>
        </w:rPr>
        <w:t> </w:t>
      </w:r>
      <w:r>
        <w:rPr/>
        <w:t>February</w:t>
      </w:r>
      <w:r>
        <w:rPr>
          <w:spacing w:val="-14"/>
        </w:rPr>
        <w:t> </w:t>
      </w:r>
      <w:r>
        <w:rPr/>
        <w:t>2023) Rachel Waudby-</w:t>
      </w:r>
    </w:p>
    <w:p>
      <w:pPr>
        <w:pStyle w:val="BodyText"/>
        <w:tabs>
          <w:tab w:pos="3119" w:val="left" w:leader="none"/>
        </w:tabs>
        <w:ind w:left="852" w:right="1698" w:hanging="1"/>
      </w:pPr>
      <w:r>
        <w:rPr>
          <w:spacing w:val="-2"/>
        </w:rPr>
        <w:t>Richardson</w:t>
      </w:r>
      <w:r>
        <w:rPr/>
        <w:tab/>
        <w:t>Director</w:t>
      </w:r>
      <w:r>
        <w:rPr>
          <w:spacing w:val="-5"/>
        </w:rPr>
        <w:t> </w:t>
      </w:r>
      <w:r>
        <w:rPr/>
        <w:t>of</w:t>
      </w:r>
      <w:r>
        <w:rPr>
          <w:spacing w:val="-4"/>
        </w:rPr>
        <w:t> </w:t>
      </w:r>
      <w:r>
        <w:rPr/>
        <w:t>Teaching</w:t>
      </w:r>
      <w:r>
        <w:rPr>
          <w:spacing w:val="-4"/>
        </w:rPr>
        <w:t> </w:t>
      </w:r>
      <w:r>
        <w:rPr/>
        <w:t>and</w:t>
      </w:r>
      <w:r>
        <w:rPr>
          <w:spacing w:val="-6"/>
        </w:rPr>
        <w:t> </w:t>
      </w:r>
      <w:r>
        <w:rPr/>
        <w:t>Learning</w:t>
      </w:r>
      <w:r>
        <w:rPr>
          <w:spacing w:val="-6"/>
        </w:rPr>
        <w:t> </w:t>
      </w:r>
      <w:r>
        <w:rPr/>
        <w:t>(resigned</w:t>
      </w:r>
      <w:r>
        <w:rPr>
          <w:spacing w:val="-6"/>
        </w:rPr>
        <w:t> </w:t>
      </w:r>
      <w:r>
        <w:rPr/>
        <w:t>on</w:t>
      </w:r>
      <w:r>
        <w:rPr>
          <w:spacing w:val="-4"/>
        </w:rPr>
        <w:t> </w:t>
      </w:r>
      <w:r>
        <w:rPr/>
        <w:t>31</w:t>
      </w:r>
      <w:r>
        <w:rPr>
          <w:position w:val="6"/>
          <w:sz w:val="13"/>
        </w:rPr>
        <w:t>st</w:t>
      </w:r>
      <w:r>
        <w:rPr>
          <w:spacing w:val="16"/>
          <w:position w:val="6"/>
          <w:sz w:val="13"/>
        </w:rPr>
        <w:t> </w:t>
      </w:r>
      <w:r>
        <w:rPr/>
        <w:t>August</w:t>
      </w:r>
      <w:r>
        <w:rPr>
          <w:spacing w:val="-6"/>
        </w:rPr>
        <w:t> </w:t>
      </w:r>
      <w:r>
        <w:rPr/>
        <w:t>2022) Ranjit Singh</w:t>
        <w:tab/>
      </w:r>
      <w:r>
        <w:rPr>
          <w:spacing w:val="-55"/>
        </w:rPr>
        <w:t> </w:t>
      </w:r>
      <w:r>
        <w:rPr/>
        <w:t>Vice Principal Quality and Learner Experience</w:t>
      </w:r>
    </w:p>
    <w:p>
      <w:pPr>
        <w:pStyle w:val="BodyText"/>
        <w:tabs>
          <w:tab w:pos="3120" w:val="left" w:leader="none"/>
        </w:tabs>
        <w:ind w:left="852"/>
      </w:pPr>
      <w:r>
        <w:rPr/>
        <w:t>Gino</w:t>
      </w:r>
      <w:r>
        <w:rPr>
          <w:spacing w:val="-8"/>
        </w:rPr>
        <w:t> </w:t>
      </w:r>
      <w:r>
        <w:rPr>
          <w:spacing w:val="-2"/>
        </w:rPr>
        <w:t>Tommasi</w:t>
      </w:r>
      <w:r>
        <w:rPr/>
        <w:tab/>
        <w:t>Vice</w:t>
      </w:r>
      <w:r>
        <w:rPr>
          <w:spacing w:val="-6"/>
        </w:rPr>
        <w:t> </w:t>
      </w:r>
      <w:r>
        <w:rPr/>
        <w:t>Principal</w:t>
      </w:r>
      <w:r>
        <w:rPr>
          <w:spacing w:val="-9"/>
        </w:rPr>
        <w:t> </w:t>
      </w:r>
      <w:r>
        <w:rPr/>
        <w:t>Finance</w:t>
      </w:r>
      <w:r>
        <w:rPr>
          <w:spacing w:val="-8"/>
        </w:rPr>
        <w:t> </w:t>
      </w:r>
      <w:r>
        <w:rPr/>
        <w:t>and</w:t>
      </w:r>
      <w:r>
        <w:rPr>
          <w:spacing w:val="-5"/>
        </w:rPr>
        <w:t> </w:t>
      </w:r>
      <w:r>
        <w:rPr/>
        <w:t>Corporate</w:t>
      </w:r>
      <w:r>
        <w:rPr>
          <w:spacing w:val="-7"/>
        </w:rPr>
        <w:t> </w:t>
      </w:r>
      <w:r>
        <w:rPr>
          <w:spacing w:val="-2"/>
        </w:rPr>
        <w:t>Services</w:t>
      </w:r>
    </w:p>
    <w:p>
      <w:pPr>
        <w:pStyle w:val="BodyText"/>
        <w:spacing w:after="0"/>
        <w:sectPr>
          <w:pgSz w:w="11910" w:h="16850"/>
          <w:pgMar w:header="727" w:footer="702" w:top="1520" w:bottom="900" w:left="566" w:right="708"/>
        </w:sectPr>
      </w:pPr>
    </w:p>
    <w:p>
      <w:pPr>
        <w:pStyle w:val="Heading5"/>
        <w:spacing w:before="230"/>
      </w:pPr>
      <w:r>
        <w:rPr/>
        <w:t>BOARD</w:t>
      </w:r>
      <w:r>
        <w:rPr>
          <w:spacing w:val="40"/>
        </w:rPr>
        <w:t> </w:t>
      </w:r>
      <w:r>
        <w:rPr/>
        <w:t>OF</w:t>
      </w:r>
      <w:r>
        <w:rPr>
          <w:spacing w:val="40"/>
        </w:rPr>
        <w:t> </w:t>
      </w:r>
      <w:r>
        <w:rPr/>
        <w:t>GOVERNORS,</w:t>
      </w:r>
      <w:r>
        <w:rPr>
          <w:spacing w:val="40"/>
        </w:rPr>
        <w:t> </w:t>
      </w:r>
      <w:r>
        <w:rPr/>
        <w:t>KEY</w:t>
      </w:r>
      <w:r>
        <w:rPr>
          <w:spacing w:val="40"/>
        </w:rPr>
        <w:t> </w:t>
      </w:r>
      <w:r>
        <w:rPr/>
        <w:t>MANAGEMENT</w:t>
      </w:r>
      <w:r>
        <w:rPr>
          <w:spacing w:val="40"/>
        </w:rPr>
        <w:t> </w:t>
      </w:r>
      <w:r>
        <w:rPr/>
        <w:t>PERSONNEL</w:t>
      </w:r>
      <w:r>
        <w:rPr>
          <w:spacing w:val="40"/>
        </w:rPr>
        <w:t> </w:t>
      </w:r>
      <w:r>
        <w:rPr/>
        <w:t>AND</w:t>
      </w:r>
      <w:r>
        <w:rPr>
          <w:spacing w:val="40"/>
        </w:rPr>
        <w:t> </w:t>
      </w:r>
      <w:r>
        <w:rPr/>
        <w:t>PROFESSIONAL</w:t>
      </w:r>
      <w:r>
        <w:rPr>
          <w:spacing w:val="40"/>
        </w:rPr>
        <w:t> </w:t>
      </w:r>
      <w:r>
        <w:rPr/>
        <w:t>ADVISERS (CONTINUED)</w:t>
      </w:r>
    </w:p>
    <w:p>
      <w:pPr>
        <w:pStyle w:val="BodyText"/>
        <w:spacing w:before="23"/>
        <w:rPr>
          <w:b/>
          <w:sz w:val="22"/>
        </w:rPr>
      </w:pPr>
    </w:p>
    <w:p>
      <w:pPr>
        <w:spacing w:before="1"/>
        <w:ind w:left="852" w:right="0" w:firstLine="0"/>
        <w:jc w:val="left"/>
        <w:rPr>
          <w:b/>
          <w:sz w:val="22"/>
        </w:rPr>
      </w:pPr>
      <w:r>
        <w:rPr>
          <w:b/>
          <w:sz w:val="22"/>
        </w:rPr>
        <w:t>Professional</w:t>
      </w:r>
      <w:r>
        <w:rPr>
          <w:b/>
          <w:spacing w:val="-9"/>
          <w:sz w:val="22"/>
        </w:rPr>
        <w:t> </w:t>
      </w:r>
      <w:r>
        <w:rPr>
          <w:b/>
          <w:spacing w:val="-2"/>
          <w:sz w:val="22"/>
        </w:rPr>
        <w:t>advisers</w:t>
      </w:r>
    </w:p>
    <w:p>
      <w:pPr>
        <w:pStyle w:val="Heading6"/>
        <w:spacing w:before="229"/>
        <w:jc w:val="left"/>
      </w:pPr>
      <w:r>
        <w:rPr/>
        <w:t>Financial</w:t>
      </w:r>
      <w:r>
        <w:rPr>
          <w:spacing w:val="-10"/>
        </w:rPr>
        <w:t> </w:t>
      </w:r>
      <w:r>
        <w:rPr/>
        <w:t>statements</w:t>
      </w:r>
      <w:r>
        <w:rPr>
          <w:spacing w:val="-9"/>
        </w:rPr>
        <w:t> </w:t>
      </w:r>
      <w:r>
        <w:rPr/>
        <w:t>auditors</w:t>
      </w:r>
      <w:r>
        <w:rPr>
          <w:spacing w:val="-11"/>
        </w:rPr>
        <w:t> </w:t>
      </w:r>
      <w:r>
        <w:rPr/>
        <w:t>and</w:t>
      </w:r>
      <w:r>
        <w:rPr>
          <w:spacing w:val="-11"/>
        </w:rPr>
        <w:t> </w:t>
      </w:r>
      <w:r>
        <w:rPr/>
        <w:t>reporting</w:t>
      </w:r>
      <w:r>
        <w:rPr>
          <w:spacing w:val="-10"/>
        </w:rPr>
        <w:t> </w:t>
      </w:r>
      <w:r>
        <w:rPr>
          <w:spacing w:val="-2"/>
        </w:rPr>
        <w:t>accountants</w:t>
      </w:r>
    </w:p>
    <w:p>
      <w:pPr>
        <w:pStyle w:val="BodyText"/>
        <w:ind w:left="852" w:right="7732"/>
      </w:pPr>
      <w:r>
        <w:rPr/>
        <w:t>RSM UK Audit LLP Two Humber Quays Wellington</w:t>
      </w:r>
      <w:r>
        <w:rPr>
          <w:spacing w:val="-14"/>
        </w:rPr>
        <w:t> </w:t>
      </w:r>
      <w:r>
        <w:rPr/>
        <w:t>Street</w:t>
      </w:r>
      <w:r>
        <w:rPr>
          <w:spacing w:val="-14"/>
        </w:rPr>
        <w:t> </w:t>
      </w:r>
      <w:r>
        <w:rPr/>
        <w:t>West </w:t>
      </w:r>
      <w:r>
        <w:rPr>
          <w:spacing w:val="-4"/>
        </w:rPr>
        <w:t>Hull</w:t>
      </w:r>
    </w:p>
    <w:p>
      <w:pPr>
        <w:pStyle w:val="BodyText"/>
        <w:spacing w:line="230" w:lineRule="exact"/>
        <w:ind w:left="852"/>
      </w:pPr>
      <w:r>
        <w:rPr/>
        <w:t>HU1</w:t>
      </w:r>
      <w:r>
        <w:rPr>
          <w:spacing w:val="-7"/>
        </w:rPr>
        <w:t> </w:t>
      </w:r>
      <w:r>
        <w:rPr>
          <w:spacing w:val="-5"/>
        </w:rPr>
        <w:t>2BN</w:t>
      </w:r>
    </w:p>
    <w:p>
      <w:pPr>
        <w:pStyle w:val="BodyText"/>
        <w:spacing w:before="1"/>
      </w:pPr>
    </w:p>
    <w:p>
      <w:pPr>
        <w:pStyle w:val="Heading6"/>
        <w:jc w:val="left"/>
      </w:pPr>
      <w:r>
        <w:rPr/>
        <w:t>Internal</w:t>
      </w:r>
      <w:r>
        <w:rPr>
          <w:spacing w:val="-11"/>
        </w:rPr>
        <w:t> </w:t>
      </w:r>
      <w:r>
        <w:rPr>
          <w:spacing w:val="-2"/>
        </w:rPr>
        <w:t>auditors</w:t>
      </w:r>
    </w:p>
    <w:p>
      <w:pPr>
        <w:pStyle w:val="BodyText"/>
        <w:spacing w:before="1"/>
        <w:ind w:left="852" w:right="6852"/>
      </w:pPr>
      <w:r>
        <w:rPr/>
        <w:t>Audit</w:t>
      </w:r>
      <w:r>
        <w:rPr>
          <w:spacing w:val="-8"/>
        </w:rPr>
        <w:t> </w:t>
      </w:r>
      <w:r>
        <w:rPr/>
        <w:t>One</w:t>
      </w:r>
      <w:r>
        <w:rPr>
          <w:spacing w:val="-8"/>
        </w:rPr>
        <w:t> </w:t>
      </w:r>
      <w:r>
        <w:rPr/>
        <w:t>(to</w:t>
      </w:r>
      <w:r>
        <w:rPr>
          <w:spacing w:val="-7"/>
        </w:rPr>
        <w:t> </w:t>
      </w:r>
      <w:r>
        <w:rPr/>
        <w:t>31</w:t>
      </w:r>
      <w:r>
        <w:rPr>
          <w:spacing w:val="-8"/>
        </w:rPr>
        <w:t> </w:t>
      </w:r>
      <w:r>
        <w:rPr/>
        <w:t>July</w:t>
      </w:r>
      <w:r>
        <w:rPr>
          <w:spacing w:val="-8"/>
        </w:rPr>
        <w:t> </w:t>
      </w:r>
      <w:r>
        <w:rPr/>
        <w:t>2023) Kirkstone Villa</w:t>
      </w:r>
    </w:p>
    <w:p>
      <w:pPr>
        <w:pStyle w:val="BodyText"/>
        <w:ind w:left="852" w:right="6852"/>
      </w:pPr>
      <w:r>
        <w:rPr/>
        <w:t>Lanchester</w:t>
      </w:r>
      <w:r>
        <w:rPr>
          <w:spacing w:val="-14"/>
        </w:rPr>
        <w:t> </w:t>
      </w:r>
      <w:r>
        <w:rPr/>
        <w:t>Road</w:t>
      </w:r>
      <w:r>
        <w:rPr>
          <w:spacing w:val="-14"/>
        </w:rPr>
        <w:t> </w:t>
      </w:r>
      <w:r>
        <w:rPr/>
        <w:t>Hospital </w:t>
      </w:r>
      <w:r>
        <w:rPr>
          <w:spacing w:val="-2"/>
        </w:rPr>
        <w:t>Durham</w:t>
      </w:r>
    </w:p>
    <w:p>
      <w:pPr>
        <w:pStyle w:val="BodyText"/>
        <w:ind w:left="852"/>
      </w:pPr>
      <w:r>
        <w:rPr/>
        <w:t>DH1</w:t>
      </w:r>
      <w:r>
        <w:rPr>
          <w:spacing w:val="-7"/>
        </w:rPr>
        <w:t> </w:t>
      </w:r>
      <w:r>
        <w:rPr>
          <w:spacing w:val="-5"/>
        </w:rPr>
        <w:t>5RD</w:t>
      </w:r>
    </w:p>
    <w:p>
      <w:pPr>
        <w:pStyle w:val="BodyText"/>
      </w:pPr>
    </w:p>
    <w:p>
      <w:pPr>
        <w:pStyle w:val="BodyText"/>
        <w:ind w:left="852" w:right="6852"/>
      </w:pPr>
      <w:r>
        <w:rPr/>
        <w:t>Tiaa</w:t>
      </w:r>
      <w:r>
        <w:rPr>
          <w:spacing w:val="-10"/>
        </w:rPr>
        <w:t> </w:t>
      </w:r>
      <w:r>
        <w:rPr/>
        <w:t>(from</w:t>
      </w:r>
      <w:r>
        <w:rPr>
          <w:spacing w:val="-10"/>
        </w:rPr>
        <w:t> </w:t>
      </w:r>
      <w:r>
        <w:rPr/>
        <w:t>1</w:t>
      </w:r>
      <w:r>
        <w:rPr>
          <w:spacing w:val="-9"/>
        </w:rPr>
        <w:t> </w:t>
      </w:r>
      <w:r>
        <w:rPr/>
        <w:t>August</w:t>
      </w:r>
      <w:r>
        <w:rPr>
          <w:spacing w:val="-10"/>
        </w:rPr>
        <w:t> </w:t>
      </w:r>
      <w:r>
        <w:rPr/>
        <w:t>2023) Artillery House</w:t>
      </w:r>
    </w:p>
    <w:p>
      <w:pPr>
        <w:pStyle w:val="BodyText"/>
        <w:ind w:left="852" w:right="8488"/>
      </w:pPr>
      <w:r>
        <w:rPr/>
        <w:t>Fort Fareham Newgate</w:t>
      </w:r>
      <w:r>
        <w:rPr>
          <w:spacing w:val="-14"/>
        </w:rPr>
        <w:t> </w:t>
      </w:r>
      <w:r>
        <w:rPr/>
        <w:t>Lane </w:t>
      </w:r>
      <w:r>
        <w:rPr>
          <w:spacing w:val="-2"/>
        </w:rPr>
        <w:t>Fareham</w:t>
      </w:r>
    </w:p>
    <w:p>
      <w:pPr>
        <w:pStyle w:val="BodyText"/>
        <w:ind w:left="852"/>
      </w:pPr>
      <w:r>
        <w:rPr/>
        <w:t>Hants</w:t>
      </w:r>
      <w:r>
        <w:rPr>
          <w:spacing w:val="-7"/>
        </w:rPr>
        <w:t> </w:t>
      </w:r>
      <w:r>
        <w:rPr/>
        <w:t>PO14</w:t>
      </w:r>
      <w:r>
        <w:rPr>
          <w:spacing w:val="-7"/>
        </w:rPr>
        <w:t> </w:t>
      </w:r>
      <w:r>
        <w:rPr>
          <w:spacing w:val="-5"/>
        </w:rPr>
        <w:t>1AH</w:t>
      </w:r>
    </w:p>
    <w:p>
      <w:pPr>
        <w:pStyle w:val="Heading6"/>
        <w:spacing w:before="229"/>
        <w:jc w:val="left"/>
      </w:pPr>
      <w:r>
        <w:rPr>
          <w:spacing w:val="-2"/>
        </w:rPr>
        <w:t>Bankers</w:t>
      </w:r>
    </w:p>
    <w:p>
      <w:pPr>
        <w:pStyle w:val="BodyText"/>
        <w:ind w:left="852" w:right="7572" w:hanging="1"/>
      </w:pPr>
      <w:r>
        <w:rPr/>
        <w:t>Barclays</w:t>
      </w:r>
      <w:r>
        <w:rPr>
          <w:spacing w:val="-12"/>
        </w:rPr>
        <w:t> </w:t>
      </w:r>
      <w:r>
        <w:rPr/>
        <w:t>Banks</w:t>
      </w:r>
      <w:r>
        <w:rPr>
          <w:spacing w:val="-12"/>
        </w:rPr>
        <w:t> </w:t>
      </w:r>
      <w:r>
        <w:rPr/>
        <w:t>UK</w:t>
      </w:r>
      <w:r>
        <w:rPr>
          <w:spacing w:val="-11"/>
        </w:rPr>
        <w:t> </w:t>
      </w:r>
      <w:r>
        <w:rPr/>
        <w:t>PLC 1 King Edward St</w:t>
      </w:r>
    </w:p>
    <w:p>
      <w:pPr>
        <w:pStyle w:val="BodyText"/>
        <w:spacing w:before="1"/>
        <w:ind w:left="852"/>
      </w:pPr>
      <w:r>
        <w:rPr>
          <w:spacing w:val="-4"/>
        </w:rPr>
        <w:t>Hull</w:t>
      </w:r>
    </w:p>
    <w:p>
      <w:pPr>
        <w:pStyle w:val="BodyText"/>
        <w:spacing w:before="1"/>
        <w:ind w:left="852"/>
      </w:pPr>
      <w:r>
        <w:rPr/>
        <w:t>HU1</w:t>
      </w:r>
      <w:r>
        <w:rPr>
          <w:spacing w:val="-7"/>
        </w:rPr>
        <w:t> </w:t>
      </w:r>
      <w:r>
        <w:rPr>
          <w:spacing w:val="-5"/>
        </w:rPr>
        <w:t>3RL</w:t>
      </w:r>
    </w:p>
    <w:p>
      <w:pPr>
        <w:pStyle w:val="BodyText"/>
        <w:spacing w:before="228"/>
        <w:ind w:left="852" w:right="8488"/>
      </w:pPr>
      <w:r>
        <w:rPr>
          <w:b/>
          <w:spacing w:val="-2"/>
        </w:rPr>
        <w:t>Solicitors </w:t>
      </w:r>
      <w:r>
        <w:rPr/>
        <w:t>Rollits LLP Citadel</w:t>
      </w:r>
      <w:r>
        <w:rPr>
          <w:spacing w:val="-14"/>
        </w:rPr>
        <w:t> </w:t>
      </w:r>
      <w:r>
        <w:rPr/>
        <w:t>House 58</w:t>
      </w:r>
      <w:r>
        <w:rPr>
          <w:spacing w:val="-14"/>
        </w:rPr>
        <w:t> </w:t>
      </w:r>
      <w:r>
        <w:rPr/>
        <w:t>High</w:t>
      </w:r>
      <w:r>
        <w:rPr>
          <w:spacing w:val="-14"/>
        </w:rPr>
        <w:t> </w:t>
      </w:r>
      <w:r>
        <w:rPr/>
        <w:t>Street </w:t>
      </w:r>
      <w:r>
        <w:rPr>
          <w:spacing w:val="-4"/>
        </w:rPr>
        <w:t>Hull</w:t>
      </w:r>
    </w:p>
    <w:p>
      <w:pPr>
        <w:pStyle w:val="BodyText"/>
        <w:spacing w:before="1"/>
        <w:ind w:left="852"/>
      </w:pPr>
      <w:r>
        <w:rPr/>
        <w:t>HU1</w:t>
      </w:r>
      <w:r>
        <w:rPr>
          <w:spacing w:val="-7"/>
        </w:rPr>
        <w:t> </w:t>
      </w:r>
      <w:r>
        <w:rPr>
          <w:spacing w:val="-5"/>
        </w:rPr>
        <w:t>1QE</w:t>
      </w:r>
    </w:p>
    <w:p>
      <w:pPr>
        <w:pStyle w:val="Heading5"/>
        <w:spacing w:before="228"/>
      </w:pPr>
      <w:r>
        <w:rPr/>
        <w:t>Principal</w:t>
      </w:r>
      <w:r>
        <w:rPr>
          <w:spacing w:val="-3"/>
        </w:rPr>
        <w:t> </w:t>
      </w:r>
      <w:r>
        <w:rPr/>
        <w:t>place</w:t>
      </w:r>
      <w:r>
        <w:rPr>
          <w:spacing w:val="-3"/>
        </w:rPr>
        <w:t> </w:t>
      </w:r>
      <w:r>
        <w:rPr/>
        <w:t>of</w:t>
      </w:r>
      <w:r>
        <w:rPr>
          <w:spacing w:val="-2"/>
        </w:rPr>
        <w:t> business</w:t>
      </w:r>
    </w:p>
    <w:p>
      <w:pPr>
        <w:pStyle w:val="BodyText"/>
        <w:spacing w:before="229"/>
        <w:ind w:left="852" w:right="8044"/>
      </w:pPr>
      <w:r>
        <w:rPr/>
        <w:t>Queen's Gardens Wilberforce Drive </w:t>
      </w:r>
      <w:r>
        <w:rPr>
          <w:spacing w:val="-2"/>
        </w:rPr>
        <w:t>Kingston-Upon-Hull </w:t>
      </w:r>
      <w:r>
        <w:rPr/>
        <w:t>HU1 3DG</w:t>
      </w:r>
    </w:p>
    <w:p>
      <w:pPr>
        <w:pStyle w:val="BodyText"/>
        <w:spacing w:after="0"/>
        <w:sectPr>
          <w:pgSz w:w="11910" w:h="16850"/>
          <w:pgMar w:header="727" w:footer="702" w:top="1520" w:bottom="900" w:left="566" w:right="708"/>
        </w:sectPr>
      </w:pPr>
    </w:p>
    <w:p>
      <w:pPr>
        <w:pStyle w:val="BodyText"/>
        <w:rPr>
          <w:sz w:val="24"/>
        </w:rPr>
      </w:pPr>
    </w:p>
    <w:p>
      <w:pPr>
        <w:pStyle w:val="Heading2"/>
      </w:pPr>
      <w:bookmarkStart w:name="_TOC_250003" w:id="3"/>
      <w:r>
        <w:rPr/>
        <w:t>REPORT</w:t>
      </w:r>
      <w:r>
        <w:rPr>
          <w:spacing w:val="-2"/>
        </w:rPr>
        <w:t> </w:t>
      </w:r>
      <w:r>
        <w:rPr/>
        <w:t>OF</w:t>
      </w:r>
      <w:r>
        <w:rPr>
          <w:spacing w:val="-4"/>
        </w:rPr>
        <w:t> </w:t>
      </w:r>
      <w:r>
        <w:rPr/>
        <w:t>THE BOARD</w:t>
      </w:r>
      <w:r>
        <w:rPr>
          <w:spacing w:val="-1"/>
        </w:rPr>
        <w:t> </w:t>
      </w:r>
      <w:r>
        <w:rPr/>
        <w:t>OF</w:t>
      </w:r>
      <w:r>
        <w:rPr>
          <w:spacing w:val="-1"/>
        </w:rPr>
        <w:t> </w:t>
      </w:r>
      <w:bookmarkEnd w:id="3"/>
      <w:r>
        <w:rPr>
          <w:spacing w:val="-2"/>
        </w:rPr>
        <w:t>GOVERNORS</w:t>
      </w:r>
    </w:p>
    <w:p>
      <w:pPr>
        <w:pStyle w:val="BodyText"/>
        <w:rPr>
          <w:b/>
          <w:sz w:val="24"/>
        </w:rPr>
      </w:pPr>
    </w:p>
    <w:p>
      <w:pPr>
        <w:pStyle w:val="Heading3"/>
      </w:pPr>
      <w:r>
        <w:rPr/>
        <w:t>Nature,</w:t>
      </w:r>
      <w:r>
        <w:rPr>
          <w:spacing w:val="-3"/>
        </w:rPr>
        <w:t> </w:t>
      </w:r>
      <w:r>
        <w:rPr/>
        <w:t>objectives</w:t>
      </w:r>
      <w:r>
        <w:rPr>
          <w:spacing w:val="-3"/>
        </w:rPr>
        <w:t> </w:t>
      </w:r>
      <w:r>
        <w:rPr/>
        <w:t>and</w:t>
      </w:r>
      <w:r>
        <w:rPr>
          <w:spacing w:val="-3"/>
        </w:rPr>
        <w:t> </w:t>
      </w:r>
      <w:r>
        <w:rPr>
          <w:spacing w:val="-2"/>
        </w:rPr>
        <w:t>strategies</w:t>
      </w:r>
    </w:p>
    <w:p>
      <w:pPr>
        <w:pStyle w:val="BodyText"/>
        <w:spacing w:before="275"/>
        <w:ind w:left="852" w:right="1084"/>
      </w:pPr>
      <w:r>
        <w:rPr/>
        <w:t>The</w:t>
      </w:r>
      <w:r>
        <w:rPr>
          <w:spacing w:val="-4"/>
        </w:rPr>
        <w:t> </w:t>
      </w:r>
      <w:r>
        <w:rPr/>
        <w:t>Members</w:t>
      </w:r>
      <w:r>
        <w:rPr>
          <w:spacing w:val="-3"/>
        </w:rPr>
        <w:t> </w:t>
      </w:r>
      <w:r>
        <w:rPr/>
        <w:t>of</w:t>
      </w:r>
      <w:r>
        <w:rPr>
          <w:spacing w:val="-4"/>
        </w:rPr>
        <w:t> </w:t>
      </w:r>
      <w:r>
        <w:rPr/>
        <w:t>Hull</w:t>
      </w:r>
      <w:r>
        <w:rPr>
          <w:spacing w:val="-3"/>
        </w:rPr>
        <w:t> </w:t>
      </w:r>
      <w:r>
        <w:rPr/>
        <w:t>College</w:t>
      </w:r>
      <w:r>
        <w:rPr>
          <w:spacing w:val="-4"/>
        </w:rPr>
        <w:t> </w:t>
      </w:r>
      <w:r>
        <w:rPr/>
        <w:t>Further</w:t>
      </w:r>
      <w:r>
        <w:rPr>
          <w:spacing w:val="-3"/>
        </w:rPr>
        <w:t> </w:t>
      </w:r>
      <w:r>
        <w:rPr/>
        <w:t>Education</w:t>
      </w:r>
      <w:r>
        <w:rPr>
          <w:spacing w:val="-2"/>
        </w:rPr>
        <w:t> </w:t>
      </w:r>
      <w:r>
        <w:rPr/>
        <w:t>Corporation</w:t>
      </w:r>
      <w:r>
        <w:rPr>
          <w:spacing w:val="-4"/>
        </w:rPr>
        <w:t> </w:t>
      </w:r>
      <w:r>
        <w:rPr/>
        <w:t>present</w:t>
      </w:r>
      <w:r>
        <w:rPr>
          <w:spacing w:val="-3"/>
        </w:rPr>
        <w:t> </w:t>
      </w:r>
      <w:r>
        <w:rPr/>
        <w:t>their</w:t>
      </w:r>
      <w:r>
        <w:rPr>
          <w:spacing w:val="-3"/>
        </w:rPr>
        <w:t> </w:t>
      </w:r>
      <w:r>
        <w:rPr/>
        <w:t>report</w:t>
      </w:r>
      <w:r>
        <w:rPr>
          <w:spacing w:val="-2"/>
        </w:rPr>
        <w:t> </w:t>
      </w:r>
      <w:r>
        <w:rPr/>
        <w:t>and</w:t>
      </w:r>
      <w:r>
        <w:rPr>
          <w:spacing w:val="-4"/>
        </w:rPr>
        <w:t> </w:t>
      </w:r>
      <w:r>
        <w:rPr/>
        <w:t>the</w:t>
      </w:r>
      <w:r>
        <w:rPr>
          <w:spacing w:val="-2"/>
        </w:rPr>
        <w:t> </w:t>
      </w:r>
      <w:r>
        <w:rPr/>
        <w:t>audited financial statements for the year ended 31 July 2023.</w:t>
      </w:r>
    </w:p>
    <w:p>
      <w:pPr>
        <w:pStyle w:val="BodyText"/>
        <w:spacing w:before="2"/>
      </w:pPr>
    </w:p>
    <w:p>
      <w:pPr>
        <w:pStyle w:val="Heading3"/>
        <w:spacing w:before="1"/>
      </w:pPr>
      <w:r>
        <w:rPr/>
        <w:t>Legal</w:t>
      </w:r>
      <w:r>
        <w:rPr>
          <w:spacing w:val="1"/>
        </w:rPr>
        <w:t> </w:t>
      </w:r>
      <w:r>
        <w:rPr>
          <w:spacing w:val="-2"/>
        </w:rPr>
        <w:t>status</w:t>
      </w:r>
    </w:p>
    <w:p>
      <w:pPr>
        <w:pStyle w:val="BodyText"/>
        <w:spacing w:before="227"/>
        <w:ind w:left="852" w:right="1089"/>
        <w:jc w:val="both"/>
      </w:pPr>
      <w:r>
        <w:rPr/>
        <w:t>The Hull College Further Education Corporation was established under the Further and Higher Education</w:t>
      </w:r>
      <w:r>
        <w:rPr>
          <w:spacing w:val="-7"/>
        </w:rPr>
        <w:t> </w:t>
      </w:r>
      <w:r>
        <w:rPr/>
        <w:t>Act</w:t>
      </w:r>
      <w:r>
        <w:rPr>
          <w:spacing w:val="-9"/>
        </w:rPr>
        <w:t> </w:t>
      </w:r>
      <w:r>
        <w:rPr/>
        <w:t>1992</w:t>
      </w:r>
      <w:r>
        <w:rPr>
          <w:spacing w:val="-9"/>
        </w:rPr>
        <w:t> </w:t>
      </w:r>
      <w:r>
        <w:rPr/>
        <w:t>for</w:t>
      </w:r>
      <w:r>
        <w:rPr>
          <w:spacing w:val="-8"/>
        </w:rPr>
        <w:t> </w:t>
      </w:r>
      <w:r>
        <w:rPr/>
        <w:t>the</w:t>
      </w:r>
      <w:r>
        <w:rPr>
          <w:spacing w:val="-7"/>
        </w:rPr>
        <w:t> </w:t>
      </w:r>
      <w:r>
        <w:rPr/>
        <w:t>purpose</w:t>
      </w:r>
      <w:r>
        <w:rPr>
          <w:spacing w:val="-7"/>
        </w:rPr>
        <w:t> </w:t>
      </w:r>
      <w:r>
        <w:rPr/>
        <w:t>of</w:t>
      </w:r>
      <w:r>
        <w:rPr>
          <w:spacing w:val="-9"/>
        </w:rPr>
        <w:t> </w:t>
      </w:r>
      <w:r>
        <w:rPr/>
        <w:t>conducting</w:t>
      </w:r>
      <w:r>
        <w:rPr>
          <w:spacing w:val="-7"/>
        </w:rPr>
        <w:t> </w:t>
      </w:r>
      <w:r>
        <w:rPr/>
        <w:t>Hull</w:t>
      </w:r>
      <w:r>
        <w:rPr>
          <w:spacing w:val="-7"/>
        </w:rPr>
        <w:t> </w:t>
      </w:r>
      <w:r>
        <w:rPr/>
        <w:t>College</w:t>
      </w:r>
      <w:r>
        <w:rPr>
          <w:spacing w:val="-9"/>
        </w:rPr>
        <w:t> </w:t>
      </w:r>
      <w:r>
        <w:rPr/>
        <w:t>business.</w:t>
      </w:r>
      <w:r>
        <w:rPr>
          <w:spacing w:val="-9"/>
        </w:rPr>
        <w:t> </w:t>
      </w:r>
      <w:r>
        <w:rPr/>
        <w:t>The</w:t>
      </w:r>
      <w:r>
        <w:rPr>
          <w:spacing w:val="-9"/>
        </w:rPr>
        <w:t> </w:t>
      </w:r>
      <w:r>
        <w:rPr/>
        <w:t>Hull</w:t>
      </w:r>
      <w:r>
        <w:rPr>
          <w:spacing w:val="-7"/>
        </w:rPr>
        <w:t> </w:t>
      </w:r>
      <w:r>
        <w:rPr/>
        <w:t>College</w:t>
      </w:r>
      <w:r>
        <w:rPr>
          <w:spacing w:val="-9"/>
        </w:rPr>
        <w:t> </w:t>
      </w:r>
      <w:r>
        <w:rPr/>
        <w:t>Group</w:t>
      </w:r>
      <w:r>
        <w:rPr>
          <w:spacing w:val="-7"/>
        </w:rPr>
        <w:t> </w:t>
      </w:r>
      <w:r>
        <w:rPr/>
        <w:t>is an exempt charity for the purposes of Part 3 of the Charities Act 2011.</w:t>
      </w:r>
    </w:p>
    <w:p>
      <w:pPr>
        <w:pStyle w:val="BodyText"/>
        <w:spacing w:before="2"/>
      </w:pPr>
    </w:p>
    <w:p>
      <w:pPr>
        <w:pStyle w:val="BodyText"/>
        <w:ind w:left="852" w:right="1088"/>
        <w:jc w:val="both"/>
      </w:pPr>
      <w:r>
        <w:rPr/>
        <w:t>For the year ended 31 July 2023 the Hull College Further Education Corporation consisted of Hull and</w:t>
      </w:r>
      <w:r>
        <w:rPr>
          <w:spacing w:val="-9"/>
        </w:rPr>
        <w:t> </w:t>
      </w:r>
      <w:r>
        <w:rPr/>
        <w:t>Goole</w:t>
      </w:r>
      <w:r>
        <w:rPr>
          <w:spacing w:val="-9"/>
        </w:rPr>
        <w:t> </w:t>
      </w:r>
      <w:r>
        <w:rPr/>
        <w:t>campuses.</w:t>
      </w:r>
      <w:r>
        <w:rPr>
          <w:spacing w:val="-9"/>
        </w:rPr>
        <w:t> </w:t>
      </w:r>
      <w:r>
        <w:rPr/>
        <w:t>The</w:t>
      </w:r>
      <w:r>
        <w:rPr>
          <w:spacing w:val="-9"/>
        </w:rPr>
        <w:t> </w:t>
      </w:r>
      <w:r>
        <w:rPr/>
        <w:t>financial</w:t>
      </w:r>
      <w:r>
        <w:rPr>
          <w:spacing w:val="-10"/>
        </w:rPr>
        <w:t> </w:t>
      </w:r>
      <w:r>
        <w:rPr/>
        <w:t>statements</w:t>
      </w:r>
      <w:r>
        <w:rPr>
          <w:spacing w:val="-7"/>
        </w:rPr>
        <w:t> </w:t>
      </w:r>
      <w:r>
        <w:rPr/>
        <w:t>are</w:t>
      </w:r>
      <w:r>
        <w:rPr>
          <w:spacing w:val="-9"/>
        </w:rPr>
        <w:t> </w:t>
      </w:r>
      <w:r>
        <w:rPr/>
        <w:t>consolidated</w:t>
      </w:r>
      <w:r>
        <w:rPr>
          <w:spacing w:val="-9"/>
        </w:rPr>
        <w:t> </w:t>
      </w:r>
      <w:r>
        <w:rPr/>
        <w:t>financial</w:t>
      </w:r>
      <w:r>
        <w:rPr>
          <w:spacing w:val="-10"/>
        </w:rPr>
        <w:t> </w:t>
      </w:r>
      <w:r>
        <w:rPr/>
        <w:t>statements</w:t>
      </w:r>
      <w:r>
        <w:rPr>
          <w:spacing w:val="-7"/>
        </w:rPr>
        <w:t> </w:t>
      </w:r>
      <w:r>
        <w:rPr/>
        <w:t>and,</w:t>
      </w:r>
      <w:r>
        <w:rPr>
          <w:spacing w:val="-8"/>
        </w:rPr>
        <w:t> </w:t>
      </w:r>
      <w:r>
        <w:rPr/>
        <w:t>together with the two campuses, include two subsidiaries; Hull College Enterprises Limited and HCUK Resourcing Limited.</w:t>
      </w:r>
    </w:p>
    <w:p>
      <w:pPr>
        <w:pStyle w:val="BodyText"/>
      </w:pPr>
    </w:p>
    <w:p>
      <w:pPr>
        <w:pStyle w:val="BodyText"/>
        <w:ind w:left="852" w:right="1084"/>
        <w:jc w:val="both"/>
      </w:pPr>
      <w:r>
        <w:rPr/>
        <w:t>Due</w:t>
      </w:r>
      <w:r>
        <w:rPr>
          <w:spacing w:val="-11"/>
        </w:rPr>
        <w:t> </w:t>
      </w:r>
      <w:r>
        <w:rPr/>
        <w:t>to</w:t>
      </w:r>
      <w:r>
        <w:rPr>
          <w:spacing w:val="-11"/>
        </w:rPr>
        <w:t> </w:t>
      </w:r>
      <w:r>
        <w:rPr/>
        <w:t>changes</w:t>
      </w:r>
      <w:r>
        <w:rPr>
          <w:spacing w:val="-10"/>
        </w:rPr>
        <w:t> </w:t>
      </w:r>
      <w:r>
        <w:rPr/>
        <w:t>within</w:t>
      </w:r>
      <w:r>
        <w:rPr>
          <w:spacing w:val="-11"/>
        </w:rPr>
        <w:t> </w:t>
      </w:r>
      <w:r>
        <w:rPr/>
        <w:t>the</w:t>
      </w:r>
      <w:r>
        <w:rPr>
          <w:spacing w:val="-7"/>
        </w:rPr>
        <w:t> </w:t>
      </w:r>
      <w:r>
        <w:rPr/>
        <w:t>management</w:t>
      </w:r>
      <w:r>
        <w:rPr>
          <w:spacing w:val="-9"/>
        </w:rPr>
        <w:t> </w:t>
      </w:r>
      <w:r>
        <w:rPr/>
        <w:t>team</w:t>
      </w:r>
      <w:r>
        <w:rPr>
          <w:spacing w:val="-11"/>
        </w:rPr>
        <w:t> </w:t>
      </w:r>
      <w:r>
        <w:rPr/>
        <w:t>and</w:t>
      </w:r>
      <w:r>
        <w:rPr>
          <w:spacing w:val="-11"/>
        </w:rPr>
        <w:t> </w:t>
      </w:r>
      <w:r>
        <w:rPr/>
        <w:t>external</w:t>
      </w:r>
      <w:r>
        <w:rPr>
          <w:spacing w:val="-12"/>
        </w:rPr>
        <w:t> </w:t>
      </w:r>
      <w:r>
        <w:rPr/>
        <w:t>factors,</w:t>
      </w:r>
      <w:r>
        <w:rPr>
          <w:spacing w:val="-11"/>
        </w:rPr>
        <w:t> </w:t>
      </w:r>
      <w:r>
        <w:rPr/>
        <w:t>the</w:t>
      </w:r>
      <w:r>
        <w:rPr>
          <w:spacing w:val="-11"/>
        </w:rPr>
        <w:t> </w:t>
      </w:r>
      <w:r>
        <w:rPr/>
        <w:t>commercial</w:t>
      </w:r>
      <w:r>
        <w:rPr>
          <w:spacing w:val="-12"/>
        </w:rPr>
        <w:t> </w:t>
      </w:r>
      <w:r>
        <w:rPr/>
        <w:t>use</w:t>
      </w:r>
      <w:r>
        <w:rPr>
          <w:spacing w:val="-9"/>
        </w:rPr>
        <w:t> </w:t>
      </w:r>
      <w:r>
        <w:rPr/>
        <w:t>of</w:t>
      </w:r>
      <w:r>
        <w:rPr>
          <w:spacing w:val="-11"/>
        </w:rPr>
        <w:t> </w:t>
      </w:r>
      <w:r>
        <w:rPr/>
        <w:t>the</w:t>
      </w:r>
      <w:r>
        <w:rPr>
          <w:spacing w:val="-11"/>
        </w:rPr>
        <w:t> </w:t>
      </w:r>
      <w:r>
        <w:rPr/>
        <w:t>Steve Prescott Sports Centre ceased as at 31st July 2023 and is now operated by Kingston Upon Hull City Council. The Board decided to transfer the Nursery facilities and training restaurant from Hull College Enterprises Limited to Hull College due to the small size and scale of its operations. The Nursery and restaurant are currently rebranding its facilities. Following the Board’s decision, it is agreed</w:t>
      </w:r>
      <w:r>
        <w:rPr>
          <w:spacing w:val="-6"/>
        </w:rPr>
        <w:t> </w:t>
      </w:r>
      <w:r>
        <w:rPr/>
        <w:t>that</w:t>
      </w:r>
      <w:r>
        <w:rPr>
          <w:spacing w:val="-5"/>
        </w:rPr>
        <w:t> </w:t>
      </w:r>
      <w:r>
        <w:rPr/>
        <w:t>the</w:t>
      </w:r>
      <w:r>
        <w:rPr>
          <w:spacing w:val="-6"/>
        </w:rPr>
        <w:t> </w:t>
      </w:r>
      <w:r>
        <w:rPr/>
        <w:t>Hull</w:t>
      </w:r>
      <w:r>
        <w:rPr>
          <w:spacing w:val="-6"/>
        </w:rPr>
        <w:t> </w:t>
      </w:r>
      <w:r>
        <w:rPr/>
        <w:t>College</w:t>
      </w:r>
      <w:r>
        <w:rPr>
          <w:spacing w:val="-6"/>
        </w:rPr>
        <w:t> </w:t>
      </w:r>
      <w:r>
        <w:rPr/>
        <w:t>Enterprises</w:t>
      </w:r>
      <w:r>
        <w:rPr>
          <w:spacing w:val="-2"/>
        </w:rPr>
        <w:t> </w:t>
      </w:r>
      <w:r>
        <w:rPr/>
        <w:t>Limited</w:t>
      </w:r>
      <w:r>
        <w:rPr>
          <w:spacing w:val="-6"/>
        </w:rPr>
        <w:t> </w:t>
      </w:r>
      <w:r>
        <w:rPr/>
        <w:t>will</w:t>
      </w:r>
      <w:r>
        <w:rPr>
          <w:spacing w:val="-6"/>
        </w:rPr>
        <w:t> </w:t>
      </w:r>
      <w:r>
        <w:rPr/>
        <w:t>cease</w:t>
      </w:r>
      <w:r>
        <w:rPr>
          <w:spacing w:val="-6"/>
        </w:rPr>
        <w:t> </w:t>
      </w:r>
      <w:r>
        <w:rPr/>
        <w:t>trading</w:t>
      </w:r>
      <w:r>
        <w:rPr>
          <w:spacing w:val="-6"/>
        </w:rPr>
        <w:t> </w:t>
      </w:r>
      <w:r>
        <w:rPr/>
        <w:t>and</w:t>
      </w:r>
      <w:r>
        <w:rPr>
          <w:spacing w:val="-3"/>
        </w:rPr>
        <w:t> </w:t>
      </w:r>
      <w:r>
        <w:rPr/>
        <w:t>will</w:t>
      </w:r>
      <w:r>
        <w:rPr>
          <w:spacing w:val="-4"/>
        </w:rPr>
        <w:t> </w:t>
      </w:r>
      <w:r>
        <w:rPr/>
        <w:t>be</w:t>
      </w:r>
      <w:r>
        <w:rPr>
          <w:spacing w:val="-3"/>
        </w:rPr>
        <w:t> </w:t>
      </w:r>
      <w:r>
        <w:rPr/>
        <w:t>made</w:t>
      </w:r>
      <w:r>
        <w:rPr>
          <w:spacing w:val="-6"/>
        </w:rPr>
        <w:t> </w:t>
      </w:r>
      <w:r>
        <w:rPr/>
        <w:t>dormant</w:t>
      </w:r>
      <w:r>
        <w:rPr>
          <w:spacing w:val="-5"/>
        </w:rPr>
        <w:t> </w:t>
      </w:r>
      <w:r>
        <w:rPr/>
        <w:t>in</w:t>
      </w:r>
      <w:r>
        <w:rPr>
          <w:spacing w:val="-6"/>
        </w:rPr>
        <w:t> </w:t>
      </w:r>
      <w:r>
        <w:rPr/>
        <w:t>the </w:t>
      </w:r>
      <w:r>
        <w:rPr>
          <w:spacing w:val="-2"/>
        </w:rPr>
        <w:t>future.</w:t>
      </w:r>
    </w:p>
    <w:p>
      <w:pPr>
        <w:pStyle w:val="BodyText"/>
        <w:spacing w:before="229"/>
        <w:ind w:left="852" w:right="1088"/>
        <w:jc w:val="both"/>
      </w:pPr>
      <w:r>
        <w:rPr/>
        <w:t>Hull College Further Education Corporation trades as the Hull College Group and is referred to as “the Corporation” or as “the College” throughout this Report and Financial Statements.</w:t>
      </w:r>
    </w:p>
    <w:p>
      <w:pPr>
        <w:pStyle w:val="BodyText"/>
        <w:spacing w:before="1"/>
      </w:pPr>
    </w:p>
    <w:p>
      <w:pPr>
        <w:pStyle w:val="Heading3"/>
      </w:pPr>
      <w:r>
        <w:rPr/>
        <w:t>Public</w:t>
      </w:r>
      <w:r>
        <w:rPr>
          <w:spacing w:val="-1"/>
        </w:rPr>
        <w:t> </w:t>
      </w:r>
      <w:r>
        <w:rPr>
          <w:spacing w:val="-2"/>
        </w:rPr>
        <w:t>benefit</w:t>
      </w:r>
    </w:p>
    <w:p>
      <w:pPr>
        <w:pStyle w:val="BodyText"/>
        <w:spacing w:before="229"/>
        <w:ind w:left="852" w:right="1087"/>
        <w:jc w:val="both"/>
      </w:pPr>
      <w:r>
        <w:rPr/>
        <w:t>Hull</w:t>
      </w:r>
      <w:r>
        <w:rPr>
          <w:spacing w:val="-6"/>
        </w:rPr>
        <w:t> </w:t>
      </w:r>
      <w:r>
        <w:rPr/>
        <w:t>College</w:t>
      </w:r>
      <w:r>
        <w:rPr>
          <w:spacing w:val="-6"/>
        </w:rPr>
        <w:t> </w:t>
      </w:r>
      <w:r>
        <w:rPr/>
        <w:t>is</w:t>
      </w:r>
      <w:r>
        <w:rPr>
          <w:spacing w:val="-2"/>
        </w:rPr>
        <w:t> </w:t>
      </w:r>
      <w:r>
        <w:rPr/>
        <w:t>an</w:t>
      </w:r>
      <w:r>
        <w:rPr>
          <w:spacing w:val="-3"/>
        </w:rPr>
        <w:t> </w:t>
      </w:r>
      <w:r>
        <w:rPr/>
        <w:t>exempt</w:t>
      </w:r>
      <w:r>
        <w:rPr>
          <w:spacing w:val="-5"/>
        </w:rPr>
        <w:t> </w:t>
      </w:r>
      <w:r>
        <w:rPr/>
        <w:t>charity</w:t>
      </w:r>
      <w:r>
        <w:rPr>
          <w:spacing w:val="-2"/>
        </w:rPr>
        <w:t> </w:t>
      </w:r>
      <w:r>
        <w:rPr/>
        <w:t>under</w:t>
      </w:r>
      <w:r>
        <w:rPr>
          <w:spacing w:val="-4"/>
        </w:rPr>
        <w:t> </w:t>
      </w:r>
      <w:r>
        <w:rPr/>
        <w:t>the</w:t>
      </w:r>
      <w:r>
        <w:rPr>
          <w:spacing w:val="-3"/>
        </w:rPr>
        <w:t> </w:t>
      </w:r>
      <w:r>
        <w:rPr/>
        <w:t>Part</w:t>
      </w:r>
      <w:r>
        <w:rPr>
          <w:spacing w:val="-3"/>
        </w:rPr>
        <w:t> </w:t>
      </w:r>
      <w:r>
        <w:rPr/>
        <w:t>3</w:t>
      </w:r>
      <w:r>
        <w:rPr>
          <w:spacing w:val="-6"/>
        </w:rPr>
        <w:t> </w:t>
      </w:r>
      <w:r>
        <w:rPr/>
        <w:t>of</w:t>
      </w:r>
      <w:r>
        <w:rPr>
          <w:spacing w:val="-3"/>
        </w:rPr>
        <w:t> </w:t>
      </w:r>
      <w:r>
        <w:rPr/>
        <w:t>the</w:t>
      </w:r>
      <w:r>
        <w:rPr>
          <w:spacing w:val="-6"/>
        </w:rPr>
        <w:t> </w:t>
      </w:r>
      <w:r>
        <w:rPr/>
        <w:t>Charities</w:t>
      </w:r>
      <w:r>
        <w:rPr>
          <w:spacing w:val="-2"/>
        </w:rPr>
        <w:t> </w:t>
      </w:r>
      <w:r>
        <w:rPr/>
        <w:t>Act</w:t>
      </w:r>
      <w:r>
        <w:rPr>
          <w:spacing w:val="-5"/>
        </w:rPr>
        <w:t> </w:t>
      </w:r>
      <w:r>
        <w:rPr/>
        <w:t>2011</w:t>
      </w:r>
      <w:r>
        <w:rPr>
          <w:spacing w:val="-3"/>
        </w:rPr>
        <w:t> </w:t>
      </w:r>
      <w:r>
        <w:rPr/>
        <w:t>and</w:t>
      </w:r>
      <w:r>
        <w:rPr>
          <w:spacing w:val="-6"/>
        </w:rPr>
        <w:t> </w:t>
      </w:r>
      <w:r>
        <w:rPr/>
        <w:t>is regulated</w:t>
      </w:r>
      <w:r>
        <w:rPr>
          <w:spacing w:val="-6"/>
        </w:rPr>
        <w:t> </w:t>
      </w:r>
      <w:r>
        <w:rPr/>
        <w:t>by</w:t>
      </w:r>
      <w:r>
        <w:rPr>
          <w:spacing w:val="-4"/>
        </w:rPr>
        <w:t> </w:t>
      </w:r>
      <w:r>
        <w:rPr/>
        <w:t>the Secretary of State for Education. The members of the Governing Body, who are trustees of the charity, are disclosed on page 21 to 22.</w:t>
      </w:r>
    </w:p>
    <w:p>
      <w:pPr>
        <w:pStyle w:val="BodyText"/>
      </w:pPr>
    </w:p>
    <w:p>
      <w:pPr>
        <w:pStyle w:val="BodyText"/>
        <w:ind w:left="852" w:right="1085"/>
        <w:jc w:val="both"/>
      </w:pPr>
      <w:r>
        <w:rPr/>
        <w:t>In</w:t>
      </w:r>
      <w:r>
        <w:rPr>
          <w:spacing w:val="-7"/>
        </w:rPr>
        <w:t> </w:t>
      </w:r>
      <w:r>
        <w:rPr/>
        <w:t>setting</w:t>
      </w:r>
      <w:r>
        <w:rPr>
          <w:spacing w:val="-7"/>
        </w:rPr>
        <w:t> </w:t>
      </w:r>
      <w:r>
        <w:rPr/>
        <w:t>and</w:t>
      </w:r>
      <w:r>
        <w:rPr>
          <w:spacing w:val="-7"/>
        </w:rPr>
        <w:t> </w:t>
      </w:r>
      <w:r>
        <w:rPr/>
        <w:t>reviewing</w:t>
      </w:r>
      <w:r>
        <w:rPr>
          <w:spacing w:val="-7"/>
        </w:rPr>
        <w:t> </w:t>
      </w:r>
      <w:r>
        <w:rPr/>
        <w:t>the</w:t>
      </w:r>
      <w:r>
        <w:rPr>
          <w:spacing w:val="-4"/>
        </w:rPr>
        <w:t> </w:t>
      </w:r>
      <w:r>
        <w:rPr/>
        <w:t>College’s</w:t>
      </w:r>
      <w:r>
        <w:rPr>
          <w:spacing w:val="-5"/>
        </w:rPr>
        <w:t> </w:t>
      </w:r>
      <w:r>
        <w:rPr/>
        <w:t>strategic</w:t>
      </w:r>
      <w:r>
        <w:rPr>
          <w:spacing w:val="-5"/>
        </w:rPr>
        <w:t> </w:t>
      </w:r>
      <w:r>
        <w:rPr/>
        <w:t>objectives,</w:t>
      </w:r>
      <w:r>
        <w:rPr>
          <w:spacing w:val="-6"/>
        </w:rPr>
        <w:t> </w:t>
      </w:r>
      <w:r>
        <w:rPr/>
        <w:t>the</w:t>
      </w:r>
      <w:r>
        <w:rPr>
          <w:spacing w:val="-7"/>
        </w:rPr>
        <w:t> </w:t>
      </w:r>
      <w:r>
        <w:rPr/>
        <w:t>Governing</w:t>
      </w:r>
      <w:r>
        <w:rPr>
          <w:spacing w:val="-7"/>
        </w:rPr>
        <w:t> </w:t>
      </w:r>
      <w:r>
        <w:rPr/>
        <w:t>Body</w:t>
      </w:r>
      <w:r>
        <w:rPr>
          <w:spacing w:val="-5"/>
        </w:rPr>
        <w:t> </w:t>
      </w:r>
      <w:r>
        <w:rPr/>
        <w:t>has</w:t>
      </w:r>
      <w:r>
        <w:rPr>
          <w:spacing w:val="-3"/>
        </w:rPr>
        <w:t> </w:t>
      </w:r>
      <w:r>
        <w:rPr/>
        <w:t>had</w:t>
      </w:r>
      <w:r>
        <w:rPr>
          <w:spacing w:val="-7"/>
        </w:rPr>
        <w:t> </w:t>
      </w:r>
      <w:r>
        <w:rPr/>
        <w:t>due</w:t>
      </w:r>
      <w:r>
        <w:rPr>
          <w:spacing w:val="-7"/>
        </w:rPr>
        <w:t> </w:t>
      </w:r>
      <w:r>
        <w:rPr/>
        <w:t>regard for the Charity Commission’s guidance on public benefit and particularly upon its supplementary guidance on the advancement of education. The guidance sets out the requirement that all organisations</w:t>
      </w:r>
      <w:r>
        <w:rPr>
          <w:spacing w:val="-7"/>
        </w:rPr>
        <w:t> </w:t>
      </w:r>
      <w:r>
        <w:rPr/>
        <w:t>wishing</w:t>
      </w:r>
      <w:r>
        <w:rPr>
          <w:spacing w:val="-9"/>
        </w:rPr>
        <w:t> </w:t>
      </w:r>
      <w:r>
        <w:rPr/>
        <w:t>to</w:t>
      </w:r>
      <w:r>
        <w:rPr>
          <w:spacing w:val="-7"/>
        </w:rPr>
        <w:t> </w:t>
      </w:r>
      <w:r>
        <w:rPr/>
        <w:t>be</w:t>
      </w:r>
      <w:r>
        <w:rPr>
          <w:spacing w:val="-7"/>
        </w:rPr>
        <w:t> </w:t>
      </w:r>
      <w:r>
        <w:rPr/>
        <w:t>recognised</w:t>
      </w:r>
      <w:r>
        <w:rPr>
          <w:spacing w:val="-9"/>
        </w:rPr>
        <w:t> </w:t>
      </w:r>
      <w:r>
        <w:rPr/>
        <w:t>as</w:t>
      </w:r>
      <w:r>
        <w:rPr>
          <w:spacing w:val="-7"/>
        </w:rPr>
        <w:t> </w:t>
      </w:r>
      <w:r>
        <w:rPr/>
        <w:t>charities</w:t>
      </w:r>
      <w:r>
        <w:rPr>
          <w:spacing w:val="-7"/>
        </w:rPr>
        <w:t> </w:t>
      </w:r>
      <w:r>
        <w:rPr/>
        <w:t>must</w:t>
      </w:r>
      <w:r>
        <w:rPr>
          <w:spacing w:val="-9"/>
        </w:rPr>
        <w:t> </w:t>
      </w:r>
      <w:r>
        <w:rPr/>
        <w:t>demonstrate,</w:t>
      </w:r>
      <w:r>
        <w:rPr>
          <w:spacing w:val="-9"/>
        </w:rPr>
        <w:t> </w:t>
      </w:r>
      <w:r>
        <w:rPr/>
        <w:t>explicitly,</w:t>
      </w:r>
      <w:r>
        <w:rPr>
          <w:spacing w:val="-9"/>
        </w:rPr>
        <w:t> </w:t>
      </w:r>
      <w:r>
        <w:rPr/>
        <w:t>that</w:t>
      </w:r>
      <w:r>
        <w:rPr>
          <w:spacing w:val="-9"/>
        </w:rPr>
        <w:t> </w:t>
      </w:r>
      <w:r>
        <w:rPr/>
        <w:t>their</w:t>
      </w:r>
      <w:r>
        <w:rPr>
          <w:spacing w:val="-5"/>
        </w:rPr>
        <w:t> </w:t>
      </w:r>
      <w:r>
        <w:rPr/>
        <w:t>aims</w:t>
      </w:r>
      <w:r>
        <w:rPr>
          <w:spacing w:val="-7"/>
        </w:rPr>
        <w:t> </w:t>
      </w:r>
      <w:r>
        <w:rPr/>
        <w:t>are for the public benefit.</w:t>
      </w:r>
    </w:p>
    <w:p>
      <w:pPr>
        <w:pStyle w:val="BodyText"/>
      </w:pPr>
    </w:p>
    <w:p>
      <w:pPr>
        <w:pStyle w:val="BodyText"/>
        <w:spacing w:before="1"/>
        <w:ind w:left="852" w:right="1084"/>
        <w:jc w:val="both"/>
      </w:pPr>
      <w:r>
        <w:rPr/>
        <w:t>The College provides technical skills training programmes and general education to young people aged</w:t>
      </w:r>
      <w:r>
        <w:rPr>
          <w:spacing w:val="-2"/>
        </w:rPr>
        <w:t> </w:t>
      </w:r>
      <w:r>
        <w:rPr/>
        <w:t>14-19</w:t>
      </w:r>
      <w:r>
        <w:rPr>
          <w:spacing w:val="-4"/>
        </w:rPr>
        <w:t> </w:t>
      </w:r>
      <w:r>
        <w:rPr/>
        <w:t>years</w:t>
      </w:r>
      <w:r>
        <w:rPr>
          <w:spacing w:val="-3"/>
        </w:rPr>
        <w:t> </w:t>
      </w:r>
      <w:r>
        <w:rPr/>
        <w:t>and</w:t>
      </w:r>
      <w:r>
        <w:rPr>
          <w:spacing w:val="-4"/>
        </w:rPr>
        <w:t> </w:t>
      </w:r>
      <w:r>
        <w:rPr/>
        <w:t>adults,</w:t>
      </w:r>
      <w:r>
        <w:rPr>
          <w:spacing w:val="-4"/>
        </w:rPr>
        <w:t> </w:t>
      </w:r>
      <w:r>
        <w:rPr/>
        <w:t>predominantly</w:t>
      </w:r>
      <w:r>
        <w:rPr>
          <w:spacing w:val="-3"/>
        </w:rPr>
        <w:t> </w:t>
      </w:r>
      <w:r>
        <w:rPr/>
        <w:t>in</w:t>
      </w:r>
      <w:r>
        <w:rPr>
          <w:spacing w:val="-2"/>
        </w:rPr>
        <w:t> </w:t>
      </w:r>
      <w:r>
        <w:rPr/>
        <w:t>Hull</w:t>
      </w:r>
      <w:r>
        <w:rPr>
          <w:spacing w:val="-2"/>
        </w:rPr>
        <w:t> </w:t>
      </w:r>
      <w:r>
        <w:rPr/>
        <w:t>and</w:t>
      </w:r>
      <w:r>
        <w:rPr>
          <w:spacing w:val="-4"/>
        </w:rPr>
        <w:t> </w:t>
      </w:r>
      <w:r>
        <w:rPr/>
        <w:t>the</w:t>
      </w:r>
      <w:r>
        <w:rPr>
          <w:spacing w:val="-2"/>
        </w:rPr>
        <w:t> </w:t>
      </w:r>
      <w:r>
        <w:rPr/>
        <w:t>wider</w:t>
      </w:r>
      <w:r>
        <w:rPr>
          <w:spacing w:val="-3"/>
        </w:rPr>
        <w:t> </w:t>
      </w:r>
      <w:r>
        <w:rPr/>
        <w:t>Humber</w:t>
      </w:r>
      <w:r>
        <w:rPr>
          <w:spacing w:val="-3"/>
        </w:rPr>
        <w:t> </w:t>
      </w:r>
      <w:r>
        <w:rPr/>
        <w:t>region.</w:t>
      </w:r>
      <w:r>
        <w:rPr>
          <w:spacing w:val="-2"/>
        </w:rPr>
        <w:t> </w:t>
      </w:r>
      <w:r>
        <w:rPr/>
        <w:t>We</w:t>
      </w:r>
      <w:r>
        <w:rPr>
          <w:spacing w:val="-2"/>
        </w:rPr>
        <w:t> </w:t>
      </w:r>
      <w:r>
        <w:rPr/>
        <w:t>also</w:t>
      </w:r>
      <w:r>
        <w:rPr>
          <w:spacing w:val="-2"/>
        </w:rPr>
        <w:t> </w:t>
      </w:r>
      <w:r>
        <w:rPr/>
        <w:t>provide education to over 1,000 apprentices annually and provide early years education in our college owned and operated nursery. We also hold Foundation Degree Awarding Powers (FDAP) and educate around 250 undergraduates annually.</w:t>
      </w:r>
    </w:p>
    <w:p>
      <w:pPr>
        <w:pStyle w:val="BodyText"/>
      </w:pPr>
    </w:p>
    <w:p>
      <w:pPr>
        <w:pStyle w:val="BodyText"/>
        <w:ind w:left="852" w:right="1087"/>
        <w:jc w:val="both"/>
      </w:pPr>
      <w:r>
        <w:rPr/>
        <w:t>Review of levels of deprivation and the educational attainment of young people and adults in Hull makes</w:t>
      </w:r>
      <w:r>
        <w:rPr>
          <w:spacing w:val="-4"/>
        </w:rPr>
        <w:t> </w:t>
      </w:r>
      <w:r>
        <w:rPr/>
        <w:t>for</w:t>
      </w:r>
      <w:r>
        <w:rPr>
          <w:spacing w:val="-3"/>
        </w:rPr>
        <w:t> </w:t>
      </w:r>
      <w:r>
        <w:rPr/>
        <w:t>depressing</w:t>
      </w:r>
      <w:r>
        <w:rPr>
          <w:spacing w:val="-4"/>
        </w:rPr>
        <w:t> </w:t>
      </w:r>
      <w:r>
        <w:rPr/>
        <w:t>reading.</w:t>
      </w:r>
      <w:r>
        <w:rPr>
          <w:spacing w:val="-5"/>
        </w:rPr>
        <w:t> </w:t>
      </w:r>
      <w:r>
        <w:rPr/>
        <w:t>The</w:t>
      </w:r>
      <w:r>
        <w:rPr>
          <w:spacing w:val="-4"/>
        </w:rPr>
        <w:t> </w:t>
      </w:r>
      <w:r>
        <w:rPr/>
        <w:t>national</w:t>
      </w:r>
      <w:r>
        <w:rPr>
          <w:spacing w:val="-4"/>
        </w:rPr>
        <w:t> </w:t>
      </w:r>
      <w:r>
        <w:rPr/>
        <w:t>Index</w:t>
      </w:r>
      <w:r>
        <w:rPr>
          <w:spacing w:val="-4"/>
        </w:rPr>
        <w:t> </w:t>
      </w:r>
      <w:r>
        <w:rPr/>
        <w:t>of</w:t>
      </w:r>
      <w:r>
        <w:rPr>
          <w:spacing w:val="-5"/>
        </w:rPr>
        <w:t> </w:t>
      </w:r>
      <w:r>
        <w:rPr/>
        <w:t>Multiple</w:t>
      </w:r>
      <w:r>
        <w:rPr>
          <w:spacing w:val="-6"/>
        </w:rPr>
        <w:t> </w:t>
      </w:r>
      <w:r>
        <w:rPr/>
        <w:t>Deprivation</w:t>
      </w:r>
      <w:r>
        <w:rPr>
          <w:spacing w:val="-6"/>
        </w:rPr>
        <w:t> </w:t>
      </w:r>
      <w:r>
        <w:rPr/>
        <w:t>(IMD)</w:t>
      </w:r>
      <w:r>
        <w:rPr>
          <w:spacing w:val="-4"/>
        </w:rPr>
        <w:t> </w:t>
      </w:r>
      <w:r>
        <w:rPr/>
        <w:t>2019</w:t>
      </w:r>
      <w:r>
        <w:rPr>
          <w:spacing w:val="-6"/>
        </w:rPr>
        <w:t> </w:t>
      </w:r>
      <w:r>
        <w:rPr/>
        <w:t>shows</w:t>
      </w:r>
      <w:r>
        <w:rPr>
          <w:spacing w:val="-4"/>
        </w:rPr>
        <w:t> </w:t>
      </w:r>
      <w:r>
        <w:rPr/>
        <w:t>that</w:t>
      </w:r>
      <w:r>
        <w:rPr>
          <w:spacing w:val="-4"/>
        </w:rPr>
        <w:t> </w:t>
      </w:r>
      <w:r>
        <w:rPr/>
        <w:t>of Hull’s lower super output areas (LSOAs) 45.2% are ranked in decile 1, the most deprived 10% of LSOAs in</w:t>
      </w:r>
      <w:r>
        <w:rPr>
          <w:spacing w:val="-2"/>
        </w:rPr>
        <w:t> </w:t>
      </w:r>
      <w:r>
        <w:rPr/>
        <w:t>England.</w:t>
      </w:r>
      <w:r>
        <w:rPr>
          <w:spacing w:val="-2"/>
        </w:rPr>
        <w:t> </w:t>
      </w:r>
      <w:r>
        <w:rPr/>
        <w:t>13,664 (26.4%)</w:t>
      </w:r>
      <w:r>
        <w:rPr>
          <w:spacing w:val="-1"/>
        </w:rPr>
        <w:t> </w:t>
      </w:r>
      <w:r>
        <w:rPr/>
        <w:t>of</w:t>
      </w:r>
      <w:r>
        <w:rPr>
          <w:spacing w:val="-2"/>
        </w:rPr>
        <w:t> </w:t>
      </w:r>
      <w:r>
        <w:rPr/>
        <w:t>children</w:t>
      </w:r>
      <w:r>
        <w:rPr>
          <w:spacing w:val="-2"/>
        </w:rPr>
        <w:t> </w:t>
      </w:r>
      <w:r>
        <w:rPr/>
        <w:t>in</w:t>
      </w:r>
      <w:r>
        <w:rPr>
          <w:spacing w:val="-2"/>
        </w:rPr>
        <w:t> </w:t>
      </w:r>
      <w:r>
        <w:rPr/>
        <w:t>Hull live</w:t>
      </w:r>
      <w:r>
        <w:rPr>
          <w:spacing w:val="-2"/>
        </w:rPr>
        <w:t> </w:t>
      </w:r>
      <w:r>
        <w:rPr/>
        <w:t>in</w:t>
      </w:r>
      <w:r>
        <w:rPr>
          <w:spacing w:val="-2"/>
        </w:rPr>
        <w:t> </w:t>
      </w:r>
      <w:r>
        <w:rPr/>
        <w:t>families with</w:t>
      </w:r>
      <w:r>
        <w:rPr>
          <w:spacing w:val="-2"/>
        </w:rPr>
        <w:t> </w:t>
      </w:r>
      <w:r>
        <w:rPr/>
        <w:t>absolute low</w:t>
      </w:r>
      <w:r>
        <w:rPr>
          <w:spacing w:val="-1"/>
        </w:rPr>
        <w:t> </w:t>
      </w:r>
      <w:r>
        <w:rPr/>
        <w:t>income</w:t>
      </w:r>
      <w:r>
        <w:rPr>
          <w:spacing w:val="-2"/>
        </w:rPr>
        <w:t> </w:t>
      </w:r>
      <w:r>
        <w:rPr/>
        <w:t>and 15,880 (30.7%) live in families with relative low income. This compares to national rates of 15.3% and 18.4%. Simply put nearly half of the city’s communities are the most deprived in England and more than a half of children live in families with absolute or relatively low income.</w:t>
      </w:r>
    </w:p>
    <w:p>
      <w:pPr>
        <w:pStyle w:val="BodyText"/>
        <w:spacing w:before="229"/>
        <w:ind w:left="852" w:right="1084"/>
        <w:jc w:val="both"/>
      </w:pPr>
      <w:r>
        <w:rPr/>
        <w:t>At</w:t>
      </w:r>
      <w:r>
        <w:rPr>
          <w:spacing w:val="-5"/>
        </w:rPr>
        <w:t> </w:t>
      </w:r>
      <w:r>
        <w:rPr/>
        <w:t>age</w:t>
      </w:r>
      <w:r>
        <w:rPr>
          <w:spacing w:val="-3"/>
        </w:rPr>
        <w:t> </w:t>
      </w:r>
      <w:r>
        <w:rPr/>
        <w:t>19,</w:t>
      </w:r>
      <w:r>
        <w:rPr>
          <w:spacing w:val="-5"/>
        </w:rPr>
        <w:t> </w:t>
      </w:r>
      <w:r>
        <w:rPr/>
        <w:t>the</w:t>
      </w:r>
      <w:r>
        <w:rPr>
          <w:spacing w:val="-3"/>
        </w:rPr>
        <w:t> </w:t>
      </w:r>
      <w:r>
        <w:rPr/>
        <w:t>number</w:t>
      </w:r>
      <w:r>
        <w:rPr>
          <w:spacing w:val="-4"/>
        </w:rPr>
        <w:t> </w:t>
      </w:r>
      <w:r>
        <w:rPr/>
        <w:t>of</w:t>
      </w:r>
      <w:r>
        <w:rPr>
          <w:spacing w:val="-5"/>
        </w:rPr>
        <w:t> </w:t>
      </w:r>
      <w:r>
        <w:rPr/>
        <w:t>young</w:t>
      </w:r>
      <w:r>
        <w:rPr>
          <w:spacing w:val="-3"/>
        </w:rPr>
        <w:t> </w:t>
      </w:r>
      <w:r>
        <w:rPr/>
        <w:t>people</w:t>
      </w:r>
      <w:r>
        <w:rPr>
          <w:spacing w:val="-6"/>
        </w:rPr>
        <w:t> </w:t>
      </w:r>
      <w:r>
        <w:rPr/>
        <w:t>achieving</w:t>
      </w:r>
      <w:r>
        <w:rPr>
          <w:spacing w:val="-6"/>
        </w:rPr>
        <w:t> </w:t>
      </w:r>
      <w:r>
        <w:rPr/>
        <w:t>a</w:t>
      </w:r>
      <w:r>
        <w:rPr>
          <w:spacing w:val="-3"/>
        </w:rPr>
        <w:t> </w:t>
      </w:r>
      <w:r>
        <w:rPr/>
        <w:t>level</w:t>
      </w:r>
      <w:r>
        <w:rPr>
          <w:spacing w:val="-6"/>
        </w:rPr>
        <w:t> </w:t>
      </w:r>
      <w:r>
        <w:rPr/>
        <w:t>3</w:t>
      </w:r>
      <w:r>
        <w:rPr>
          <w:spacing w:val="-3"/>
        </w:rPr>
        <w:t> </w:t>
      </w:r>
      <w:r>
        <w:rPr/>
        <w:t>qualification</w:t>
      </w:r>
      <w:r>
        <w:rPr>
          <w:spacing w:val="-6"/>
        </w:rPr>
        <w:t> </w:t>
      </w:r>
      <w:r>
        <w:rPr/>
        <w:t>lags</w:t>
      </w:r>
      <w:r>
        <w:rPr>
          <w:spacing w:val="-4"/>
        </w:rPr>
        <w:t> </w:t>
      </w:r>
      <w:r>
        <w:rPr/>
        <w:t>12.6%</w:t>
      </w:r>
      <w:r>
        <w:rPr>
          <w:spacing w:val="-5"/>
        </w:rPr>
        <w:t> </w:t>
      </w:r>
      <w:r>
        <w:rPr/>
        <w:t>behind</w:t>
      </w:r>
      <w:r>
        <w:rPr>
          <w:spacing w:val="-6"/>
        </w:rPr>
        <w:t> </w:t>
      </w:r>
      <w:r>
        <w:rPr/>
        <w:t>national rates and 8.2% behind the rate for Yorkshire and Humberside. At level 2 young people fall 5.6% behind national rates and 2.9% behind Yorkshire and Humberside. In these measures, Hull is ranked</w:t>
      </w:r>
      <w:r>
        <w:rPr>
          <w:spacing w:val="-8"/>
        </w:rPr>
        <w:t> </w:t>
      </w:r>
      <w:r>
        <w:rPr/>
        <w:t>146</w:t>
      </w:r>
      <w:r>
        <w:rPr>
          <w:spacing w:val="-6"/>
        </w:rPr>
        <w:t> </w:t>
      </w:r>
      <w:r>
        <w:rPr/>
        <w:t>out</w:t>
      </w:r>
      <w:r>
        <w:rPr>
          <w:spacing w:val="-5"/>
        </w:rPr>
        <w:t> </w:t>
      </w:r>
      <w:r>
        <w:rPr/>
        <w:t>of</w:t>
      </w:r>
      <w:r>
        <w:rPr>
          <w:spacing w:val="-8"/>
        </w:rPr>
        <w:t> </w:t>
      </w:r>
      <w:r>
        <w:rPr/>
        <w:t>150</w:t>
      </w:r>
      <w:r>
        <w:rPr>
          <w:spacing w:val="-6"/>
        </w:rPr>
        <w:t> </w:t>
      </w:r>
      <w:r>
        <w:rPr/>
        <w:t>local</w:t>
      </w:r>
      <w:r>
        <w:rPr>
          <w:spacing w:val="-4"/>
        </w:rPr>
        <w:t> </w:t>
      </w:r>
      <w:r>
        <w:rPr/>
        <w:t>authorities</w:t>
      </w:r>
      <w:r>
        <w:rPr>
          <w:spacing w:val="-6"/>
        </w:rPr>
        <w:t> </w:t>
      </w:r>
      <w:r>
        <w:rPr/>
        <w:t>in</w:t>
      </w:r>
      <w:r>
        <w:rPr>
          <w:spacing w:val="-8"/>
        </w:rPr>
        <w:t> </w:t>
      </w:r>
      <w:r>
        <w:rPr/>
        <w:t>England</w:t>
      </w:r>
      <w:r>
        <w:rPr>
          <w:spacing w:val="-8"/>
        </w:rPr>
        <w:t> </w:t>
      </w:r>
      <w:r>
        <w:rPr/>
        <w:t>for</w:t>
      </w:r>
      <w:r>
        <w:rPr>
          <w:spacing w:val="-4"/>
        </w:rPr>
        <w:t> </w:t>
      </w:r>
      <w:r>
        <w:rPr/>
        <w:t>level</w:t>
      </w:r>
      <w:r>
        <w:rPr>
          <w:spacing w:val="-9"/>
        </w:rPr>
        <w:t> </w:t>
      </w:r>
      <w:r>
        <w:rPr/>
        <w:t>3</w:t>
      </w:r>
      <w:r>
        <w:rPr>
          <w:spacing w:val="-6"/>
        </w:rPr>
        <w:t> </w:t>
      </w:r>
      <w:r>
        <w:rPr/>
        <w:t>attainment</w:t>
      </w:r>
      <w:r>
        <w:rPr>
          <w:spacing w:val="-5"/>
        </w:rPr>
        <w:t> </w:t>
      </w:r>
      <w:r>
        <w:rPr/>
        <w:t>and</w:t>
      </w:r>
      <w:r>
        <w:rPr>
          <w:spacing w:val="-8"/>
        </w:rPr>
        <w:t> </w:t>
      </w:r>
      <w:r>
        <w:rPr/>
        <w:t>131</w:t>
      </w:r>
      <w:r>
        <w:rPr>
          <w:spacing w:val="-8"/>
        </w:rPr>
        <w:t> </w:t>
      </w:r>
      <w:r>
        <w:rPr/>
        <w:t>out</w:t>
      </w:r>
      <w:r>
        <w:rPr>
          <w:spacing w:val="-8"/>
        </w:rPr>
        <w:t> </w:t>
      </w:r>
      <w:r>
        <w:rPr/>
        <w:t>of</w:t>
      </w:r>
      <w:r>
        <w:rPr>
          <w:spacing w:val="-8"/>
        </w:rPr>
        <w:t> </w:t>
      </w:r>
      <w:r>
        <w:rPr/>
        <w:t>150</w:t>
      </w:r>
      <w:r>
        <w:rPr>
          <w:spacing w:val="-8"/>
        </w:rPr>
        <w:t> </w:t>
      </w:r>
      <w:r>
        <w:rPr/>
        <w:t>for</w:t>
      </w:r>
      <w:r>
        <w:rPr>
          <w:spacing w:val="-7"/>
        </w:rPr>
        <w:t> </w:t>
      </w:r>
      <w:r>
        <w:rPr/>
        <w:t>level </w:t>
      </w:r>
      <w:r>
        <w:rPr>
          <w:spacing w:val="-6"/>
        </w:rPr>
        <w:t>2.</w:t>
      </w:r>
    </w:p>
    <w:p>
      <w:pPr>
        <w:pStyle w:val="BodyText"/>
        <w:spacing w:after="0"/>
        <w:jc w:val="both"/>
        <w:sectPr>
          <w:headerReference w:type="default" r:id="rId8"/>
          <w:footerReference w:type="default" r:id="rId9"/>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Public</w:t>
      </w:r>
      <w:r>
        <w:rPr>
          <w:b/>
          <w:spacing w:val="-3"/>
          <w:sz w:val="24"/>
        </w:rPr>
        <w:t> </w:t>
      </w:r>
      <w:r>
        <w:rPr>
          <w:b/>
          <w:sz w:val="24"/>
        </w:rPr>
        <w:t>benefit</w:t>
      </w:r>
      <w:r>
        <w:rPr>
          <w:b/>
          <w:spacing w:val="-4"/>
          <w:sz w:val="24"/>
        </w:rPr>
        <w:t> </w:t>
      </w:r>
      <w:r>
        <w:rPr>
          <w:b/>
          <w:spacing w:val="-2"/>
          <w:sz w:val="24"/>
        </w:rPr>
        <w:t>(continued)</w:t>
      </w:r>
    </w:p>
    <w:p>
      <w:pPr>
        <w:pStyle w:val="BodyText"/>
        <w:spacing w:before="230"/>
        <w:ind w:left="852" w:right="1088"/>
        <w:jc w:val="both"/>
      </w:pPr>
      <w:r>
        <w:rPr/>
        <w:t>Inevitably,</w:t>
      </w:r>
      <w:r>
        <w:rPr>
          <w:spacing w:val="-4"/>
        </w:rPr>
        <w:t> </w:t>
      </w:r>
      <w:r>
        <w:rPr/>
        <w:t>the</w:t>
      </w:r>
      <w:r>
        <w:rPr>
          <w:spacing w:val="-2"/>
        </w:rPr>
        <w:t> </w:t>
      </w:r>
      <w:r>
        <w:rPr/>
        <w:t>attainment</w:t>
      </w:r>
      <w:r>
        <w:rPr>
          <w:spacing w:val="-2"/>
        </w:rPr>
        <w:t> </w:t>
      </w:r>
      <w:r>
        <w:rPr/>
        <w:t>of</w:t>
      </w:r>
      <w:r>
        <w:rPr>
          <w:spacing w:val="-2"/>
        </w:rPr>
        <w:t> </w:t>
      </w:r>
      <w:r>
        <w:rPr/>
        <w:t>adults</w:t>
      </w:r>
      <w:r>
        <w:rPr>
          <w:spacing w:val="-3"/>
        </w:rPr>
        <w:t> </w:t>
      </w:r>
      <w:r>
        <w:rPr/>
        <w:t>at</w:t>
      </w:r>
      <w:r>
        <w:rPr>
          <w:spacing w:val="-2"/>
        </w:rPr>
        <w:t> </w:t>
      </w:r>
      <w:r>
        <w:rPr/>
        <w:t>higher</w:t>
      </w:r>
      <w:r>
        <w:rPr>
          <w:spacing w:val="-1"/>
        </w:rPr>
        <w:t> </w:t>
      </w:r>
      <w:r>
        <w:rPr/>
        <w:t>levels,</w:t>
      </w:r>
      <w:r>
        <w:rPr>
          <w:spacing w:val="-2"/>
        </w:rPr>
        <w:t> </w:t>
      </w:r>
      <w:r>
        <w:rPr/>
        <w:t>level</w:t>
      </w:r>
      <w:r>
        <w:rPr>
          <w:spacing w:val="-5"/>
        </w:rPr>
        <w:t> </w:t>
      </w:r>
      <w:r>
        <w:rPr/>
        <w:t>4</w:t>
      </w:r>
      <w:r>
        <w:rPr>
          <w:spacing w:val="-2"/>
        </w:rPr>
        <w:t> </w:t>
      </w:r>
      <w:r>
        <w:rPr/>
        <w:t>and</w:t>
      </w:r>
      <w:r>
        <w:rPr>
          <w:spacing w:val="-2"/>
        </w:rPr>
        <w:t> </w:t>
      </w:r>
      <w:r>
        <w:rPr/>
        <w:t>above,</w:t>
      </w:r>
      <w:r>
        <w:rPr>
          <w:spacing w:val="-4"/>
        </w:rPr>
        <w:t> </w:t>
      </w:r>
      <w:r>
        <w:rPr/>
        <w:t>is</w:t>
      </w:r>
      <w:r>
        <w:rPr>
          <w:spacing w:val="-3"/>
        </w:rPr>
        <w:t> </w:t>
      </w:r>
      <w:r>
        <w:rPr/>
        <w:t>weak.</w:t>
      </w:r>
      <w:r>
        <w:rPr>
          <w:spacing w:val="-4"/>
        </w:rPr>
        <w:t> </w:t>
      </w:r>
      <w:r>
        <w:rPr/>
        <w:t>Currently</w:t>
      </w:r>
      <w:r>
        <w:rPr>
          <w:spacing w:val="-3"/>
        </w:rPr>
        <w:t> </w:t>
      </w:r>
      <w:r>
        <w:rPr/>
        <w:t>only</w:t>
      </w:r>
      <w:r>
        <w:rPr>
          <w:spacing w:val="-3"/>
        </w:rPr>
        <w:t> </w:t>
      </w:r>
      <w:r>
        <w:rPr/>
        <w:t>33% of Hull &amp; East Riding residents hold a qualification at Level 4 and above compared with 43% nationally. The proportion is particularly low in Hull at 23%.</w:t>
      </w:r>
    </w:p>
    <w:p>
      <w:pPr>
        <w:pStyle w:val="BodyText"/>
        <w:spacing w:before="229"/>
        <w:ind w:left="852" w:right="1088"/>
        <w:jc w:val="both"/>
      </w:pPr>
      <w:r>
        <w:rPr>
          <w:color w:val="232323"/>
        </w:rPr>
        <w:t>Over 70% of all the College’s learners are from areas with the highest levels of deprivation. The College’s</w:t>
      </w:r>
      <w:r>
        <w:rPr>
          <w:color w:val="232323"/>
          <w:spacing w:val="-5"/>
        </w:rPr>
        <w:t> </w:t>
      </w:r>
      <w:r>
        <w:rPr>
          <w:color w:val="232323"/>
        </w:rPr>
        <w:t>technical</w:t>
      </w:r>
      <w:r>
        <w:rPr>
          <w:color w:val="232323"/>
          <w:spacing w:val="-5"/>
        </w:rPr>
        <w:t> </w:t>
      </w:r>
      <w:r>
        <w:rPr>
          <w:color w:val="232323"/>
        </w:rPr>
        <w:t>and</w:t>
      </w:r>
      <w:r>
        <w:rPr>
          <w:color w:val="232323"/>
          <w:spacing w:val="-4"/>
        </w:rPr>
        <w:t> </w:t>
      </w:r>
      <w:r>
        <w:rPr>
          <w:color w:val="232323"/>
        </w:rPr>
        <w:t>inclusive</w:t>
      </w:r>
      <w:r>
        <w:rPr>
          <w:color w:val="232323"/>
          <w:spacing w:val="-7"/>
        </w:rPr>
        <w:t> </w:t>
      </w:r>
      <w:r>
        <w:rPr>
          <w:color w:val="232323"/>
        </w:rPr>
        <w:t>provision</w:t>
      </w:r>
      <w:r>
        <w:rPr>
          <w:color w:val="232323"/>
          <w:spacing w:val="-7"/>
        </w:rPr>
        <w:t> </w:t>
      </w:r>
      <w:r>
        <w:rPr>
          <w:color w:val="232323"/>
        </w:rPr>
        <w:t>seeks</w:t>
      </w:r>
      <w:r>
        <w:rPr>
          <w:color w:val="232323"/>
          <w:spacing w:val="-5"/>
        </w:rPr>
        <w:t> </w:t>
      </w:r>
      <w:r>
        <w:rPr>
          <w:color w:val="232323"/>
        </w:rPr>
        <w:t>to</w:t>
      </w:r>
      <w:r>
        <w:rPr>
          <w:color w:val="232323"/>
          <w:spacing w:val="-7"/>
        </w:rPr>
        <w:t> </w:t>
      </w:r>
      <w:r>
        <w:rPr>
          <w:color w:val="232323"/>
        </w:rPr>
        <w:t>provide</w:t>
      </w:r>
      <w:r>
        <w:rPr>
          <w:color w:val="232323"/>
          <w:spacing w:val="-4"/>
        </w:rPr>
        <w:t> </w:t>
      </w:r>
      <w:r>
        <w:rPr>
          <w:color w:val="232323"/>
        </w:rPr>
        <w:t>young</w:t>
      </w:r>
      <w:r>
        <w:rPr>
          <w:color w:val="232323"/>
          <w:spacing w:val="-4"/>
        </w:rPr>
        <w:t> </w:t>
      </w:r>
      <w:r>
        <w:rPr>
          <w:color w:val="232323"/>
        </w:rPr>
        <w:t>people</w:t>
      </w:r>
      <w:r>
        <w:rPr>
          <w:color w:val="232323"/>
          <w:spacing w:val="-4"/>
        </w:rPr>
        <w:t> </w:t>
      </w:r>
      <w:r>
        <w:rPr>
          <w:color w:val="232323"/>
        </w:rPr>
        <w:t>and</w:t>
      </w:r>
      <w:r>
        <w:rPr>
          <w:color w:val="232323"/>
          <w:spacing w:val="-4"/>
        </w:rPr>
        <w:t> </w:t>
      </w:r>
      <w:r>
        <w:rPr>
          <w:color w:val="232323"/>
        </w:rPr>
        <w:t>adults</w:t>
      </w:r>
      <w:r>
        <w:rPr>
          <w:color w:val="232323"/>
          <w:spacing w:val="-5"/>
        </w:rPr>
        <w:t> </w:t>
      </w:r>
      <w:r>
        <w:rPr>
          <w:color w:val="232323"/>
        </w:rPr>
        <w:t>with</w:t>
      </w:r>
      <w:r>
        <w:rPr>
          <w:color w:val="232323"/>
          <w:spacing w:val="-4"/>
        </w:rPr>
        <w:t> </w:t>
      </w:r>
      <w:r>
        <w:rPr>
          <w:color w:val="232323"/>
        </w:rPr>
        <w:t>the</w:t>
      </w:r>
      <w:r>
        <w:rPr>
          <w:color w:val="232323"/>
          <w:spacing w:val="-6"/>
        </w:rPr>
        <w:t> </w:t>
      </w:r>
      <w:r>
        <w:rPr>
          <w:color w:val="232323"/>
        </w:rPr>
        <w:t>skills and knowledge they need to succeed in a changing world and to help lift them from deprivation.</w:t>
      </w:r>
    </w:p>
    <w:p>
      <w:pPr>
        <w:pStyle w:val="BodyText"/>
        <w:spacing w:before="2"/>
      </w:pPr>
    </w:p>
    <w:p>
      <w:pPr>
        <w:pStyle w:val="BodyText"/>
        <w:ind w:left="852" w:right="1089"/>
        <w:jc w:val="both"/>
      </w:pPr>
      <w:r>
        <w:rPr>
          <w:color w:val="232323"/>
        </w:rPr>
        <w:t>The College is inherently, in its mission and in everything it does, an organisation providing public </w:t>
      </w:r>
      <w:r>
        <w:rPr>
          <w:color w:val="232323"/>
          <w:spacing w:val="-2"/>
        </w:rPr>
        <w:t>benefit.</w:t>
      </w:r>
    </w:p>
    <w:p>
      <w:pPr>
        <w:pStyle w:val="BodyText"/>
        <w:spacing w:before="229"/>
        <w:ind w:left="852" w:right="1087"/>
        <w:jc w:val="both"/>
      </w:pPr>
      <w:r>
        <w:rPr>
          <w:color w:val="232323"/>
        </w:rPr>
        <w:t>In delivering its mission, the College provides the following identifiable public benefits through the advancement of education:</w:t>
      </w:r>
    </w:p>
    <w:p>
      <w:pPr>
        <w:pStyle w:val="BodyText"/>
        <w:spacing w:before="2"/>
      </w:pPr>
    </w:p>
    <w:p>
      <w:pPr>
        <w:pStyle w:val="ListParagraph"/>
        <w:numPr>
          <w:ilvl w:val="0"/>
          <w:numId w:val="1"/>
        </w:numPr>
        <w:tabs>
          <w:tab w:pos="1572" w:val="left" w:leader="none"/>
        </w:tabs>
        <w:spacing w:line="268" w:lineRule="auto" w:before="0" w:after="0"/>
        <w:ind w:left="1572" w:right="1087" w:hanging="360"/>
        <w:jc w:val="left"/>
        <w:rPr>
          <w:rFonts w:ascii="Symbol" w:hAnsi="Symbol"/>
          <w:color w:val="232323"/>
          <w:sz w:val="20"/>
        </w:rPr>
      </w:pPr>
      <w:r>
        <w:rPr>
          <w:color w:val="232323"/>
          <w:sz w:val="20"/>
        </w:rPr>
        <w:t>Delivering</w:t>
      </w:r>
      <w:r>
        <w:rPr>
          <w:color w:val="232323"/>
          <w:spacing w:val="40"/>
          <w:sz w:val="20"/>
        </w:rPr>
        <w:t> </w:t>
      </w:r>
      <w:r>
        <w:rPr>
          <w:color w:val="232323"/>
          <w:sz w:val="20"/>
        </w:rPr>
        <w:t>high</w:t>
      </w:r>
      <w:r>
        <w:rPr>
          <w:color w:val="232323"/>
          <w:spacing w:val="40"/>
          <w:sz w:val="20"/>
        </w:rPr>
        <w:t> </w:t>
      </w:r>
      <w:r>
        <w:rPr>
          <w:color w:val="232323"/>
          <w:sz w:val="20"/>
        </w:rPr>
        <w:t>quality</w:t>
      </w:r>
      <w:r>
        <w:rPr>
          <w:color w:val="232323"/>
          <w:spacing w:val="40"/>
          <w:sz w:val="20"/>
        </w:rPr>
        <w:t> </w:t>
      </w:r>
      <w:r>
        <w:rPr>
          <w:color w:val="232323"/>
          <w:sz w:val="20"/>
        </w:rPr>
        <w:t>teaching,</w:t>
      </w:r>
      <w:r>
        <w:rPr>
          <w:color w:val="232323"/>
          <w:spacing w:val="40"/>
          <w:sz w:val="20"/>
        </w:rPr>
        <w:t> </w:t>
      </w:r>
      <w:r>
        <w:rPr>
          <w:color w:val="232323"/>
          <w:sz w:val="20"/>
        </w:rPr>
        <w:t>learning,</w:t>
      </w:r>
      <w:r>
        <w:rPr>
          <w:color w:val="232323"/>
          <w:spacing w:val="40"/>
          <w:sz w:val="20"/>
        </w:rPr>
        <w:t> </w:t>
      </w:r>
      <w:r>
        <w:rPr>
          <w:color w:val="232323"/>
          <w:sz w:val="20"/>
        </w:rPr>
        <w:t>assessment</w:t>
      </w:r>
      <w:r>
        <w:rPr>
          <w:color w:val="232323"/>
          <w:spacing w:val="40"/>
          <w:sz w:val="20"/>
        </w:rPr>
        <w:t> </w:t>
      </w:r>
      <w:r>
        <w:rPr>
          <w:color w:val="232323"/>
          <w:sz w:val="20"/>
        </w:rPr>
        <w:t>and</w:t>
      </w:r>
      <w:r>
        <w:rPr>
          <w:color w:val="232323"/>
          <w:spacing w:val="40"/>
          <w:sz w:val="20"/>
        </w:rPr>
        <w:t> </w:t>
      </w:r>
      <w:r>
        <w:rPr>
          <w:color w:val="232323"/>
          <w:sz w:val="20"/>
        </w:rPr>
        <w:t>support;</w:t>
      </w:r>
      <w:r>
        <w:rPr>
          <w:color w:val="232323"/>
          <w:spacing w:val="40"/>
          <w:sz w:val="20"/>
        </w:rPr>
        <w:t> </w:t>
      </w:r>
      <w:r>
        <w:rPr>
          <w:color w:val="232323"/>
          <w:sz w:val="20"/>
        </w:rPr>
        <w:t>with</w:t>
      </w:r>
      <w:r>
        <w:rPr>
          <w:color w:val="232323"/>
          <w:spacing w:val="40"/>
          <w:sz w:val="20"/>
        </w:rPr>
        <w:t> </w:t>
      </w:r>
      <w:r>
        <w:rPr>
          <w:color w:val="232323"/>
          <w:sz w:val="20"/>
        </w:rPr>
        <w:t>a</w:t>
      </w:r>
      <w:r>
        <w:rPr>
          <w:color w:val="232323"/>
          <w:spacing w:val="40"/>
          <w:sz w:val="20"/>
        </w:rPr>
        <w:t> </w:t>
      </w:r>
      <w:r>
        <w:rPr>
          <w:color w:val="232323"/>
          <w:sz w:val="20"/>
        </w:rPr>
        <w:t>place</w:t>
      </w:r>
      <w:r>
        <w:rPr>
          <w:color w:val="232323"/>
          <w:spacing w:val="40"/>
          <w:sz w:val="20"/>
        </w:rPr>
        <w:t> </w:t>
      </w:r>
      <w:r>
        <w:rPr>
          <w:color w:val="232323"/>
          <w:sz w:val="20"/>
        </w:rPr>
        <w:t>for everyone, regardless of their educational background;</w:t>
      </w:r>
    </w:p>
    <w:p>
      <w:pPr>
        <w:pStyle w:val="ListParagraph"/>
        <w:numPr>
          <w:ilvl w:val="0"/>
          <w:numId w:val="1"/>
        </w:numPr>
        <w:tabs>
          <w:tab w:pos="1572" w:val="left" w:leader="none"/>
        </w:tabs>
        <w:spacing w:line="268" w:lineRule="auto" w:before="10" w:after="0"/>
        <w:ind w:left="1572" w:right="1087" w:hanging="360"/>
        <w:jc w:val="left"/>
        <w:rPr>
          <w:rFonts w:ascii="Symbol" w:hAnsi="Symbol"/>
          <w:color w:val="232323"/>
          <w:sz w:val="20"/>
        </w:rPr>
      </w:pPr>
      <w:r>
        <w:rPr>
          <w:color w:val="232323"/>
          <w:sz w:val="20"/>
        </w:rPr>
        <w:t>Producing</w:t>
      </w:r>
      <w:r>
        <w:rPr>
          <w:color w:val="232323"/>
          <w:spacing w:val="-14"/>
          <w:sz w:val="20"/>
        </w:rPr>
        <w:t> </w:t>
      </w:r>
      <w:r>
        <w:rPr>
          <w:color w:val="232323"/>
          <w:sz w:val="20"/>
        </w:rPr>
        <w:t>learners</w:t>
      </w:r>
      <w:r>
        <w:rPr>
          <w:color w:val="232323"/>
          <w:spacing w:val="-14"/>
          <w:sz w:val="20"/>
        </w:rPr>
        <w:t> </w:t>
      </w:r>
      <w:r>
        <w:rPr>
          <w:color w:val="232323"/>
          <w:sz w:val="20"/>
        </w:rPr>
        <w:t>who</w:t>
      </w:r>
      <w:r>
        <w:rPr>
          <w:color w:val="232323"/>
          <w:spacing w:val="-14"/>
          <w:sz w:val="20"/>
        </w:rPr>
        <w:t> </w:t>
      </w:r>
      <w:r>
        <w:rPr>
          <w:color w:val="232323"/>
          <w:sz w:val="20"/>
        </w:rPr>
        <w:t>are</w:t>
      </w:r>
      <w:r>
        <w:rPr>
          <w:color w:val="232323"/>
          <w:spacing w:val="-14"/>
          <w:sz w:val="20"/>
        </w:rPr>
        <w:t> </w:t>
      </w:r>
      <w:r>
        <w:rPr>
          <w:color w:val="232323"/>
          <w:sz w:val="20"/>
        </w:rPr>
        <w:t>successful</w:t>
      </w:r>
      <w:r>
        <w:rPr>
          <w:color w:val="232323"/>
          <w:spacing w:val="-14"/>
          <w:sz w:val="20"/>
        </w:rPr>
        <w:t> </w:t>
      </w:r>
      <w:r>
        <w:rPr>
          <w:color w:val="232323"/>
          <w:sz w:val="20"/>
        </w:rPr>
        <w:t>and</w:t>
      </w:r>
      <w:r>
        <w:rPr>
          <w:color w:val="232323"/>
          <w:spacing w:val="-14"/>
          <w:sz w:val="20"/>
        </w:rPr>
        <w:t> </w:t>
      </w:r>
      <w:r>
        <w:rPr>
          <w:color w:val="232323"/>
          <w:sz w:val="20"/>
        </w:rPr>
        <w:t>grow</w:t>
      </w:r>
      <w:r>
        <w:rPr>
          <w:color w:val="232323"/>
          <w:spacing w:val="-14"/>
          <w:sz w:val="20"/>
        </w:rPr>
        <w:t> </w:t>
      </w:r>
      <w:r>
        <w:rPr>
          <w:color w:val="232323"/>
          <w:sz w:val="20"/>
        </w:rPr>
        <w:t>in</w:t>
      </w:r>
      <w:r>
        <w:rPr>
          <w:color w:val="232323"/>
          <w:spacing w:val="-14"/>
          <w:sz w:val="20"/>
        </w:rPr>
        <w:t> </w:t>
      </w:r>
      <w:r>
        <w:rPr>
          <w:color w:val="232323"/>
          <w:sz w:val="20"/>
        </w:rPr>
        <w:t>confidence;</w:t>
      </w:r>
      <w:r>
        <w:rPr>
          <w:color w:val="232323"/>
          <w:spacing w:val="-14"/>
          <w:sz w:val="20"/>
        </w:rPr>
        <w:t> </w:t>
      </w:r>
      <w:r>
        <w:rPr>
          <w:color w:val="232323"/>
          <w:sz w:val="20"/>
        </w:rPr>
        <w:t>providing</w:t>
      </w:r>
      <w:r>
        <w:rPr>
          <w:color w:val="232323"/>
          <w:spacing w:val="-14"/>
          <w:sz w:val="20"/>
        </w:rPr>
        <w:t> </w:t>
      </w:r>
      <w:r>
        <w:rPr>
          <w:color w:val="232323"/>
          <w:sz w:val="20"/>
        </w:rPr>
        <w:t>additional</w:t>
      </w:r>
      <w:r>
        <w:rPr>
          <w:color w:val="232323"/>
          <w:spacing w:val="-13"/>
          <w:sz w:val="20"/>
        </w:rPr>
        <w:t> </w:t>
      </w:r>
      <w:r>
        <w:rPr>
          <w:color w:val="232323"/>
          <w:sz w:val="20"/>
        </w:rPr>
        <w:t>support to those who need it;</w:t>
      </w:r>
    </w:p>
    <w:p>
      <w:pPr>
        <w:pStyle w:val="ListParagraph"/>
        <w:numPr>
          <w:ilvl w:val="0"/>
          <w:numId w:val="1"/>
        </w:numPr>
        <w:tabs>
          <w:tab w:pos="1572" w:val="left" w:leader="none"/>
        </w:tabs>
        <w:spacing w:line="268" w:lineRule="auto" w:before="11" w:after="0"/>
        <w:ind w:left="1572" w:right="1085" w:hanging="360"/>
        <w:jc w:val="left"/>
        <w:rPr>
          <w:rFonts w:ascii="Symbol" w:hAnsi="Symbol"/>
          <w:color w:val="232323"/>
          <w:sz w:val="20"/>
        </w:rPr>
      </w:pPr>
      <w:r>
        <w:rPr>
          <w:color w:val="232323"/>
          <w:sz w:val="20"/>
        </w:rPr>
        <w:t>Providing information, advice &amp; guidance and developing students to secure sustainable </w:t>
      </w:r>
      <w:r>
        <w:rPr>
          <w:color w:val="232323"/>
          <w:spacing w:val="-2"/>
          <w:sz w:val="20"/>
        </w:rPr>
        <w:t>employment;</w:t>
      </w:r>
    </w:p>
    <w:p>
      <w:pPr>
        <w:pStyle w:val="ListParagraph"/>
        <w:numPr>
          <w:ilvl w:val="0"/>
          <w:numId w:val="1"/>
        </w:numPr>
        <w:tabs>
          <w:tab w:pos="1572" w:val="left" w:leader="none"/>
        </w:tabs>
        <w:spacing w:line="268" w:lineRule="auto" w:before="10" w:after="0"/>
        <w:ind w:left="1572" w:right="1091" w:hanging="360"/>
        <w:jc w:val="left"/>
        <w:rPr>
          <w:rFonts w:ascii="Symbol" w:hAnsi="Symbol"/>
          <w:color w:val="232323"/>
          <w:sz w:val="20"/>
        </w:rPr>
      </w:pPr>
      <w:r>
        <w:rPr>
          <w:color w:val="232323"/>
          <w:sz w:val="20"/>
        </w:rPr>
        <w:t>Supporting the development of new skills and knowledge to meet the needs of emerging and growth sectors, via a Market Driven curriculum;</w:t>
      </w:r>
    </w:p>
    <w:p>
      <w:pPr>
        <w:pStyle w:val="ListParagraph"/>
        <w:numPr>
          <w:ilvl w:val="0"/>
          <w:numId w:val="1"/>
        </w:numPr>
        <w:tabs>
          <w:tab w:pos="1572" w:val="left" w:leader="none"/>
        </w:tabs>
        <w:spacing w:line="271" w:lineRule="auto" w:before="10" w:after="0"/>
        <w:ind w:left="1572" w:right="1085" w:hanging="360"/>
        <w:jc w:val="left"/>
        <w:rPr>
          <w:rFonts w:ascii="Symbol" w:hAnsi="Symbol"/>
          <w:color w:val="232323"/>
          <w:sz w:val="20"/>
        </w:rPr>
      </w:pPr>
      <w:r>
        <w:rPr>
          <w:color w:val="232323"/>
          <w:sz w:val="20"/>
        </w:rPr>
        <w:t>Promoting a culture of safety, inclusivity, and respect where every individual matters and providing an environment where everyone feels safe;</w:t>
      </w:r>
    </w:p>
    <w:p>
      <w:pPr>
        <w:pStyle w:val="ListParagraph"/>
        <w:numPr>
          <w:ilvl w:val="0"/>
          <w:numId w:val="1"/>
        </w:numPr>
        <w:tabs>
          <w:tab w:pos="1572" w:val="left" w:leader="none"/>
        </w:tabs>
        <w:spacing w:line="240" w:lineRule="auto" w:before="6" w:after="0"/>
        <w:ind w:left="1572" w:right="0" w:hanging="360"/>
        <w:jc w:val="left"/>
        <w:rPr>
          <w:rFonts w:ascii="Symbol" w:hAnsi="Symbol"/>
          <w:color w:val="232323"/>
          <w:sz w:val="20"/>
        </w:rPr>
      </w:pPr>
      <w:r>
        <w:rPr>
          <w:color w:val="232323"/>
          <w:sz w:val="20"/>
        </w:rPr>
        <w:t>Raising</w:t>
      </w:r>
      <w:r>
        <w:rPr>
          <w:color w:val="232323"/>
          <w:spacing w:val="-6"/>
          <w:sz w:val="20"/>
        </w:rPr>
        <w:t> </w:t>
      </w:r>
      <w:r>
        <w:rPr>
          <w:color w:val="232323"/>
          <w:sz w:val="20"/>
        </w:rPr>
        <w:t>ambitions</w:t>
      </w:r>
      <w:r>
        <w:rPr>
          <w:color w:val="232323"/>
          <w:spacing w:val="-5"/>
          <w:sz w:val="20"/>
        </w:rPr>
        <w:t> </w:t>
      </w:r>
      <w:r>
        <w:rPr>
          <w:color w:val="232323"/>
          <w:sz w:val="20"/>
        </w:rPr>
        <w:t>by</w:t>
      </w:r>
      <w:r>
        <w:rPr>
          <w:color w:val="232323"/>
          <w:spacing w:val="-6"/>
          <w:sz w:val="20"/>
        </w:rPr>
        <w:t> </w:t>
      </w:r>
      <w:r>
        <w:rPr>
          <w:color w:val="232323"/>
          <w:sz w:val="20"/>
        </w:rPr>
        <w:t>challenging</w:t>
      </w:r>
      <w:r>
        <w:rPr>
          <w:color w:val="232323"/>
          <w:spacing w:val="-4"/>
          <w:sz w:val="20"/>
        </w:rPr>
        <w:t> </w:t>
      </w:r>
      <w:r>
        <w:rPr>
          <w:color w:val="232323"/>
          <w:sz w:val="20"/>
        </w:rPr>
        <w:t>learners</w:t>
      </w:r>
      <w:r>
        <w:rPr>
          <w:color w:val="232323"/>
          <w:spacing w:val="-5"/>
          <w:sz w:val="20"/>
        </w:rPr>
        <w:t> </w:t>
      </w:r>
      <w:r>
        <w:rPr>
          <w:color w:val="232323"/>
          <w:sz w:val="20"/>
        </w:rPr>
        <w:t>to</w:t>
      </w:r>
      <w:r>
        <w:rPr>
          <w:color w:val="232323"/>
          <w:spacing w:val="-6"/>
          <w:sz w:val="20"/>
        </w:rPr>
        <w:t> </w:t>
      </w:r>
      <w:r>
        <w:rPr>
          <w:color w:val="232323"/>
          <w:sz w:val="20"/>
        </w:rPr>
        <w:t>be</w:t>
      </w:r>
      <w:r>
        <w:rPr>
          <w:color w:val="232323"/>
          <w:spacing w:val="-6"/>
          <w:sz w:val="20"/>
        </w:rPr>
        <w:t> </w:t>
      </w:r>
      <w:r>
        <w:rPr>
          <w:color w:val="232323"/>
          <w:sz w:val="20"/>
        </w:rPr>
        <w:t>the</w:t>
      </w:r>
      <w:r>
        <w:rPr>
          <w:color w:val="232323"/>
          <w:spacing w:val="-6"/>
          <w:sz w:val="20"/>
        </w:rPr>
        <w:t> </w:t>
      </w:r>
      <w:r>
        <w:rPr>
          <w:color w:val="232323"/>
          <w:sz w:val="20"/>
        </w:rPr>
        <w:t>best</w:t>
      </w:r>
      <w:r>
        <w:rPr>
          <w:color w:val="232323"/>
          <w:spacing w:val="-5"/>
          <w:sz w:val="20"/>
        </w:rPr>
        <w:t> </w:t>
      </w:r>
      <w:r>
        <w:rPr>
          <w:color w:val="232323"/>
          <w:sz w:val="20"/>
        </w:rPr>
        <w:t>they</w:t>
      </w:r>
      <w:r>
        <w:rPr>
          <w:color w:val="232323"/>
          <w:spacing w:val="-6"/>
          <w:sz w:val="20"/>
        </w:rPr>
        <w:t> </w:t>
      </w:r>
      <w:r>
        <w:rPr>
          <w:color w:val="232323"/>
          <w:sz w:val="20"/>
        </w:rPr>
        <w:t>can</w:t>
      </w:r>
      <w:r>
        <w:rPr>
          <w:color w:val="232323"/>
          <w:spacing w:val="-4"/>
          <w:sz w:val="20"/>
        </w:rPr>
        <w:t> </w:t>
      </w:r>
      <w:r>
        <w:rPr>
          <w:color w:val="232323"/>
          <w:spacing w:val="-5"/>
          <w:sz w:val="20"/>
        </w:rPr>
        <w:t>be;</w:t>
      </w:r>
    </w:p>
    <w:p>
      <w:pPr>
        <w:pStyle w:val="ListParagraph"/>
        <w:numPr>
          <w:ilvl w:val="0"/>
          <w:numId w:val="1"/>
        </w:numPr>
        <w:tabs>
          <w:tab w:pos="1572" w:val="left" w:leader="none"/>
        </w:tabs>
        <w:spacing w:line="273" w:lineRule="auto" w:before="33" w:after="0"/>
        <w:ind w:left="1572" w:right="1085" w:hanging="360"/>
        <w:jc w:val="both"/>
        <w:rPr>
          <w:rFonts w:ascii="Symbol" w:hAnsi="Symbol"/>
          <w:color w:val="232323"/>
          <w:sz w:val="20"/>
        </w:rPr>
      </w:pPr>
      <w:r>
        <w:rPr>
          <w:color w:val="232323"/>
          <w:sz w:val="20"/>
        </w:rPr>
        <w:t>Maximising</w:t>
      </w:r>
      <w:r>
        <w:rPr>
          <w:color w:val="232323"/>
          <w:spacing w:val="-4"/>
          <w:sz w:val="20"/>
        </w:rPr>
        <w:t> </w:t>
      </w:r>
      <w:r>
        <w:rPr>
          <w:color w:val="232323"/>
          <w:sz w:val="20"/>
        </w:rPr>
        <w:t>strategic</w:t>
      </w:r>
      <w:r>
        <w:rPr>
          <w:color w:val="232323"/>
          <w:spacing w:val="-3"/>
          <w:sz w:val="20"/>
        </w:rPr>
        <w:t> </w:t>
      </w:r>
      <w:r>
        <w:rPr>
          <w:color w:val="232323"/>
          <w:sz w:val="20"/>
        </w:rPr>
        <w:t>partnerships</w:t>
      </w:r>
      <w:r>
        <w:rPr>
          <w:color w:val="232323"/>
          <w:spacing w:val="-3"/>
          <w:sz w:val="20"/>
        </w:rPr>
        <w:t> </w:t>
      </w:r>
      <w:r>
        <w:rPr>
          <w:color w:val="232323"/>
          <w:sz w:val="20"/>
        </w:rPr>
        <w:t>for</w:t>
      </w:r>
      <w:r>
        <w:rPr>
          <w:color w:val="232323"/>
          <w:spacing w:val="-2"/>
          <w:sz w:val="20"/>
        </w:rPr>
        <w:t> </w:t>
      </w:r>
      <w:r>
        <w:rPr>
          <w:color w:val="232323"/>
          <w:sz w:val="20"/>
        </w:rPr>
        <w:t>the</w:t>
      </w:r>
      <w:r>
        <w:rPr>
          <w:color w:val="232323"/>
          <w:spacing w:val="-2"/>
          <w:sz w:val="20"/>
        </w:rPr>
        <w:t> </w:t>
      </w:r>
      <w:r>
        <w:rPr>
          <w:color w:val="232323"/>
          <w:sz w:val="20"/>
        </w:rPr>
        <w:t>benefit</w:t>
      </w:r>
      <w:r>
        <w:rPr>
          <w:color w:val="232323"/>
          <w:spacing w:val="-2"/>
          <w:sz w:val="20"/>
        </w:rPr>
        <w:t> </w:t>
      </w:r>
      <w:r>
        <w:rPr>
          <w:color w:val="232323"/>
          <w:sz w:val="20"/>
        </w:rPr>
        <w:t>of</w:t>
      </w:r>
      <w:r>
        <w:rPr>
          <w:color w:val="232323"/>
          <w:spacing w:val="-4"/>
          <w:sz w:val="20"/>
        </w:rPr>
        <w:t> </w:t>
      </w:r>
      <w:r>
        <w:rPr>
          <w:color w:val="232323"/>
          <w:sz w:val="20"/>
        </w:rPr>
        <w:t>the community</w:t>
      </w:r>
      <w:r>
        <w:rPr>
          <w:color w:val="232323"/>
          <w:spacing w:val="-1"/>
          <w:sz w:val="20"/>
        </w:rPr>
        <w:t> </w:t>
      </w:r>
      <w:r>
        <w:rPr>
          <w:color w:val="232323"/>
          <w:sz w:val="20"/>
        </w:rPr>
        <w:t>including</w:t>
      </w:r>
      <w:r>
        <w:rPr>
          <w:color w:val="232323"/>
          <w:spacing w:val="-2"/>
          <w:sz w:val="20"/>
        </w:rPr>
        <w:t> </w:t>
      </w:r>
      <w:r>
        <w:rPr>
          <w:color w:val="232323"/>
          <w:sz w:val="20"/>
        </w:rPr>
        <w:t>those with</w:t>
      </w:r>
      <w:r>
        <w:rPr>
          <w:color w:val="232323"/>
          <w:spacing w:val="-2"/>
          <w:sz w:val="20"/>
        </w:rPr>
        <w:t> </w:t>
      </w:r>
      <w:r>
        <w:rPr>
          <w:color w:val="232323"/>
          <w:sz w:val="20"/>
        </w:rPr>
        <w:t>the Local Skills Improvement Steering Group, Digital Skills Partnership, Local Authorities, key stakeholders, new &amp; existing employers and fellow colleges and training providers;</w:t>
      </w:r>
    </w:p>
    <w:p>
      <w:pPr>
        <w:pStyle w:val="ListParagraph"/>
        <w:numPr>
          <w:ilvl w:val="0"/>
          <w:numId w:val="1"/>
        </w:numPr>
        <w:tabs>
          <w:tab w:pos="1572" w:val="left" w:leader="none"/>
        </w:tabs>
        <w:spacing w:line="271" w:lineRule="auto" w:before="3" w:after="0"/>
        <w:ind w:left="1572" w:right="1085" w:hanging="360"/>
        <w:jc w:val="both"/>
        <w:rPr>
          <w:rFonts w:ascii="Symbol" w:hAnsi="Symbol"/>
          <w:color w:val="232323"/>
          <w:sz w:val="20"/>
        </w:rPr>
      </w:pPr>
      <w:r>
        <w:rPr>
          <w:color w:val="232323"/>
          <w:sz w:val="20"/>
        </w:rPr>
        <w:t>Reflecting</w:t>
      </w:r>
      <w:r>
        <w:rPr>
          <w:color w:val="232323"/>
          <w:spacing w:val="-11"/>
          <w:sz w:val="20"/>
        </w:rPr>
        <w:t> </w:t>
      </w:r>
      <w:r>
        <w:rPr>
          <w:color w:val="232323"/>
          <w:sz w:val="20"/>
        </w:rPr>
        <w:t>the</w:t>
      </w:r>
      <w:r>
        <w:rPr>
          <w:color w:val="232323"/>
          <w:spacing w:val="-9"/>
          <w:sz w:val="20"/>
        </w:rPr>
        <w:t> </w:t>
      </w:r>
      <w:r>
        <w:rPr>
          <w:color w:val="232323"/>
          <w:sz w:val="20"/>
        </w:rPr>
        <w:t>needs</w:t>
      </w:r>
      <w:r>
        <w:rPr>
          <w:color w:val="232323"/>
          <w:spacing w:val="-10"/>
          <w:sz w:val="20"/>
        </w:rPr>
        <w:t> </w:t>
      </w:r>
      <w:r>
        <w:rPr>
          <w:color w:val="232323"/>
          <w:sz w:val="20"/>
        </w:rPr>
        <w:t>of</w:t>
      </w:r>
      <w:r>
        <w:rPr>
          <w:color w:val="232323"/>
          <w:spacing w:val="-11"/>
          <w:sz w:val="20"/>
        </w:rPr>
        <w:t> </w:t>
      </w:r>
      <w:r>
        <w:rPr>
          <w:color w:val="232323"/>
          <w:sz w:val="20"/>
        </w:rPr>
        <w:t>the</w:t>
      </w:r>
      <w:r>
        <w:rPr>
          <w:color w:val="232323"/>
          <w:spacing w:val="-7"/>
          <w:sz w:val="20"/>
        </w:rPr>
        <w:t> </w:t>
      </w:r>
      <w:r>
        <w:rPr>
          <w:color w:val="232323"/>
          <w:sz w:val="20"/>
        </w:rPr>
        <w:t>community</w:t>
      </w:r>
      <w:r>
        <w:rPr>
          <w:color w:val="232323"/>
          <w:spacing w:val="-7"/>
          <w:sz w:val="20"/>
        </w:rPr>
        <w:t> </w:t>
      </w:r>
      <w:r>
        <w:rPr>
          <w:color w:val="232323"/>
          <w:sz w:val="20"/>
        </w:rPr>
        <w:t>including</w:t>
      </w:r>
      <w:r>
        <w:rPr>
          <w:color w:val="232323"/>
          <w:spacing w:val="-9"/>
          <w:sz w:val="20"/>
        </w:rPr>
        <w:t> </w:t>
      </w:r>
      <w:r>
        <w:rPr>
          <w:color w:val="232323"/>
          <w:sz w:val="20"/>
        </w:rPr>
        <w:t>learners</w:t>
      </w:r>
      <w:r>
        <w:rPr>
          <w:color w:val="232323"/>
          <w:spacing w:val="-10"/>
          <w:sz w:val="20"/>
        </w:rPr>
        <w:t> </w:t>
      </w:r>
      <w:r>
        <w:rPr>
          <w:color w:val="232323"/>
          <w:sz w:val="20"/>
        </w:rPr>
        <w:t>and</w:t>
      </w:r>
      <w:r>
        <w:rPr>
          <w:color w:val="232323"/>
          <w:spacing w:val="-9"/>
          <w:sz w:val="20"/>
        </w:rPr>
        <w:t> </w:t>
      </w:r>
      <w:r>
        <w:rPr>
          <w:color w:val="232323"/>
          <w:sz w:val="20"/>
        </w:rPr>
        <w:t>employers</w:t>
      </w:r>
      <w:r>
        <w:rPr>
          <w:color w:val="232323"/>
          <w:spacing w:val="-10"/>
          <w:sz w:val="20"/>
        </w:rPr>
        <w:t> </w:t>
      </w:r>
      <w:r>
        <w:rPr>
          <w:color w:val="232323"/>
          <w:sz w:val="20"/>
        </w:rPr>
        <w:t>in</w:t>
      </w:r>
      <w:r>
        <w:rPr>
          <w:color w:val="232323"/>
          <w:spacing w:val="-9"/>
          <w:sz w:val="20"/>
        </w:rPr>
        <w:t> </w:t>
      </w:r>
      <w:r>
        <w:rPr>
          <w:color w:val="232323"/>
          <w:sz w:val="20"/>
        </w:rPr>
        <w:t>the</w:t>
      </w:r>
      <w:r>
        <w:rPr>
          <w:color w:val="232323"/>
          <w:spacing w:val="-11"/>
          <w:sz w:val="20"/>
        </w:rPr>
        <w:t> </w:t>
      </w:r>
      <w:r>
        <w:rPr>
          <w:color w:val="232323"/>
          <w:sz w:val="20"/>
        </w:rPr>
        <w:t>range</w:t>
      </w:r>
      <w:r>
        <w:rPr>
          <w:color w:val="232323"/>
          <w:spacing w:val="-9"/>
          <w:sz w:val="20"/>
        </w:rPr>
        <w:t> </w:t>
      </w:r>
      <w:r>
        <w:rPr>
          <w:color w:val="232323"/>
          <w:sz w:val="20"/>
        </w:rPr>
        <w:t>of</w:t>
      </w:r>
      <w:r>
        <w:rPr>
          <w:color w:val="232323"/>
          <w:spacing w:val="-11"/>
          <w:sz w:val="20"/>
        </w:rPr>
        <w:t> </w:t>
      </w:r>
      <w:r>
        <w:rPr>
          <w:color w:val="232323"/>
          <w:sz w:val="20"/>
        </w:rPr>
        <w:t>the education and training offer;</w:t>
      </w:r>
    </w:p>
    <w:p>
      <w:pPr>
        <w:pStyle w:val="ListParagraph"/>
        <w:numPr>
          <w:ilvl w:val="0"/>
          <w:numId w:val="1"/>
        </w:numPr>
        <w:tabs>
          <w:tab w:pos="1572" w:val="left" w:leader="none"/>
        </w:tabs>
        <w:spacing w:line="240" w:lineRule="auto" w:before="6" w:after="0"/>
        <w:ind w:left="1572" w:right="0" w:hanging="360"/>
        <w:jc w:val="left"/>
        <w:rPr>
          <w:rFonts w:ascii="Symbol" w:hAnsi="Symbol"/>
          <w:color w:val="232323"/>
          <w:sz w:val="20"/>
        </w:rPr>
      </w:pPr>
      <w:r>
        <w:rPr>
          <w:color w:val="232323"/>
          <w:sz w:val="20"/>
        </w:rPr>
        <w:t>Valuing</w:t>
      </w:r>
      <w:r>
        <w:rPr>
          <w:color w:val="232323"/>
          <w:spacing w:val="-4"/>
          <w:sz w:val="20"/>
        </w:rPr>
        <w:t> </w:t>
      </w:r>
      <w:r>
        <w:rPr>
          <w:color w:val="232323"/>
          <w:sz w:val="20"/>
        </w:rPr>
        <w:t>our</w:t>
      </w:r>
      <w:r>
        <w:rPr>
          <w:color w:val="232323"/>
          <w:spacing w:val="-5"/>
          <w:sz w:val="20"/>
        </w:rPr>
        <w:t> </w:t>
      </w:r>
      <w:r>
        <w:rPr>
          <w:color w:val="232323"/>
          <w:sz w:val="20"/>
        </w:rPr>
        <w:t>people</w:t>
      </w:r>
      <w:r>
        <w:rPr>
          <w:color w:val="232323"/>
          <w:spacing w:val="-4"/>
          <w:sz w:val="20"/>
        </w:rPr>
        <w:t> </w:t>
      </w:r>
      <w:r>
        <w:rPr>
          <w:color w:val="232323"/>
          <w:sz w:val="20"/>
        </w:rPr>
        <w:t>and</w:t>
      </w:r>
      <w:r>
        <w:rPr>
          <w:color w:val="232323"/>
          <w:spacing w:val="-6"/>
          <w:sz w:val="20"/>
        </w:rPr>
        <w:t> </w:t>
      </w:r>
      <w:r>
        <w:rPr>
          <w:color w:val="232323"/>
          <w:sz w:val="20"/>
        </w:rPr>
        <w:t>supporting</w:t>
      </w:r>
      <w:r>
        <w:rPr>
          <w:color w:val="232323"/>
          <w:spacing w:val="-5"/>
          <w:sz w:val="20"/>
        </w:rPr>
        <w:t> </w:t>
      </w:r>
      <w:r>
        <w:rPr>
          <w:color w:val="232323"/>
          <w:sz w:val="20"/>
        </w:rPr>
        <w:t>them</w:t>
      </w:r>
      <w:r>
        <w:rPr>
          <w:color w:val="232323"/>
          <w:spacing w:val="-4"/>
          <w:sz w:val="20"/>
        </w:rPr>
        <w:t> </w:t>
      </w:r>
      <w:r>
        <w:rPr>
          <w:color w:val="232323"/>
          <w:sz w:val="20"/>
        </w:rPr>
        <w:t>to</w:t>
      </w:r>
      <w:r>
        <w:rPr>
          <w:color w:val="232323"/>
          <w:spacing w:val="-6"/>
          <w:sz w:val="20"/>
        </w:rPr>
        <w:t> </w:t>
      </w:r>
      <w:r>
        <w:rPr>
          <w:color w:val="232323"/>
          <w:sz w:val="20"/>
        </w:rPr>
        <w:t>be</w:t>
      </w:r>
      <w:r>
        <w:rPr>
          <w:color w:val="232323"/>
          <w:spacing w:val="-6"/>
          <w:sz w:val="20"/>
        </w:rPr>
        <w:t> </w:t>
      </w:r>
      <w:r>
        <w:rPr>
          <w:color w:val="232323"/>
          <w:sz w:val="20"/>
        </w:rPr>
        <w:t>the</w:t>
      </w:r>
      <w:r>
        <w:rPr>
          <w:color w:val="232323"/>
          <w:spacing w:val="-5"/>
          <w:sz w:val="20"/>
        </w:rPr>
        <w:t> </w:t>
      </w:r>
      <w:r>
        <w:rPr>
          <w:color w:val="232323"/>
          <w:sz w:val="20"/>
        </w:rPr>
        <w:t>best</w:t>
      </w:r>
      <w:r>
        <w:rPr>
          <w:color w:val="232323"/>
          <w:spacing w:val="-4"/>
          <w:sz w:val="20"/>
        </w:rPr>
        <w:t> </w:t>
      </w:r>
      <w:r>
        <w:rPr>
          <w:color w:val="232323"/>
          <w:sz w:val="20"/>
        </w:rPr>
        <w:t>they</w:t>
      </w:r>
      <w:r>
        <w:rPr>
          <w:color w:val="232323"/>
          <w:spacing w:val="-5"/>
          <w:sz w:val="20"/>
        </w:rPr>
        <w:t> </w:t>
      </w:r>
      <w:r>
        <w:rPr>
          <w:color w:val="232323"/>
          <w:sz w:val="20"/>
        </w:rPr>
        <w:t>can</w:t>
      </w:r>
      <w:r>
        <w:rPr>
          <w:color w:val="232323"/>
          <w:spacing w:val="-4"/>
          <w:sz w:val="20"/>
        </w:rPr>
        <w:t> </w:t>
      </w:r>
      <w:r>
        <w:rPr>
          <w:color w:val="232323"/>
          <w:spacing w:val="-5"/>
          <w:sz w:val="20"/>
        </w:rPr>
        <w:t>be;</w:t>
      </w:r>
    </w:p>
    <w:p>
      <w:pPr>
        <w:pStyle w:val="ListParagraph"/>
        <w:numPr>
          <w:ilvl w:val="0"/>
          <w:numId w:val="1"/>
        </w:numPr>
        <w:tabs>
          <w:tab w:pos="1572" w:val="left" w:leader="none"/>
        </w:tabs>
        <w:spacing w:line="240" w:lineRule="auto" w:before="33" w:after="0"/>
        <w:ind w:left="1572" w:right="0" w:hanging="360"/>
        <w:jc w:val="left"/>
        <w:rPr>
          <w:rFonts w:ascii="Symbol" w:hAnsi="Symbol"/>
          <w:color w:val="232323"/>
          <w:sz w:val="20"/>
        </w:rPr>
      </w:pPr>
      <w:r>
        <w:rPr>
          <w:color w:val="232323"/>
          <w:sz w:val="20"/>
        </w:rPr>
        <w:t>Gathering,</w:t>
      </w:r>
      <w:r>
        <w:rPr>
          <w:color w:val="232323"/>
          <w:spacing w:val="-6"/>
          <w:sz w:val="20"/>
        </w:rPr>
        <w:t> </w:t>
      </w:r>
      <w:r>
        <w:rPr>
          <w:color w:val="232323"/>
          <w:sz w:val="20"/>
        </w:rPr>
        <w:t>listening</w:t>
      </w:r>
      <w:r>
        <w:rPr>
          <w:color w:val="232323"/>
          <w:spacing w:val="-7"/>
          <w:sz w:val="20"/>
        </w:rPr>
        <w:t> </w:t>
      </w:r>
      <w:r>
        <w:rPr>
          <w:color w:val="232323"/>
          <w:sz w:val="20"/>
        </w:rPr>
        <w:t>to</w:t>
      </w:r>
      <w:r>
        <w:rPr>
          <w:color w:val="232323"/>
          <w:spacing w:val="-7"/>
          <w:sz w:val="20"/>
        </w:rPr>
        <w:t> </w:t>
      </w:r>
      <w:r>
        <w:rPr>
          <w:color w:val="232323"/>
          <w:sz w:val="20"/>
        </w:rPr>
        <w:t>and</w:t>
      </w:r>
      <w:r>
        <w:rPr>
          <w:color w:val="232323"/>
          <w:spacing w:val="-5"/>
          <w:sz w:val="20"/>
        </w:rPr>
        <w:t> </w:t>
      </w:r>
      <w:r>
        <w:rPr>
          <w:color w:val="232323"/>
          <w:sz w:val="20"/>
        </w:rPr>
        <w:t>acting</w:t>
      </w:r>
      <w:r>
        <w:rPr>
          <w:color w:val="232323"/>
          <w:spacing w:val="-6"/>
          <w:sz w:val="20"/>
        </w:rPr>
        <w:t> </w:t>
      </w:r>
      <w:r>
        <w:rPr>
          <w:color w:val="232323"/>
          <w:sz w:val="20"/>
        </w:rPr>
        <w:t>on</w:t>
      </w:r>
      <w:r>
        <w:rPr>
          <w:color w:val="232323"/>
          <w:spacing w:val="-5"/>
          <w:sz w:val="20"/>
        </w:rPr>
        <w:t> </w:t>
      </w:r>
      <w:r>
        <w:rPr>
          <w:color w:val="232323"/>
          <w:sz w:val="20"/>
        </w:rPr>
        <w:t>feedback</w:t>
      </w:r>
      <w:r>
        <w:rPr>
          <w:color w:val="232323"/>
          <w:spacing w:val="-6"/>
          <w:sz w:val="20"/>
        </w:rPr>
        <w:t> </w:t>
      </w:r>
      <w:r>
        <w:rPr>
          <w:color w:val="232323"/>
          <w:sz w:val="20"/>
        </w:rPr>
        <w:t>from</w:t>
      </w:r>
      <w:r>
        <w:rPr>
          <w:color w:val="232323"/>
          <w:spacing w:val="-6"/>
          <w:sz w:val="20"/>
        </w:rPr>
        <w:t> </w:t>
      </w:r>
      <w:r>
        <w:rPr>
          <w:color w:val="232323"/>
          <w:sz w:val="20"/>
        </w:rPr>
        <w:t>our</w:t>
      </w:r>
      <w:r>
        <w:rPr>
          <w:color w:val="232323"/>
          <w:spacing w:val="-6"/>
          <w:sz w:val="20"/>
        </w:rPr>
        <w:t> </w:t>
      </w:r>
      <w:r>
        <w:rPr>
          <w:color w:val="232323"/>
          <w:spacing w:val="-2"/>
          <w:sz w:val="20"/>
        </w:rPr>
        <w:t>learners;</w:t>
      </w:r>
    </w:p>
    <w:p>
      <w:pPr>
        <w:pStyle w:val="ListParagraph"/>
        <w:numPr>
          <w:ilvl w:val="0"/>
          <w:numId w:val="1"/>
        </w:numPr>
        <w:tabs>
          <w:tab w:pos="1572" w:val="left" w:leader="none"/>
        </w:tabs>
        <w:spacing w:line="240" w:lineRule="auto" w:before="31" w:after="0"/>
        <w:ind w:left="1572" w:right="0" w:hanging="360"/>
        <w:jc w:val="left"/>
        <w:rPr>
          <w:rFonts w:ascii="Symbol" w:hAnsi="Symbol"/>
          <w:color w:val="232323"/>
          <w:sz w:val="20"/>
        </w:rPr>
      </w:pPr>
      <w:r>
        <w:rPr>
          <w:color w:val="232323"/>
          <w:sz w:val="20"/>
        </w:rPr>
        <w:t>Maximising</w:t>
      </w:r>
      <w:r>
        <w:rPr>
          <w:color w:val="232323"/>
          <w:spacing w:val="-9"/>
          <w:sz w:val="20"/>
        </w:rPr>
        <w:t> </w:t>
      </w:r>
      <w:r>
        <w:rPr>
          <w:color w:val="232323"/>
          <w:sz w:val="20"/>
        </w:rPr>
        <w:t>business</w:t>
      </w:r>
      <w:r>
        <w:rPr>
          <w:color w:val="232323"/>
          <w:spacing w:val="-7"/>
          <w:sz w:val="20"/>
        </w:rPr>
        <w:t> </w:t>
      </w:r>
      <w:r>
        <w:rPr>
          <w:color w:val="232323"/>
          <w:sz w:val="20"/>
        </w:rPr>
        <w:t>efficiency,</w:t>
      </w:r>
      <w:r>
        <w:rPr>
          <w:color w:val="232323"/>
          <w:spacing w:val="-8"/>
          <w:sz w:val="20"/>
        </w:rPr>
        <w:t> </w:t>
      </w:r>
      <w:r>
        <w:rPr>
          <w:color w:val="232323"/>
          <w:sz w:val="20"/>
        </w:rPr>
        <w:t>delivering</w:t>
      </w:r>
      <w:r>
        <w:rPr>
          <w:color w:val="232323"/>
          <w:spacing w:val="-8"/>
          <w:sz w:val="20"/>
        </w:rPr>
        <w:t> </w:t>
      </w:r>
      <w:r>
        <w:rPr>
          <w:color w:val="232323"/>
          <w:sz w:val="20"/>
        </w:rPr>
        <w:t>financial</w:t>
      </w:r>
      <w:r>
        <w:rPr>
          <w:color w:val="232323"/>
          <w:spacing w:val="-9"/>
          <w:sz w:val="20"/>
        </w:rPr>
        <w:t> </w:t>
      </w:r>
      <w:r>
        <w:rPr>
          <w:color w:val="232323"/>
          <w:sz w:val="20"/>
        </w:rPr>
        <w:t>viability</w:t>
      </w:r>
      <w:r>
        <w:rPr>
          <w:color w:val="232323"/>
          <w:spacing w:val="-7"/>
          <w:sz w:val="20"/>
        </w:rPr>
        <w:t> </w:t>
      </w:r>
      <w:r>
        <w:rPr>
          <w:color w:val="232323"/>
          <w:sz w:val="20"/>
        </w:rPr>
        <w:t>and</w:t>
      </w:r>
      <w:r>
        <w:rPr>
          <w:color w:val="232323"/>
          <w:spacing w:val="-8"/>
          <w:sz w:val="20"/>
        </w:rPr>
        <w:t> </w:t>
      </w:r>
      <w:r>
        <w:rPr>
          <w:color w:val="232323"/>
          <w:sz w:val="20"/>
        </w:rPr>
        <w:t>value</w:t>
      </w:r>
      <w:r>
        <w:rPr>
          <w:color w:val="232323"/>
          <w:spacing w:val="-6"/>
          <w:sz w:val="20"/>
        </w:rPr>
        <w:t> </w:t>
      </w:r>
      <w:r>
        <w:rPr>
          <w:color w:val="232323"/>
          <w:sz w:val="20"/>
        </w:rPr>
        <w:t>for</w:t>
      </w:r>
      <w:r>
        <w:rPr>
          <w:color w:val="232323"/>
          <w:spacing w:val="-7"/>
          <w:sz w:val="20"/>
        </w:rPr>
        <w:t> </w:t>
      </w:r>
      <w:r>
        <w:rPr>
          <w:color w:val="232323"/>
          <w:spacing w:val="-2"/>
          <w:sz w:val="20"/>
        </w:rPr>
        <w:t>money;</w:t>
      </w:r>
    </w:p>
    <w:p>
      <w:pPr>
        <w:pStyle w:val="ListParagraph"/>
        <w:numPr>
          <w:ilvl w:val="0"/>
          <w:numId w:val="1"/>
        </w:numPr>
        <w:tabs>
          <w:tab w:pos="1572" w:val="left" w:leader="none"/>
        </w:tabs>
        <w:spacing w:line="240" w:lineRule="auto" w:before="33" w:after="0"/>
        <w:ind w:left="1572" w:right="0" w:hanging="360"/>
        <w:jc w:val="left"/>
        <w:rPr>
          <w:rFonts w:ascii="Symbol" w:hAnsi="Symbol"/>
          <w:color w:val="232323"/>
          <w:sz w:val="20"/>
        </w:rPr>
      </w:pPr>
      <w:r>
        <w:rPr>
          <w:color w:val="232323"/>
          <w:sz w:val="20"/>
        </w:rPr>
        <w:t>Continuous</w:t>
      </w:r>
      <w:r>
        <w:rPr>
          <w:color w:val="232323"/>
          <w:spacing w:val="-10"/>
          <w:sz w:val="20"/>
        </w:rPr>
        <w:t> </w:t>
      </w:r>
      <w:r>
        <w:rPr>
          <w:color w:val="232323"/>
          <w:sz w:val="20"/>
        </w:rPr>
        <w:t>improvement</w:t>
      </w:r>
      <w:r>
        <w:rPr>
          <w:color w:val="232323"/>
          <w:spacing w:val="-9"/>
          <w:sz w:val="20"/>
        </w:rPr>
        <w:t> </w:t>
      </w:r>
      <w:r>
        <w:rPr>
          <w:color w:val="232323"/>
          <w:sz w:val="20"/>
        </w:rPr>
        <w:t>through</w:t>
      </w:r>
      <w:r>
        <w:rPr>
          <w:color w:val="232323"/>
          <w:spacing w:val="-10"/>
          <w:sz w:val="20"/>
        </w:rPr>
        <w:t> </w:t>
      </w:r>
      <w:r>
        <w:rPr>
          <w:color w:val="232323"/>
          <w:sz w:val="20"/>
        </w:rPr>
        <w:t>critical</w:t>
      </w:r>
      <w:r>
        <w:rPr>
          <w:color w:val="232323"/>
          <w:spacing w:val="-10"/>
          <w:sz w:val="20"/>
        </w:rPr>
        <w:t> </w:t>
      </w:r>
      <w:r>
        <w:rPr>
          <w:color w:val="232323"/>
          <w:sz w:val="20"/>
        </w:rPr>
        <w:t>self-evaluation</w:t>
      </w:r>
      <w:r>
        <w:rPr>
          <w:color w:val="232323"/>
          <w:spacing w:val="-10"/>
          <w:sz w:val="20"/>
        </w:rPr>
        <w:t> </w:t>
      </w:r>
      <w:r>
        <w:rPr>
          <w:color w:val="232323"/>
          <w:sz w:val="20"/>
        </w:rPr>
        <w:t>and</w:t>
      </w:r>
      <w:r>
        <w:rPr>
          <w:color w:val="232323"/>
          <w:spacing w:val="-11"/>
          <w:sz w:val="20"/>
        </w:rPr>
        <w:t> </w:t>
      </w:r>
      <w:r>
        <w:rPr>
          <w:color w:val="232323"/>
          <w:spacing w:val="-2"/>
          <w:sz w:val="20"/>
        </w:rPr>
        <w:t>improvement.</w:t>
      </w:r>
    </w:p>
    <w:p>
      <w:pPr>
        <w:pStyle w:val="BodyText"/>
        <w:spacing w:before="2"/>
      </w:pPr>
    </w:p>
    <w:p>
      <w:pPr>
        <w:pStyle w:val="BodyText"/>
        <w:ind w:left="852" w:right="1085"/>
        <w:jc w:val="both"/>
      </w:pPr>
      <w:r>
        <w:rPr>
          <w:color w:val="232323"/>
        </w:rPr>
        <w:t>The College received a visit from Ofsted in October 2023, receiving a grade of “Good” in line with the College’s self-assessment, in addition the college was rated ‘Strong’ for meeting local skills needs</w:t>
      </w:r>
      <w:r>
        <w:rPr>
          <w:color w:val="232323"/>
          <w:spacing w:val="-3"/>
        </w:rPr>
        <w:t> </w:t>
      </w:r>
      <w:r>
        <w:rPr>
          <w:color w:val="232323"/>
        </w:rPr>
        <w:t>and</w:t>
      </w:r>
      <w:r>
        <w:rPr>
          <w:color w:val="232323"/>
          <w:spacing w:val="-2"/>
        </w:rPr>
        <w:t> </w:t>
      </w:r>
      <w:r>
        <w:rPr>
          <w:color w:val="232323"/>
        </w:rPr>
        <w:t>outstanding</w:t>
      </w:r>
      <w:r>
        <w:rPr>
          <w:color w:val="232323"/>
          <w:spacing w:val="-4"/>
        </w:rPr>
        <w:t> </w:t>
      </w:r>
      <w:r>
        <w:rPr>
          <w:color w:val="232323"/>
        </w:rPr>
        <w:t>for</w:t>
      </w:r>
      <w:r>
        <w:rPr>
          <w:color w:val="232323"/>
          <w:spacing w:val="-3"/>
        </w:rPr>
        <w:t> </w:t>
      </w:r>
      <w:r>
        <w:rPr>
          <w:color w:val="232323"/>
        </w:rPr>
        <w:t>adult</w:t>
      </w:r>
      <w:r>
        <w:rPr>
          <w:color w:val="232323"/>
          <w:spacing w:val="-4"/>
        </w:rPr>
        <w:t> </w:t>
      </w:r>
      <w:r>
        <w:rPr>
          <w:color w:val="232323"/>
        </w:rPr>
        <w:t>education</w:t>
      </w:r>
      <w:r>
        <w:rPr>
          <w:color w:val="232323"/>
          <w:spacing w:val="-2"/>
        </w:rPr>
        <w:t> </w:t>
      </w:r>
      <w:r>
        <w:rPr>
          <w:color w:val="232323"/>
        </w:rPr>
        <w:t>and</w:t>
      </w:r>
      <w:r>
        <w:rPr>
          <w:color w:val="232323"/>
          <w:spacing w:val="-2"/>
        </w:rPr>
        <w:t> </w:t>
      </w:r>
      <w:r>
        <w:rPr>
          <w:color w:val="232323"/>
        </w:rPr>
        <w:t>personal</w:t>
      </w:r>
      <w:r>
        <w:rPr>
          <w:color w:val="232323"/>
          <w:spacing w:val="-5"/>
        </w:rPr>
        <w:t> </w:t>
      </w:r>
      <w:r>
        <w:rPr>
          <w:color w:val="232323"/>
        </w:rPr>
        <w:t>development.</w:t>
      </w:r>
      <w:r>
        <w:rPr>
          <w:color w:val="232323"/>
          <w:spacing w:val="-4"/>
        </w:rPr>
        <w:t> </w:t>
      </w:r>
      <w:r>
        <w:rPr>
          <w:color w:val="232323"/>
        </w:rPr>
        <w:t>Throughout</w:t>
      </w:r>
      <w:r>
        <w:rPr>
          <w:color w:val="232323"/>
          <w:spacing w:val="-4"/>
        </w:rPr>
        <w:t> </w:t>
      </w:r>
      <w:r>
        <w:rPr>
          <w:color w:val="232323"/>
        </w:rPr>
        <w:t>23/24</w:t>
      </w:r>
      <w:r>
        <w:rPr>
          <w:color w:val="232323"/>
          <w:spacing w:val="-4"/>
        </w:rPr>
        <w:t> </w:t>
      </w:r>
      <w:r>
        <w:rPr>
          <w:color w:val="232323"/>
        </w:rPr>
        <w:t>an</w:t>
      </w:r>
      <w:r>
        <w:rPr>
          <w:color w:val="232323"/>
          <w:spacing w:val="-2"/>
        </w:rPr>
        <w:t> </w:t>
      </w:r>
      <w:r>
        <w:rPr>
          <w:color w:val="232323"/>
        </w:rPr>
        <w:t>action plan</w:t>
      </w:r>
      <w:r>
        <w:rPr>
          <w:color w:val="232323"/>
          <w:spacing w:val="-1"/>
        </w:rPr>
        <w:t> </w:t>
      </w:r>
      <w:r>
        <w:rPr>
          <w:color w:val="232323"/>
        </w:rPr>
        <w:t>will be in place to elevate</w:t>
      </w:r>
      <w:r>
        <w:rPr>
          <w:color w:val="232323"/>
          <w:spacing w:val="-1"/>
        </w:rPr>
        <w:t> </w:t>
      </w:r>
      <w:r>
        <w:rPr>
          <w:color w:val="232323"/>
        </w:rPr>
        <w:t>the</w:t>
      </w:r>
      <w:r>
        <w:rPr>
          <w:color w:val="232323"/>
          <w:spacing w:val="-1"/>
        </w:rPr>
        <w:t> </w:t>
      </w:r>
      <w:r>
        <w:rPr>
          <w:color w:val="232323"/>
        </w:rPr>
        <w:t>college</w:t>
      </w:r>
      <w:r>
        <w:rPr>
          <w:color w:val="232323"/>
          <w:spacing w:val="-1"/>
        </w:rPr>
        <w:t> </w:t>
      </w:r>
      <w:r>
        <w:rPr>
          <w:color w:val="232323"/>
        </w:rPr>
        <w:t>to</w:t>
      </w:r>
      <w:r>
        <w:rPr>
          <w:color w:val="232323"/>
          <w:spacing w:val="-1"/>
        </w:rPr>
        <w:t> </w:t>
      </w:r>
      <w:r>
        <w:rPr>
          <w:color w:val="232323"/>
        </w:rPr>
        <w:t>be truly world</w:t>
      </w:r>
      <w:r>
        <w:rPr>
          <w:color w:val="232323"/>
          <w:spacing w:val="-1"/>
        </w:rPr>
        <w:t> </w:t>
      </w:r>
      <w:r>
        <w:rPr>
          <w:color w:val="232323"/>
        </w:rPr>
        <w:t>class,</w:t>
      </w:r>
      <w:r>
        <w:rPr>
          <w:color w:val="232323"/>
          <w:spacing w:val="-1"/>
        </w:rPr>
        <w:t> </w:t>
      </w:r>
      <w:r>
        <w:rPr>
          <w:color w:val="232323"/>
        </w:rPr>
        <w:t>we</w:t>
      </w:r>
      <w:r>
        <w:rPr>
          <w:color w:val="232323"/>
          <w:spacing w:val="-1"/>
        </w:rPr>
        <w:t> </w:t>
      </w:r>
      <w:r>
        <w:rPr>
          <w:color w:val="232323"/>
        </w:rPr>
        <w:t>are ambitious and</w:t>
      </w:r>
      <w:r>
        <w:rPr>
          <w:color w:val="232323"/>
          <w:spacing w:val="-1"/>
        </w:rPr>
        <w:t> </w:t>
      </w:r>
      <w:r>
        <w:rPr>
          <w:color w:val="232323"/>
        </w:rPr>
        <w:t>excited</w:t>
      </w:r>
      <w:r>
        <w:rPr>
          <w:color w:val="232323"/>
          <w:spacing w:val="-1"/>
        </w:rPr>
        <w:t> </w:t>
      </w:r>
      <w:r>
        <w:rPr>
          <w:color w:val="232323"/>
        </w:rPr>
        <w:t>for the</w:t>
      </w:r>
      <w:r>
        <w:rPr>
          <w:color w:val="232323"/>
          <w:spacing w:val="-7"/>
        </w:rPr>
        <w:t> </w:t>
      </w:r>
      <w:r>
        <w:rPr>
          <w:color w:val="232323"/>
        </w:rPr>
        <w:t>next</w:t>
      </w:r>
      <w:r>
        <w:rPr>
          <w:color w:val="232323"/>
          <w:spacing w:val="-6"/>
        </w:rPr>
        <w:t> </w:t>
      </w:r>
      <w:r>
        <w:rPr>
          <w:color w:val="232323"/>
        </w:rPr>
        <w:t>phase</w:t>
      </w:r>
      <w:r>
        <w:rPr>
          <w:color w:val="232323"/>
          <w:spacing w:val="-9"/>
        </w:rPr>
        <w:t> </w:t>
      </w:r>
      <w:r>
        <w:rPr>
          <w:color w:val="232323"/>
        </w:rPr>
        <w:t>of</w:t>
      </w:r>
      <w:r>
        <w:rPr>
          <w:color w:val="232323"/>
          <w:spacing w:val="-9"/>
        </w:rPr>
        <w:t> </w:t>
      </w:r>
      <w:r>
        <w:rPr>
          <w:color w:val="232323"/>
        </w:rPr>
        <w:t>Hull</w:t>
      </w:r>
      <w:r>
        <w:rPr>
          <w:color w:val="232323"/>
          <w:spacing w:val="-9"/>
        </w:rPr>
        <w:t> </w:t>
      </w:r>
      <w:r>
        <w:rPr>
          <w:color w:val="232323"/>
        </w:rPr>
        <w:t>College’s</w:t>
      </w:r>
      <w:r>
        <w:rPr>
          <w:color w:val="232323"/>
          <w:spacing w:val="-7"/>
        </w:rPr>
        <w:t> </w:t>
      </w:r>
      <w:r>
        <w:rPr>
          <w:color w:val="232323"/>
        </w:rPr>
        <w:t>journey</w:t>
      </w:r>
      <w:r>
        <w:rPr>
          <w:color w:val="232323"/>
          <w:spacing w:val="-5"/>
        </w:rPr>
        <w:t> </w:t>
      </w:r>
      <w:r>
        <w:rPr>
          <w:color w:val="232323"/>
        </w:rPr>
        <w:t>now</w:t>
      </w:r>
      <w:r>
        <w:rPr>
          <w:color w:val="232323"/>
          <w:spacing w:val="-6"/>
        </w:rPr>
        <w:t> </w:t>
      </w:r>
      <w:r>
        <w:rPr>
          <w:color w:val="232323"/>
        </w:rPr>
        <w:t>that</w:t>
      </w:r>
      <w:r>
        <w:rPr>
          <w:color w:val="232323"/>
          <w:spacing w:val="-9"/>
        </w:rPr>
        <w:t> </w:t>
      </w:r>
      <w:r>
        <w:rPr>
          <w:color w:val="232323"/>
        </w:rPr>
        <w:t>the</w:t>
      </w:r>
      <w:r>
        <w:rPr>
          <w:color w:val="232323"/>
          <w:spacing w:val="-7"/>
        </w:rPr>
        <w:t> </w:t>
      </w:r>
      <w:r>
        <w:rPr>
          <w:color w:val="232323"/>
        </w:rPr>
        <w:t>college</w:t>
      </w:r>
      <w:r>
        <w:rPr>
          <w:color w:val="232323"/>
          <w:spacing w:val="-6"/>
        </w:rPr>
        <w:t> </w:t>
      </w:r>
      <w:r>
        <w:rPr>
          <w:color w:val="232323"/>
        </w:rPr>
        <w:t>is</w:t>
      </w:r>
      <w:r>
        <w:rPr>
          <w:color w:val="232323"/>
          <w:spacing w:val="-5"/>
        </w:rPr>
        <w:t> </w:t>
      </w:r>
      <w:r>
        <w:rPr>
          <w:color w:val="232323"/>
        </w:rPr>
        <w:t>financially</w:t>
      </w:r>
      <w:r>
        <w:rPr>
          <w:color w:val="232323"/>
          <w:spacing w:val="-5"/>
        </w:rPr>
        <w:t> </w:t>
      </w:r>
      <w:r>
        <w:rPr>
          <w:color w:val="232323"/>
        </w:rPr>
        <w:t>and</w:t>
      </w:r>
      <w:r>
        <w:rPr>
          <w:color w:val="232323"/>
          <w:spacing w:val="-6"/>
        </w:rPr>
        <w:t> </w:t>
      </w:r>
      <w:r>
        <w:rPr>
          <w:color w:val="232323"/>
        </w:rPr>
        <w:t>educationally</w:t>
      </w:r>
      <w:r>
        <w:rPr>
          <w:color w:val="232323"/>
          <w:spacing w:val="-7"/>
        </w:rPr>
        <w:t> </w:t>
      </w:r>
      <w:r>
        <w:rPr>
          <w:color w:val="232323"/>
        </w:rPr>
        <w:t>stable.</w:t>
      </w:r>
    </w:p>
    <w:p>
      <w:pPr>
        <w:pStyle w:val="BodyText"/>
      </w:pPr>
    </w:p>
    <w:p>
      <w:pPr>
        <w:pStyle w:val="BodyText"/>
        <w:ind w:left="852" w:right="1086"/>
        <w:jc w:val="both"/>
      </w:pPr>
      <w:r>
        <w:rPr>
          <w:color w:val="232323"/>
        </w:rPr>
        <w:t>In 2022/23 we were the recipient of a commendation from Edufuturists for our excellent work delivering technology enhanced delivery to our English for Speakers of Other Languages (ESOL) courses.</w:t>
      </w:r>
      <w:r>
        <w:rPr>
          <w:color w:val="232323"/>
          <w:spacing w:val="-6"/>
        </w:rPr>
        <w:t> </w:t>
      </w:r>
      <w:r>
        <w:rPr>
          <w:color w:val="232323"/>
        </w:rPr>
        <w:t>The</w:t>
      </w:r>
      <w:r>
        <w:rPr>
          <w:color w:val="232323"/>
          <w:spacing w:val="-7"/>
        </w:rPr>
        <w:t> </w:t>
      </w:r>
      <w:r>
        <w:rPr>
          <w:color w:val="232323"/>
        </w:rPr>
        <w:t>project</w:t>
      </w:r>
      <w:r>
        <w:rPr>
          <w:color w:val="232323"/>
          <w:spacing w:val="-6"/>
        </w:rPr>
        <w:t> </w:t>
      </w:r>
      <w:r>
        <w:rPr>
          <w:color w:val="232323"/>
        </w:rPr>
        <w:t>also</w:t>
      </w:r>
      <w:r>
        <w:rPr>
          <w:color w:val="232323"/>
          <w:spacing w:val="-4"/>
        </w:rPr>
        <w:t> </w:t>
      </w:r>
      <w:r>
        <w:rPr>
          <w:color w:val="232323"/>
        </w:rPr>
        <w:t>secured</w:t>
      </w:r>
      <w:r>
        <w:rPr>
          <w:color w:val="232323"/>
          <w:spacing w:val="-7"/>
        </w:rPr>
        <w:t> </w:t>
      </w:r>
      <w:r>
        <w:rPr>
          <w:color w:val="232323"/>
        </w:rPr>
        <w:t>a</w:t>
      </w:r>
      <w:r>
        <w:rPr>
          <w:color w:val="232323"/>
          <w:spacing w:val="-4"/>
        </w:rPr>
        <w:t> </w:t>
      </w:r>
      <w:r>
        <w:rPr>
          <w:color w:val="232323"/>
        </w:rPr>
        <w:t>winning</w:t>
      </w:r>
      <w:r>
        <w:rPr>
          <w:color w:val="232323"/>
          <w:spacing w:val="-4"/>
        </w:rPr>
        <w:t> </w:t>
      </w:r>
      <w:r>
        <w:rPr>
          <w:color w:val="232323"/>
        </w:rPr>
        <w:t>bid</w:t>
      </w:r>
      <w:r>
        <w:rPr>
          <w:color w:val="232323"/>
          <w:spacing w:val="-7"/>
        </w:rPr>
        <w:t> </w:t>
      </w:r>
      <w:r>
        <w:rPr>
          <w:color w:val="232323"/>
        </w:rPr>
        <w:t>with</w:t>
      </w:r>
      <w:r>
        <w:rPr>
          <w:color w:val="232323"/>
          <w:spacing w:val="-4"/>
        </w:rPr>
        <w:t> </w:t>
      </w:r>
      <w:r>
        <w:rPr>
          <w:color w:val="232323"/>
        </w:rPr>
        <w:t>UfI</w:t>
      </w:r>
      <w:r>
        <w:rPr>
          <w:color w:val="232323"/>
          <w:spacing w:val="-6"/>
        </w:rPr>
        <w:t> </w:t>
      </w:r>
      <w:r>
        <w:rPr>
          <w:color w:val="232323"/>
        </w:rPr>
        <w:t>to</w:t>
      </w:r>
      <w:r>
        <w:rPr>
          <w:color w:val="232323"/>
          <w:spacing w:val="-4"/>
        </w:rPr>
        <w:t> </w:t>
      </w:r>
      <w:r>
        <w:rPr>
          <w:color w:val="232323"/>
        </w:rPr>
        <w:t>develop</w:t>
      </w:r>
      <w:r>
        <w:rPr>
          <w:color w:val="232323"/>
          <w:spacing w:val="-4"/>
        </w:rPr>
        <w:t> </w:t>
      </w:r>
      <w:r>
        <w:rPr>
          <w:color w:val="232323"/>
        </w:rPr>
        <w:t>the</w:t>
      </w:r>
      <w:r>
        <w:rPr>
          <w:color w:val="232323"/>
          <w:spacing w:val="-4"/>
        </w:rPr>
        <w:t> </w:t>
      </w:r>
      <w:r>
        <w:rPr>
          <w:color w:val="232323"/>
        </w:rPr>
        <w:t>technology</w:t>
      </w:r>
      <w:r>
        <w:rPr>
          <w:color w:val="232323"/>
          <w:spacing w:val="-3"/>
        </w:rPr>
        <w:t> </w:t>
      </w:r>
      <w:r>
        <w:rPr>
          <w:color w:val="232323"/>
        </w:rPr>
        <w:t>further,</w:t>
      </w:r>
      <w:r>
        <w:rPr>
          <w:color w:val="232323"/>
          <w:spacing w:val="-4"/>
        </w:rPr>
        <w:t> </w:t>
      </w:r>
      <w:r>
        <w:rPr>
          <w:color w:val="232323"/>
        </w:rPr>
        <w:t>won</w:t>
      </w:r>
      <w:r>
        <w:rPr>
          <w:color w:val="232323"/>
          <w:spacing w:val="-4"/>
        </w:rPr>
        <w:t> </w:t>
      </w:r>
      <w:r>
        <w:rPr>
          <w:color w:val="232323"/>
        </w:rPr>
        <w:t>the Association of Learning Technology Award in the Ethical use of Educational Technology and was shortlisted for an AoC Beacon Award in the Effective use of Technology.</w:t>
      </w:r>
    </w:p>
    <w:p>
      <w:pPr>
        <w:pStyle w:val="BodyText"/>
      </w:pPr>
    </w:p>
    <w:p>
      <w:pPr>
        <w:pStyle w:val="BodyText"/>
        <w:ind w:left="852" w:right="1087"/>
        <w:jc w:val="both"/>
      </w:pPr>
      <w:r>
        <w:rPr>
          <w:color w:val="232323"/>
        </w:rPr>
        <w:t>2022/23 was an exceptional year for the college, with its highest ever achievement rates, a significantly improved reputation locally, regionally and nationally, secure finances and an experienced,</w:t>
      </w:r>
      <w:r>
        <w:rPr>
          <w:color w:val="232323"/>
          <w:spacing w:val="-1"/>
        </w:rPr>
        <w:t> </w:t>
      </w:r>
      <w:r>
        <w:rPr>
          <w:color w:val="232323"/>
        </w:rPr>
        <w:t>ambitious and</w:t>
      </w:r>
      <w:r>
        <w:rPr>
          <w:color w:val="232323"/>
          <w:spacing w:val="-1"/>
        </w:rPr>
        <w:t> </w:t>
      </w:r>
      <w:r>
        <w:rPr>
          <w:color w:val="232323"/>
        </w:rPr>
        <w:t>stable</w:t>
      </w:r>
      <w:r>
        <w:rPr>
          <w:color w:val="232323"/>
          <w:spacing w:val="-3"/>
        </w:rPr>
        <w:t> </w:t>
      </w:r>
      <w:r>
        <w:rPr>
          <w:color w:val="232323"/>
        </w:rPr>
        <w:t>senior</w:t>
      </w:r>
      <w:r>
        <w:rPr>
          <w:color w:val="232323"/>
          <w:spacing w:val="-2"/>
        </w:rPr>
        <w:t> </w:t>
      </w:r>
      <w:r>
        <w:rPr>
          <w:color w:val="232323"/>
        </w:rPr>
        <w:t>team</w:t>
      </w:r>
      <w:r>
        <w:rPr>
          <w:color w:val="232323"/>
          <w:spacing w:val="-3"/>
        </w:rPr>
        <w:t> </w:t>
      </w:r>
      <w:r>
        <w:rPr>
          <w:color w:val="232323"/>
        </w:rPr>
        <w:t>to</w:t>
      </w:r>
      <w:r>
        <w:rPr>
          <w:color w:val="232323"/>
          <w:spacing w:val="-3"/>
        </w:rPr>
        <w:t> </w:t>
      </w:r>
      <w:r>
        <w:rPr>
          <w:color w:val="232323"/>
        </w:rPr>
        <w:t>ensure</w:t>
      </w:r>
      <w:r>
        <w:rPr>
          <w:color w:val="232323"/>
          <w:spacing w:val="-3"/>
        </w:rPr>
        <w:t> </w:t>
      </w:r>
      <w:r>
        <w:rPr>
          <w:color w:val="232323"/>
        </w:rPr>
        <w:t>the</w:t>
      </w:r>
      <w:r>
        <w:rPr>
          <w:color w:val="232323"/>
          <w:spacing w:val="-3"/>
        </w:rPr>
        <w:t> </w:t>
      </w:r>
      <w:r>
        <w:rPr>
          <w:color w:val="232323"/>
        </w:rPr>
        <w:t>college</w:t>
      </w:r>
      <w:r>
        <w:rPr>
          <w:color w:val="232323"/>
          <w:spacing w:val="-1"/>
        </w:rPr>
        <w:t> </w:t>
      </w:r>
      <w:r>
        <w:rPr>
          <w:color w:val="232323"/>
        </w:rPr>
        <w:t>moves</w:t>
      </w:r>
      <w:r>
        <w:rPr>
          <w:color w:val="232323"/>
          <w:spacing w:val="-2"/>
        </w:rPr>
        <w:t> </w:t>
      </w:r>
      <w:r>
        <w:rPr>
          <w:color w:val="232323"/>
        </w:rPr>
        <w:t>to</w:t>
      </w:r>
      <w:r>
        <w:rPr>
          <w:color w:val="232323"/>
          <w:spacing w:val="-3"/>
        </w:rPr>
        <w:t> </w:t>
      </w:r>
      <w:r>
        <w:rPr>
          <w:color w:val="232323"/>
        </w:rPr>
        <w:t>excellence</w:t>
      </w:r>
      <w:r>
        <w:rPr>
          <w:color w:val="232323"/>
          <w:spacing w:val="-1"/>
        </w:rPr>
        <w:t> </w:t>
      </w:r>
      <w:r>
        <w:rPr>
          <w:color w:val="232323"/>
        </w:rPr>
        <w:t>at</w:t>
      </w:r>
      <w:r>
        <w:rPr>
          <w:color w:val="232323"/>
          <w:spacing w:val="-3"/>
        </w:rPr>
        <w:t> </w:t>
      </w:r>
      <w:r>
        <w:rPr>
          <w:color w:val="232323"/>
        </w:rPr>
        <w:t>pace.</w:t>
      </w:r>
    </w:p>
    <w:p>
      <w:pPr>
        <w:pStyle w:val="BodyText"/>
        <w:spacing w:after="0"/>
        <w:jc w:val="both"/>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pacing w:val="-2"/>
          <w:sz w:val="24"/>
        </w:rPr>
        <w:t>Mission</w:t>
      </w:r>
    </w:p>
    <w:p>
      <w:pPr>
        <w:pStyle w:val="BodyText"/>
        <w:spacing w:before="275"/>
        <w:ind w:left="852"/>
      </w:pPr>
      <w:r>
        <w:rPr/>
        <w:t>The</w:t>
      </w:r>
      <w:r>
        <w:rPr>
          <w:spacing w:val="-7"/>
        </w:rPr>
        <w:t> </w:t>
      </w:r>
      <w:r>
        <w:rPr/>
        <w:t>College’s</w:t>
      </w:r>
      <w:r>
        <w:rPr>
          <w:spacing w:val="-5"/>
        </w:rPr>
        <w:t> </w:t>
      </w:r>
      <w:r>
        <w:rPr/>
        <w:t>mission</w:t>
      </w:r>
      <w:r>
        <w:rPr>
          <w:spacing w:val="-5"/>
        </w:rPr>
        <w:t> </w:t>
      </w:r>
      <w:r>
        <w:rPr/>
        <w:t>as</w:t>
      </w:r>
      <w:r>
        <w:rPr>
          <w:spacing w:val="-6"/>
        </w:rPr>
        <w:t> </w:t>
      </w:r>
      <w:r>
        <w:rPr/>
        <w:t>approved</w:t>
      </w:r>
      <w:r>
        <w:rPr>
          <w:spacing w:val="-4"/>
        </w:rPr>
        <w:t> </w:t>
      </w:r>
      <w:r>
        <w:rPr/>
        <w:t>by</w:t>
      </w:r>
      <w:r>
        <w:rPr>
          <w:spacing w:val="-6"/>
        </w:rPr>
        <w:t> </w:t>
      </w:r>
      <w:r>
        <w:rPr/>
        <w:t>its</w:t>
      </w:r>
      <w:r>
        <w:rPr>
          <w:spacing w:val="-5"/>
        </w:rPr>
        <w:t> </w:t>
      </w:r>
      <w:r>
        <w:rPr/>
        <w:t>members</w:t>
      </w:r>
      <w:r>
        <w:rPr>
          <w:spacing w:val="-6"/>
        </w:rPr>
        <w:t> </w:t>
      </w:r>
      <w:r>
        <w:rPr/>
        <w:t>is</w:t>
      </w:r>
      <w:r>
        <w:rPr>
          <w:spacing w:val="-3"/>
        </w:rPr>
        <w:t> </w:t>
      </w:r>
      <w:r>
        <w:rPr/>
        <w:t>as</w:t>
      </w:r>
      <w:r>
        <w:rPr>
          <w:spacing w:val="-5"/>
        </w:rPr>
        <w:t> </w:t>
      </w:r>
      <w:r>
        <w:rPr>
          <w:spacing w:val="-2"/>
        </w:rPr>
        <w:t>follows:</w:t>
      </w:r>
    </w:p>
    <w:p>
      <w:pPr>
        <w:pStyle w:val="BodyText"/>
        <w:spacing w:before="2"/>
      </w:pPr>
    </w:p>
    <w:p>
      <w:pPr>
        <w:pStyle w:val="Heading4"/>
      </w:pPr>
      <w:r>
        <w:rPr>
          <w:i/>
        </w:rPr>
        <w:t>“Inspiring,</w:t>
      </w:r>
      <w:r>
        <w:rPr>
          <w:i/>
          <w:spacing w:val="40"/>
        </w:rPr>
        <w:t> </w:t>
      </w:r>
      <w:r>
        <w:rPr>
          <w:i/>
        </w:rPr>
        <w:t>empowering,</w:t>
      </w:r>
      <w:r>
        <w:rPr>
          <w:i/>
          <w:spacing w:val="40"/>
        </w:rPr>
        <w:t> </w:t>
      </w:r>
      <w:r>
        <w:rPr>
          <w:i/>
        </w:rPr>
        <w:t>educating</w:t>
      </w:r>
      <w:r>
        <w:rPr>
          <w:i/>
          <w:spacing w:val="40"/>
        </w:rPr>
        <w:t> </w:t>
      </w:r>
      <w:r>
        <w:rPr>
          <w:i/>
        </w:rPr>
        <w:t>young</w:t>
      </w:r>
      <w:r>
        <w:rPr>
          <w:i/>
          <w:spacing w:val="40"/>
        </w:rPr>
        <w:t> </w:t>
      </w:r>
      <w:r>
        <w:rPr>
          <w:i/>
        </w:rPr>
        <w:t>people</w:t>
      </w:r>
      <w:r>
        <w:rPr>
          <w:i/>
          <w:spacing w:val="40"/>
        </w:rPr>
        <w:t> </w:t>
      </w:r>
      <w:r>
        <w:rPr>
          <w:i/>
        </w:rPr>
        <w:t>and</w:t>
      </w:r>
      <w:r>
        <w:rPr/>
        <w:t> adults in Hull to realise their full potential.”</w:t>
      </w:r>
    </w:p>
    <w:p>
      <w:pPr>
        <w:pStyle w:val="BodyText"/>
        <w:spacing w:before="119"/>
        <w:ind w:left="852"/>
      </w:pPr>
      <w:r>
        <w:rPr/>
        <w:t>The</w:t>
      </w:r>
      <w:r>
        <w:rPr>
          <w:spacing w:val="-7"/>
        </w:rPr>
        <w:t> </w:t>
      </w:r>
      <w:r>
        <w:rPr/>
        <w:t>College’s</w:t>
      </w:r>
      <w:r>
        <w:rPr>
          <w:spacing w:val="-5"/>
        </w:rPr>
        <w:t> </w:t>
      </w:r>
      <w:r>
        <w:rPr/>
        <w:t>vision</w:t>
      </w:r>
      <w:r>
        <w:rPr>
          <w:spacing w:val="-7"/>
        </w:rPr>
        <w:t> </w:t>
      </w:r>
      <w:r>
        <w:rPr/>
        <w:t>for</w:t>
      </w:r>
      <w:r>
        <w:rPr>
          <w:spacing w:val="-4"/>
        </w:rPr>
        <w:t> </w:t>
      </w:r>
      <w:r>
        <w:rPr/>
        <w:t>2025</w:t>
      </w:r>
      <w:r>
        <w:rPr>
          <w:spacing w:val="-6"/>
        </w:rPr>
        <w:t> </w:t>
      </w:r>
      <w:r>
        <w:rPr>
          <w:spacing w:val="-5"/>
        </w:rPr>
        <w:t>is:</w:t>
      </w:r>
    </w:p>
    <w:p>
      <w:pPr>
        <w:spacing w:before="121"/>
        <w:ind w:left="852" w:right="1087" w:firstLine="0"/>
        <w:jc w:val="both"/>
        <w:rPr>
          <w:sz w:val="20"/>
        </w:rPr>
      </w:pPr>
      <w:r>
        <w:rPr>
          <w:i/>
          <w:sz w:val="20"/>
        </w:rPr>
        <w:t>Hull</w:t>
      </w:r>
      <w:r>
        <w:rPr>
          <w:i/>
          <w:spacing w:val="-5"/>
          <w:sz w:val="20"/>
        </w:rPr>
        <w:t> </w:t>
      </w:r>
      <w:r>
        <w:rPr>
          <w:i/>
          <w:sz w:val="20"/>
        </w:rPr>
        <w:t>College</w:t>
      </w:r>
      <w:r>
        <w:rPr>
          <w:i/>
          <w:spacing w:val="-4"/>
          <w:sz w:val="20"/>
        </w:rPr>
        <w:t> </w:t>
      </w:r>
      <w:r>
        <w:rPr>
          <w:i/>
          <w:sz w:val="20"/>
        </w:rPr>
        <w:t>in</w:t>
      </w:r>
      <w:r>
        <w:rPr>
          <w:i/>
          <w:spacing w:val="-4"/>
          <w:sz w:val="20"/>
        </w:rPr>
        <w:t> </w:t>
      </w:r>
      <w:r>
        <w:rPr>
          <w:i/>
          <w:sz w:val="20"/>
        </w:rPr>
        <w:t>2025</w:t>
      </w:r>
      <w:r>
        <w:rPr>
          <w:i/>
          <w:spacing w:val="-4"/>
          <w:sz w:val="20"/>
        </w:rPr>
        <w:t> </w:t>
      </w:r>
      <w:r>
        <w:rPr>
          <w:i/>
          <w:sz w:val="20"/>
        </w:rPr>
        <w:t>will</w:t>
      </w:r>
      <w:r>
        <w:rPr>
          <w:i/>
          <w:spacing w:val="-5"/>
          <w:sz w:val="20"/>
        </w:rPr>
        <w:t> </w:t>
      </w:r>
      <w:r>
        <w:rPr>
          <w:i/>
          <w:sz w:val="20"/>
        </w:rPr>
        <w:t>be</w:t>
      </w:r>
      <w:r>
        <w:rPr>
          <w:i/>
          <w:spacing w:val="-2"/>
          <w:sz w:val="20"/>
        </w:rPr>
        <w:t> </w:t>
      </w:r>
      <w:r>
        <w:rPr>
          <w:i/>
          <w:sz w:val="20"/>
        </w:rPr>
        <w:t>a</w:t>
      </w:r>
      <w:r>
        <w:rPr>
          <w:i/>
          <w:spacing w:val="-4"/>
          <w:sz w:val="20"/>
        </w:rPr>
        <w:t> </w:t>
      </w:r>
      <w:r>
        <w:rPr>
          <w:i/>
          <w:sz w:val="20"/>
        </w:rPr>
        <w:t>vibrant,</w:t>
      </w:r>
      <w:r>
        <w:rPr>
          <w:i/>
          <w:spacing w:val="-4"/>
          <w:sz w:val="20"/>
        </w:rPr>
        <w:t> </w:t>
      </w:r>
      <w:r>
        <w:rPr>
          <w:i/>
          <w:sz w:val="20"/>
        </w:rPr>
        <w:t>sustainable,</w:t>
      </w:r>
      <w:r>
        <w:rPr>
          <w:i/>
          <w:spacing w:val="-4"/>
          <w:sz w:val="20"/>
        </w:rPr>
        <w:t> </w:t>
      </w:r>
      <w:r>
        <w:rPr>
          <w:i/>
          <w:sz w:val="20"/>
        </w:rPr>
        <w:t>and</w:t>
      </w:r>
      <w:r>
        <w:rPr>
          <w:i/>
          <w:spacing w:val="-4"/>
          <w:sz w:val="20"/>
        </w:rPr>
        <w:t> </w:t>
      </w:r>
      <w:r>
        <w:rPr>
          <w:i/>
          <w:sz w:val="20"/>
        </w:rPr>
        <w:t>inclusive</w:t>
      </w:r>
      <w:r>
        <w:rPr>
          <w:i/>
          <w:spacing w:val="-4"/>
          <w:sz w:val="20"/>
        </w:rPr>
        <w:t> </w:t>
      </w:r>
      <w:r>
        <w:rPr>
          <w:i/>
          <w:sz w:val="20"/>
        </w:rPr>
        <w:t>college</w:t>
      </w:r>
      <w:r>
        <w:rPr>
          <w:i/>
          <w:spacing w:val="-4"/>
          <w:sz w:val="20"/>
        </w:rPr>
        <w:t> </w:t>
      </w:r>
      <w:r>
        <w:rPr>
          <w:i/>
          <w:sz w:val="20"/>
        </w:rPr>
        <w:t>meeting</w:t>
      </w:r>
      <w:r>
        <w:rPr>
          <w:i/>
          <w:spacing w:val="-4"/>
          <w:sz w:val="20"/>
        </w:rPr>
        <w:t> </w:t>
      </w:r>
      <w:r>
        <w:rPr>
          <w:i/>
          <w:sz w:val="20"/>
        </w:rPr>
        <w:t>the</w:t>
      </w:r>
      <w:r>
        <w:rPr>
          <w:i/>
          <w:spacing w:val="-4"/>
          <w:sz w:val="20"/>
        </w:rPr>
        <w:t> </w:t>
      </w:r>
      <w:r>
        <w:rPr>
          <w:i/>
          <w:sz w:val="20"/>
        </w:rPr>
        <w:t>diverse</w:t>
      </w:r>
      <w:r>
        <w:rPr>
          <w:i/>
          <w:spacing w:val="-4"/>
          <w:sz w:val="20"/>
        </w:rPr>
        <w:t> </w:t>
      </w:r>
      <w:r>
        <w:rPr>
          <w:i/>
          <w:sz w:val="20"/>
        </w:rPr>
        <w:t>needs</w:t>
      </w:r>
      <w:r>
        <w:rPr>
          <w:i/>
          <w:sz w:val="20"/>
        </w:rPr>
        <w:t> of young people and adults. With our reputation fully restored, our stakeholders and partners will recognise and respect the significant role we play in supporting prosperous futures for the people of Hull and the wider Humber region</w:t>
      </w:r>
      <w:r>
        <w:rPr>
          <w:sz w:val="20"/>
        </w:rPr>
        <w:t>.</w:t>
      </w:r>
    </w:p>
    <w:p>
      <w:pPr>
        <w:pStyle w:val="BodyText"/>
        <w:spacing w:before="119"/>
        <w:ind w:left="852"/>
        <w:jc w:val="both"/>
      </w:pPr>
      <w:r>
        <w:rPr/>
        <w:t>The</w:t>
      </w:r>
      <w:r>
        <w:rPr>
          <w:spacing w:val="-8"/>
        </w:rPr>
        <w:t> </w:t>
      </w:r>
      <w:r>
        <w:rPr/>
        <w:t>College’s</w:t>
      </w:r>
      <w:r>
        <w:rPr>
          <w:spacing w:val="-7"/>
        </w:rPr>
        <w:t> </w:t>
      </w:r>
      <w:r>
        <w:rPr/>
        <w:t>values</w:t>
      </w:r>
      <w:r>
        <w:rPr>
          <w:spacing w:val="-7"/>
        </w:rPr>
        <w:t> </w:t>
      </w:r>
      <w:r>
        <w:rPr>
          <w:spacing w:val="-4"/>
        </w:rPr>
        <w:t>are:</w:t>
      </w:r>
    </w:p>
    <w:p>
      <w:pPr>
        <w:pStyle w:val="BodyText"/>
        <w:spacing w:before="121"/>
        <w:ind w:left="852"/>
      </w:pPr>
      <w:r>
        <w:rPr/>
        <w:t>We</w:t>
      </w:r>
      <w:r>
        <w:rPr>
          <w:spacing w:val="-4"/>
        </w:rPr>
        <w:t> </w:t>
      </w:r>
      <w:r>
        <w:rPr/>
        <w:t>are</w:t>
      </w:r>
      <w:r>
        <w:rPr>
          <w:spacing w:val="-4"/>
        </w:rPr>
        <w:t> </w:t>
      </w:r>
      <w:r>
        <w:rPr>
          <w:spacing w:val="-2"/>
        </w:rPr>
        <w:t>inclusive.</w:t>
      </w:r>
    </w:p>
    <w:p>
      <w:pPr>
        <w:pStyle w:val="ListParagraph"/>
        <w:numPr>
          <w:ilvl w:val="0"/>
          <w:numId w:val="1"/>
        </w:numPr>
        <w:tabs>
          <w:tab w:pos="1629" w:val="left" w:leader="none"/>
        </w:tabs>
        <w:spacing w:line="240" w:lineRule="auto" w:before="121" w:after="0"/>
        <w:ind w:left="1629" w:right="0" w:hanging="357"/>
        <w:jc w:val="left"/>
        <w:rPr>
          <w:rFonts w:ascii="Symbol" w:hAnsi="Symbol"/>
          <w:sz w:val="20"/>
        </w:rPr>
      </w:pPr>
      <w:r>
        <w:rPr>
          <w:sz w:val="20"/>
        </w:rPr>
        <w:t>We</w:t>
      </w:r>
      <w:r>
        <w:rPr>
          <w:spacing w:val="-8"/>
          <w:sz w:val="20"/>
        </w:rPr>
        <w:t> </w:t>
      </w:r>
      <w:r>
        <w:rPr>
          <w:sz w:val="20"/>
        </w:rPr>
        <w:t>celebrate</w:t>
      </w:r>
      <w:r>
        <w:rPr>
          <w:spacing w:val="-6"/>
          <w:sz w:val="20"/>
        </w:rPr>
        <w:t> </w:t>
      </w:r>
      <w:r>
        <w:rPr>
          <w:sz w:val="20"/>
        </w:rPr>
        <w:t>diversity</w:t>
      </w:r>
      <w:r>
        <w:rPr>
          <w:spacing w:val="-7"/>
          <w:sz w:val="20"/>
        </w:rPr>
        <w:t> </w:t>
      </w:r>
      <w:r>
        <w:rPr>
          <w:sz w:val="20"/>
        </w:rPr>
        <w:t>and</w:t>
      </w:r>
      <w:r>
        <w:rPr>
          <w:spacing w:val="-6"/>
          <w:sz w:val="20"/>
        </w:rPr>
        <w:t> </w:t>
      </w:r>
      <w:r>
        <w:rPr>
          <w:sz w:val="20"/>
        </w:rPr>
        <w:t>value</w:t>
      </w:r>
      <w:r>
        <w:rPr>
          <w:spacing w:val="-6"/>
          <w:sz w:val="20"/>
        </w:rPr>
        <w:t> </w:t>
      </w:r>
      <w:r>
        <w:rPr>
          <w:spacing w:val="-2"/>
          <w:sz w:val="20"/>
        </w:rPr>
        <w:t>individuality.</w:t>
      </w:r>
    </w:p>
    <w:p>
      <w:pPr>
        <w:pStyle w:val="ListParagraph"/>
        <w:numPr>
          <w:ilvl w:val="0"/>
          <w:numId w:val="1"/>
        </w:numPr>
        <w:tabs>
          <w:tab w:pos="1629" w:val="left" w:leader="none"/>
        </w:tabs>
        <w:spacing w:line="240" w:lineRule="auto" w:before="31" w:after="0"/>
        <w:ind w:left="1629" w:right="0" w:hanging="357"/>
        <w:jc w:val="left"/>
        <w:rPr>
          <w:rFonts w:ascii="Symbol" w:hAnsi="Symbol"/>
          <w:sz w:val="20"/>
        </w:rPr>
      </w:pPr>
      <w:r>
        <w:rPr>
          <w:sz w:val="20"/>
        </w:rPr>
        <w:t>We</w:t>
      </w:r>
      <w:r>
        <w:rPr>
          <w:spacing w:val="-7"/>
          <w:sz w:val="20"/>
        </w:rPr>
        <w:t> </w:t>
      </w:r>
      <w:r>
        <w:rPr>
          <w:sz w:val="20"/>
        </w:rPr>
        <w:t>thrive</w:t>
      </w:r>
      <w:r>
        <w:rPr>
          <w:spacing w:val="-7"/>
          <w:sz w:val="20"/>
        </w:rPr>
        <w:t> </w:t>
      </w:r>
      <w:r>
        <w:rPr>
          <w:sz w:val="20"/>
        </w:rPr>
        <w:t>on</w:t>
      </w:r>
      <w:r>
        <w:rPr>
          <w:spacing w:val="-7"/>
          <w:sz w:val="20"/>
        </w:rPr>
        <w:t> </w:t>
      </w:r>
      <w:r>
        <w:rPr>
          <w:sz w:val="20"/>
        </w:rPr>
        <w:t>understanding</w:t>
      </w:r>
      <w:r>
        <w:rPr>
          <w:spacing w:val="-5"/>
          <w:sz w:val="20"/>
        </w:rPr>
        <w:t> </w:t>
      </w:r>
      <w:r>
        <w:rPr>
          <w:sz w:val="20"/>
        </w:rPr>
        <w:t>and</w:t>
      </w:r>
      <w:r>
        <w:rPr>
          <w:spacing w:val="-5"/>
          <w:sz w:val="20"/>
        </w:rPr>
        <w:t> </w:t>
      </w:r>
      <w:r>
        <w:rPr>
          <w:sz w:val="20"/>
        </w:rPr>
        <w:t>helping</w:t>
      </w:r>
      <w:r>
        <w:rPr>
          <w:spacing w:val="-5"/>
          <w:sz w:val="20"/>
        </w:rPr>
        <w:t> </w:t>
      </w:r>
      <w:r>
        <w:rPr>
          <w:sz w:val="20"/>
        </w:rPr>
        <w:t>each</w:t>
      </w:r>
      <w:r>
        <w:rPr>
          <w:spacing w:val="-5"/>
          <w:sz w:val="20"/>
        </w:rPr>
        <w:t> </w:t>
      </w:r>
      <w:r>
        <w:rPr>
          <w:spacing w:val="-2"/>
          <w:sz w:val="20"/>
        </w:rPr>
        <w:t>other.</w:t>
      </w:r>
    </w:p>
    <w:p>
      <w:pPr>
        <w:pStyle w:val="ListParagraph"/>
        <w:numPr>
          <w:ilvl w:val="0"/>
          <w:numId w:val="1"/>
        </w:numPr>
        <w:tabs>
          <w:tab w:pos="1629" w:val="left" w:leader="none"/>
        </w:tabs>
        <w:spacing w:line="372" w:lineRule="auto" w:before="32" w:after="0"/>
        <w:ind w:left="852" w:right="3488" w:firstLine="420"/>
        <w:jc w:val="left"/>
        <w:rPr>
          <w:rFonts w:ascii="Symbol" w:hAnsi="Symbol"/>
          <w:sz w:val="22"/>
        </w:rPr>
      </w:pPr>
      <w:r>
        <w:rPr>
          <w:sz w:val="20"/>
        </w:rPr>
        <w:t>We</w:t>
      </w:r>
      <w:r>
        <w:rPr>
          <w:spacing w:val="-3"/>
          <w:sz w:val="20"/>
        </w:rPr>
        <w:t> </w:t>
      </w:r>
      <w:r>
        <w:rPr>
          <w:sz w:val="20"/>
        </w:rPr>
        <w:t>provide</w:t>
      </w:r>
      <w:r>
        <w:rPr>
          <w:spacing w:val="-5"/>
          <w:sz w:val="20"/>
        </w:rPr>
        <w:t> </w:t>
      </w:r>
      <w:r>
        <w:rPr>
          <w:sz w:val="20"/>
        </w:rPr>
        <w:t>a</w:t>
      </w:r>
      <w:r>
        <w:rPr>
          <w:spacing w:val="-5"/>
          <w:sz w:val="20"/>
        </w:rPr>
        <w:t> </w:t>
      </w:r>
      <w:r>
        <w:rPr>
          <w:sz w:val="20"/>
        </w:rPr>
        <w:t>safe,</w:t>
      </w:r>
      <w:r>
        <w:rPr>
          <w:spacing w:val="-5"/>
          <w:sz w:val="20"/>
        </w:rPr>
        <w:t> </w:t>
      </w:r>
      <w:r>
        <w:rPr>
          <w:sz w:val="20"/>
        </w:rPr>
        <w:t>friendly</w:t>
      </w:r>
      <w:r>
        <w:rPr>
          <w:spacing w:val="-1"/>
          <w:sz w:val="20"/>
        </w:rPr>
        <w:t> </w:t>
      </w:r>
      <w:r>
        <w:rPr>
          <w:sz w:val="20"/>
        </w:rPr>
        <w:t>and</w:t>
      </w:r>
      <w:r>
        <w:rPr>
          <w:spacing w:val="-5"/>
          <w:sz w:val="20"/>
        </w:rPr>
        <w:t> </w:t>
      </w:r>
      <w:r>
        <w:rPr>
          <w:sz w:val="20"/>
        </w:rPr>
        <w:t>welcoming</w:t>
      </w:r>
      <w:r>
        <w:rPr>
          <w:spacing w:val="-5"/>
          <w:sz w:val="20"/>
        </w:rPr>
        <w:t> </w:t>
      </w:r>
      <w:r>
        <w:rPr>
          <w:sz w:val="20"/>
        </w:rPr>
        <w:t>environment</w:t>
      </w:r>
      <w:r>
        <w:rPr>
          <w:spacing w:val="-5"/>
          <w:sz w:val="20"/>
        </w:rPr>
        <w:t> </w:t>
      </w:r>
      <w:r>
        <w:rPr>
          <w:sz w:val="20"/>
        </w:rPr>
        <w:t>for</w:t>
      </w:r>
      <w:r>
        <w:rPr>
          <w:spacing w:val="-4"/>
          <w:sz w:val="20"/>
        </w:rPr>
        <w:t> </w:t>
      </w:r>
      <w:r>
        <w:rPr>
          <w:sz w:val="20"/>
        </w:rPr>
        <w:t>all. We are empowering.</w:t>
      </w:r>
    </w:p>
    <w:p>
      <w:pPr>
        <w:pStyle w:val="ListParagraph"/>
        <w:numPr>
          <w:ilvl w:val="0"/>
          <w:numId w:val="1"/>
        </w:numPr>
        <w:tabs>
          <w:tab w:pos="1629" w:val="left" w:leader="none"/>
        </w:tabs>
        <w:spacing w:line="240" w:lineRule="exact" w:before="0" w:after="0"/>
        <w:ind w:left="1629" w:right="0" w:hanging="357"/>
        <w:jc w:val="left"/>
        <w:rPr>
          <w:rFonts w:ascii="Symbol" w:hAnsi="Symbol"/>
          <w:sz w:val="20"/>
        </w:rPr>
      </w:pPr>
      <w:r>
        <w:rPr>
          <w:sz w:val="20"/>
        </w:rPr>
        <w:t>We</w:t>
      </w:r>
      <w:r>
        <w:rPr>
          <w:spacing w:val="-7"/>
          <w:sz w:val="20"/>
        </w:rPr>
        <w:t> </w:t>
      </w:r>
      <w:r>
        <w:rPr>
          <w:sz w:val="20"/>
        </w:rPr>
        <w:t>build</w:t>
      </w:r>
      <w:r>
        <w:rPr>
          <w:spacing w:val="-7"/>
          <w:sz w:val="20"/>
        </w:rPr>
        <w:t> </w:t>
      </w:r>
      <w:r>
        <w:rPr>
          <w:sz w:val="20"/>
        </w:rPr>
        <w:t>our</w:t>
      </w:r>
      <w:r>
        <w:rPr>
          <w:spacing w:val="-8"/>
          <w:sz w:val="20"/>
        </w:rPr>
        <w:t> </w:t>
      </w:r>
      <w:r>
        <w:rPr>
          <w:sz w:val="20"/>
        </w:rPr>
        <w:t>students’</w:t>
      </w:r>
      <w:r>
        <w:rPr>
          <w:spacing w:val="-10"/>
          <w:sz w:val="20"/>
        </w:rPr>
        <w:t> </w:t>
      </w:r>
      <w:r>
        <w:rPr>
          <w:sz w:val="20"/>
        </w:rPr>
        <w:t>confidence,</w:t>
      </w:r>
      <w:r>
        <w:rPr>
          <w:spacing w:val="-8"/>
          <w:sz w:val="20"/>
        </w:rPr>
        <w:t> </w:t>
      </w:r>
      <w:r>
        <w:rPr>
          <w:sz w:val="20"/>
        </w:rPr>
        <w:t>knowledge,</w:t>
      </w:r>
      <w:r>
        <w:rPr>
          <w:spacing w:val="-9"/>
          <w:sz w:val="20"/>
        </w:rPr>
        <w:t> </w:t>
      </w:r>
      <w:r>
        <w:rPr>
          <w:sz w:val="20"/>
        </w:rPr>
        <w:t>understanding</w:t>
      </w:r>
      <w:r>
        <w:rPr>
          <w:spacing w:val="-7"/>
          <w:sz w:val="20"/>
        </w:rPr>
        <w:t> </w:t>
      </w:r>
      <w:r>
        <w:rPr>
          <w:sz w:val="20"/>
        </w:rPr>
        <w:t>and</w:t>
      </w:r>
      <w:r>
        <w:rPr>
          <w:spacing w:val="-7"/>
          <w:sz w:val="20"/>
        </w:rPr>
        <w:t> </w:t>
      </w:r>
      <w:r>
        <w:rPr>
          <w:spacing w:val="-2"/>
          <w:sz w:val="20"/>
        </w:rPr>
        <w:t>skills.</w:t>
      </w:r>
    </w:p>
    <w:p>
      <w:pPr>
        <w:pStyle w:val="ListParagraph"/>
        <w:numPr>
          <w:ilvl w:val="0"/>
          <w:numId w:val="1"/>
        </w:numPr>
        <w:tabs>
          <w:tab w:pos="1632" w:val="left" w:leader="none"/>
        </w:tabs>
        <w:spacing w:line="240" w:lineRule="auto" w:before="34" w:after="0"/>
        <w:ind w:left="1632" w:right="0" w:hanging="360"/>
        <w:jc w:val="left"/>
        <w:rPr>
          <w:rFonts w:ascii="Symbol" w:hAnsi="Symbol"/>
          <w:sz w:val="20"/>
        </w:rPr>
      </w:pPr>
      <w:r>
        <w:rPr>
          <w:sz w:val="20"/>
        </w:rPr>
        <w:t>We</w:t>
      </w:r>
      <w:r>
        <w:rPr>
          <w:spacing w:val="-5"/>
          <w:sz w:val="20"/>
        </w:rPr>
        <w:t> </w:t>
      </w:r>
      <w:r>
        <w:rPr>
          <w:sz w:val="20"/>
        </w:rPr>
        <w:t>help</w:t>
      </w:r>
      <w:r>
        <w:rPr>
          <w:spacing w:val="-6"/>
          <w:sz w:val="20"/>
        </w:rPr>
        <w:t> </w:t>
      </w:r>
      <w:r>
        <w:rPr>
          <w:sz w:val="20"/>
        </w:rPr>
        <w:t>our</w:t>
      </w:r>
      <w:r>
        <w:rPr>
          <w:spacing w:val="-5"/>
          <w:sz w:val="20"/>
        </w:rPr>
        <w:t> </w:t>
      </w:r>
      <w:r>
        <w:rPr>
          <w:sz w:val="20"/>
        </w:rPr>
        <w:t>students</w:t>
      </w:r>
      <w:r>
        <w:rPr>
          <w:spacing w:val="-5"/>
          <w:sz w:val="20"/>
        </w:rPr>
        <w:t> </w:t>
      </w:r>
      <w:r>
        <w:rPr>
          <w:sz w:val="20"/>
        </w:rPr>
        <w:t>find</w:t>
      </w:r>
      <w:r>
        <w:rPr>
          <w:spacing w:val="-6"/>
          <w:sz w:val="20"/>
        </w:rPr>
        <w:t> </w:t>
      </w:r>
      <w:r>
        <w:rPr>
          <w:sz w:val="20"/>
        </w:rPr>
        <w:t>their</w:t>
      </w:r>
      <w:r>
        <w:rPr>
          <w:spacing w:val="-5"/>
          <w:sz w:val="20"/>
        </w:rPr>
        <w:t> </w:t>
      </w:r>
      <w:r>
        <w:rPr>
          <w:spacing w:val="-2"/>
          <w:sz w:val="20"/>
        </w:rPr>
        <w:t>strengths.</w:t>
      </w:r>
    </w:p>
    <w:p>
      <w:pPr>
        <w:pStyle w:val="ListParagraph"/>
        <w:numPr>
          <w:ilvl w:val="0"/>
          <w:numId w:val="1"/>
        </w:numPr>
        <w:tabs>
          <w:tab w:pos="1632" w:val="left" w:leader="none"/>
        </w:tabs>
        <w:spacing w:line="240" w:lineRule="auto" w:before="33" w:after="0"/>
        <w:ind w:left="1632" w:right="0" w:hanging="360"/>
        <w:jc w:val="left"/>
        <w:rPr>
          <w:rFonts w:ascii="Symbol" w:hAnsi="Symbol"/>
          <w:sz w:val="20"/>
        </w:rPr>
      </w:pPr>
      <w:r>
        <w:rPr>
          <w:sz w:val="20"/>
        </w:rPr>
        <w:t>We</w:t>
      </w:r>
      <w:r>
        <w:rPr>
          <w:spacing w:val="-6"/>
          <w:sz w:val="20"/>
        </w:rPr>
        <w:t> </w:t>
      </w:r>
      <w:r>
        <w:rPr>
          <w:sz w:val="20"/>
        </w:rPr>
        <w:t>support</w:t>
      </w:r>
      <w:r>
        <w:rPr>
          <w:spacing w:val="-4"/>
          <w:sz w:val="20"/>
        </w:rPr>
        <w:t> </w:t>
      </w:r>
      <w:r>
        <w:rPr>
          <w:sz w:val="20"/>
        </w:rPr>
        <w:t>our</w:t>
      </w:r>
      <w:r>
        <w:rPr>
          <w:spacing w:val="-5"/>
          <w:sz w:val="20"/>
        </w:rPr>
        <w:t> </w:t>
      </w:r>
      <w:r>
        <w:rPr>
          <w:sz w:val="20"/>
        </w:rPr>
        <w:t>students</w:t>
      </w:r>
      <w:r>
        <w:rPr>
          <w:spacing w:val="-5"/>
          <w:sz w:val="20"/>
        </w:rPr>
        <w:t> </w:t>
      </w:r>
      <w:r>
        <w:rPr>
          <w:sz w:val="20"/>
        </w:rPr>
        <w:t>both</w:t>
      </w:r>
      <w:r>
        <w:rPr>
          <w:spacing w:val="-6"/>
          <w:sz w:val="20"/>
        </w:rPr>
        <w:t> </w:t>
      </w:r>
      <w:r>
        <w:rPr>
          <w:sz w:val="20"/>
        </w:rPr>
        <w:t>when</w:t>
      </w:r>
      <w:r>
        <w:rPr>
          <w:spacing w:val="-4"/>
          <w:sz w:val="20"/>
        </w:rPr>
        <w:t> </w:t>
      </w:r>
      <w:r>
        <w:rPr>
          <w:sz w:val="20"/>
        </w:rPr>
        <w:t>they</w:t>
      </w:r>
      <w:r>
        <w:rPr>
          <w:spacing w:val="-5"/>
          <w:sz w:val="20"/>
        </w:rPr>
        <w:t> </w:t>
      </w:r>
      <w:r>
        <w:rPr>
          <w:sz w:val="20"/>
        </w:rPr>
        <w:t>are</w:t>
      </w:r>
      <w:r>
        <w:rPr>
          <w:spacing w:val="-5"/>
          <w:sz w:val="20"/>
        </w:rPr>
        <w:t> </w:t>
      </w:r>
      <w:r>
        <w:rPr>
          <w:sz w:val="20"/>
        </w:rPr>
        <w:t>struggling</w:t>
      </w:r>
      <w:r>
        <w:rPr>
          <w:spacing w:val="-6"/>
          <w:sz w:val="20"/>
        </w:rPr>
        <w:t> </w:t>
      </w:r>
      <w:r>
        <w:rPr>
          <w:sz w:val="20"/>
        </w:rPr>
        <w:t>and</w:t>
      </w:r>
      <w:r>
        <w:rPr>
          <w:spacing w:val="-6"/>
          <w:sz w:val="20"/>
        </w:rPr>
        <w:t> </w:t>
      </w:r>
      <w:r>
        <w:rPr>
          <w:sz w:val="20"/>
        </w:rPr>
        <w:t>when</w:t>
      </w:r>
      <w:r>
        <w:rPr>
          <w:spacing w:val="-6"/>
          <w:sz w:val="20"/>
        </w:rPr>
        <w:t> </w:t>
      </w:r>
      <w:r>
        <w:rPr>
          <w:sz w:val="20"/>
        </w:rPr>
        <w:t>they</w:t>
      </w:r>
      <w:r>
        <w:rPr>
          <w:spacing w:val="-5"/>
          <w:sz w:val="20"/>
        </w:rPr>
        <w:t> </w:t>
      </w:r>
      <w:r>
        <w:rPr>
          <w:sz w:val="20"/>
        </w:rPr>
        <w:t>are</w:t>
      </w:r>
      <w:r>
        <w:rPr>
          <w:spacing w:val="-5"/>
          <w:sz w:val="20"/>
        </w:rPr>
        <w:t> </w:t>
      </w:r>
      <w:r>
        <w:rPr>
          <w:spacing w:val="-2"/>
          <w:sz w:val="20"/>
        </w:rPr>
        <w:t>succeeding.</w:t>
      </w:r>
    </w:p>
    <w:p>
      <w:pPr>
        <w:pStyle w:val="BodyText"/>
        <w:spacing w:before="2"/>
      </w:pPr>
    </w:p>
    <w:p>
      <w:pPr>
        <w:pStyle w:val="BodyText"/>
        <w:ind w:left="852"/>
      </w:pPr>
      <w:r>
        <w:rPr/>
        <w:t>We</w:t>
      </w:r>
      <w:r>
        <w:rPr>
          <w:spacing w:val="-4"/>
        </w:rPr>
        <w:t> </w:t>
      </w:r>
      <w:r>
        <w:rPr/>
        <w:t>have</w:t>
      </w:r>
      <w:r>
        <w:rPr>
          <w:spacing w:val="-4"/>
        </w:rPr>
        <w:t> </w:t>
      </w:r>
      <w:r>
        <w:rPr>
          <w:spacing w:val="-2"/>
        </w:rPr>
        <w:t>integrity.</w:t>
      </w:r>
    </w:p>
    <w:p>
      <w:pPr>
        <w:pStyle w:val="ListParagraph"/>
        <w:numPr>
          <w:ilvl w:val="0"/>
          <w:numId w:val="1"/>
        </w:numPr>
        <w:tabs>
          <w:tab w:pos="1629" w:val="left" w:leader="none"/>
        </w:tabs>
        <w:spacing w:line="240" w:lineRule="auto" w:before="121" w:after="0"/>
        <w:ind w:left="1629" w:right="0" w:hanging="357"/>
        <w:jc w:val="left"/>
        <w:rPr>
          <w:rFonts w:ascii="Symbol" w:hAnsi="Symbol"/>
          <w:sz w:val="20"/>
        </w:rPr>
      </w:pPr>
      <w:r>
        <w:rPr>
          <w:sz w:val="20"/>
        </w:rPr>
        <w:t>We</w:t>
      </w:r>
      <w:r>
        <w:rPr>
          <w:spacing w:val="-4"/>
          <w:sz w:val="20"/>
        </w:rPr>
        <w:t> </w:t>
      </w:r>
      <w:r>
        <w:rPr>
          <w:sz w:val="20"/>
        </w:rPr>
        <w:t>are</w:t>
      </w:r>
      <w:r>
        <w:rPr>
          <w:spacing w:val="-5"/>
          <w:sz w:val="20"/>
        </w:rPr>
        <w:t> </w:t>
      </w:r>
      <w:r>
        <w:rPr>
          <w:sz w:val="20"/>
        </w:rPr>
        <w:t>open,</w:t>
      </w:r>
      <w:r>
        <w:rPr>
          <w:spacing w:val="-4"/>
          <w:sz w:val="20"/>
        </w:rPr>
        <w:t> </w:t>
      </w:r>
      <w:r>
        <w:rPr>
          <w:sz w:val="20"/>
        </w:rPr>
        <w:t>honest</w:t>
      </w:r>
      <w:r>
        <w:rPr>
          <w:spacing w:val="-5"/>
          <w:sz w:val="20"/>
        </w:rPr>
        <w:t> </w:t>
      </w:r>
      <w:r>
        <w:rPr>
          <w:sz w:val="20"/>
        </w:rPr>
        <w:t>and</w:t>
      </w:r>
      <w:r>
        <w:rPr>
          <w:spacing w:val="-6"/>
          <w:sz w:val="20"/>
        </w:rPr>
        <w:t> </w:t>
      </w:r>
      <w:r>
        <w:rPr>
          <w:spacing w:val="-2"/>
          <w:sz w:val="20"/>
        </w:rPr>
        <w:t>respectful.</w:t>
      </w:r>
    </w:p>
    <w:p>
      <w:pPr>
        <w:pStyle w:val="ListParagraph"/>
        <w:numPr>
          <w:ilvl w:val="0"/>
          <w:numId w:val="1"/>
        </w:numPr>
        <w:tabs>
          <w:tab w:pos="1629" w:val="left" w:leader="none"/>
        </w:tabs>
        <w:spacing w:line="240" w:lineRule="auto" w:before="33" w:after="0"/>
        <w:ind w:left="1629" w:right="0" w:hanging="357"/>
        <w:jc w:val="left"/>
        <w:rPr>
          <w:rFonts w:ascii="Symbol" w:hAnsi="Symbol"/>
          <w:sz w:val="20"/>
        </w:rPr>
      </w:pPr>
      <w:r>
        <w:rPr>
          <w:sz w:val="20"/>
        </w:rPr>
        <w:t>We</w:t>
      </w:r>
      <w:r>
        <w:rPr>
          <w:spacing w:val="-6"/>
          <w:sz w:val="20"/>
        </w:rPr>
        <w:t> </w:t>
      </w:r>
      <w:r>
        <w:rPr>
          <w:sz w:val="20"/>
        </w:rPr>
        <w:t>always</w:t>
      </w:r>
      <w:r>
        <w:rPr>
          <w:spacing w:val="-7"/>
          <w:sz w:val="20"/>
        </w:rPr>
        <w:t> </w:t>
      </w:r>
      <w:r>
        <w:rPr>
          <w:sz w:val="20"/>
        </w:rPr>
        <w:t>act</w:t>
      </w:r>
      <w:r>
        <w:rPr>
          <w:spacing w:val="-7"/>
          <w:sz w:val="20"/>
        </w:rPr>
        <w:t> </w:t>
      </w:r>
      <w:r>
        <w:rPr>
          <w:sz w:val="20"/>
        </w:rPr>
        <w:t>transparently</w:t>
      </w:r>
      <w:r>
        <w:rPr>
          <w:spacing w:val="-6"/>
          <w:sz w:val="20"/>
        </w:rPr>
        <w:t> </w:t>
      </w:r>
      <w:r>
        <w:rPr>
          <w:sz w:val="20"/>
        </w:rPr>
        <w:t>and</w:t>
      </w:r>
      <w:r>
        <w:rPr>
          <w:spacing w:val="-8"/>
          <w:sz w:val="20"/>
        </w:rPr>
        <w:t> </w:t>
      </w:r>
      <w:r>
        <w:rPr>
          <w:sz w:val="20"/>
        </w:rPr>
        <w:t>with</w:t>
      </w:r>
      <w:r>
        <w:rPr>
          <w:spacing w:val="-7"/>
          <w:sz w:val="20"/>
        </w:rPr>
        <w:t> </w:t>
      </w:r>
      <w:r>
        <w:rPr>
          <w:sz w:val="20"/>
        </w:rPr>
        <w:t>consideration</w:t>
      </w:r>
      <w:r>
        <w:rPr>
          <w:spacing w:val="-7"/>
          <w:sz w:val="20"/>
        </w:rPr>
        <w:t> </w:t>
      </w:r>
      <w:r>
        <w:rPr>
          <w:sz w:val="20"/>
        </w:rPr>
        <w:t>for</w:t>
      </w:r>
      <w:r>
        <w:rPr>
          <w:spacing w:val="-5"/>
          <w:sz w:val="20"/>
        </w:rPr>
        <w:t> </w:t>
      </w:r>
      <w:r>
        <w:rPr>
          <w:spacing w:val="-2"/>
          <w:sz w:val="20"/>
        </w:rPr>
        <w:t>others.</w:t>
      </w:r>
    </w:p>
    <w:p>
      <w:pPr>
        <w:pStyle w:val="ListParagraph"/>
        <w:numPr>
          <w:ilvl w:val="0"/>
          <w:numId w:val="1"/>
        </w:numPr>
        <w:tabs>
          <w:tab w:pos="1629" w:val="left" w:leader="none"/>
        </w:tabs>
        <w:spacing w:line="386" w:lineRule="auto" w:before="34" w:after="0"/>
        <w:ind w:left="851" w:right="5423" w:firstLine="420"/>
        <w:jc w:val="left"/>
        <w:rPr>
          <w:rFonts w:ascii="Symbol" w:hAnsi="Symbol"/>
          <w:sz w:val="20"/>
        </w:rPr>
      </w:pPr>
      <w:r>
        <w:rPr>
          <w:sz w:val="20"/>
        </w:rPr>
        <w:t>We</w:t>
      </w:r>
      <w:r>
        <w:rPr>
          <w:spacing w:val="-4"/>
          <w:sz w:val="20"/>
        </w:rPr>
        <w:t> </w:t>
      </w:r>
      <w:r>
        <w:rPr>
          <w:sz w:val="20"/>
        </w:rPr>
        <w:t>are</w:t>
      </w:r>
      <w:r>
        <w:rPr>
          <w:spacing w:val="-6"/>
          <w:sz w:val="20"/>
        </w:rPr>
        <w:t> </w:t>
      </w:r>
      <w:r>
        <w:rPr>
          <w:sz w:val="20"/>
        </w:rPr>
        <w:t>never</w:t>
      </w:r>
      <w:r>
        <w:rPr>
          <w:spacing w:val="-3"/>
          <w:sz w:val="20"/>
        </w:rPr>
        <w:t> </w:t>
      </w:r>
      <w:r>
        <w:rPr>
          <w:sz w:val="20"/>
        </w:rPr>
        <w:t>afraid</w:t>
      </w:r>
      <w:r>
        <w:rPr>
          <w:spacing w:val="-6"/>
          <w:sz w:val="20"/>
        </w:rPr>
        <w:t> </w:t>
      </w:r>
      <w:r>
        <w:rPr>
          <w:sz w:val="20"/>
        </w:rPr>
        <w:t>to</w:t>
      </w:r>
      <w:r>
        <w:rPr>
          <w:spacing w:val="-6"/>
          <w:sz w:val="20"/>
        </w:rPr>
        <w:t> </w:t>
      </w:r>
      <w:r>
        <w:rPr>
          <w:sz w:val="20"/>
        </w:rPr>
        <w:t>do</w:t>
      </w:r>
      <w:r>
        <w:rPr>
          <w:spacing w:val="-4"/>
          <w:sz w:val="20"/>
        </w:rPr>
        <w:t> </w:t>
      </w:r>
      <w:r>
        <w:rPr>
          <w:sz w:val="20"/>
        </w:rPr>
        <w:t>the</w:t>
      </w:r>
      <w:r>
        <w:rPr>
          <w:spacing w:val="-6"/>
          <w:sz w:val="20"/>
        </w:rPr>
        <w:t> </w:t>
      </w:r>
      <w:r>
        <w:rPr>
          <w:sz w:val="20"/>
        </w:rPr>
        <w:t>right</w:t>
      </w:r>
      <w:r>
        <w:rPr>
          <w:spacing w:val="-6"/>
          <w:sz w:val="20"/>
        </w:rPr>
        <w:t> </w:t>
      </w:r>
      <w:r>
        <w:rPr>
          <w:sz w:val="20"/>
        </w:rPr>
        <w:t>thing. We are resilient.</w:t>
      </w:r>
    </w:p>
    <w:p>
      <w:pPr>
        <w:pStyle w:val="ListParagraph"/>
        <w:numPr>
          <w:ilvl w:val="0"/>
          <w:numId w:val="1"/>
        </w:numPr>
        <w:tabs>
          <w:tab w:pos="1629" w:val="left" w:leader="none"/>
        </w:tabs>
        <w:spacing w:line="227" w:lineRule="exact" w:before="0" w:after="0"/>
        <w:ind w:left="1629" w:right="0" w:hanging="358"/>
        <w:jc w:val="left"/>
        <w:rPr>
          <w:rFonts w:ascii="Symbol" w:hAnsi="Symbol"/>
          <w:sz w:val="20"/>
        </w:rPr>
      </w:pPr>
      <w:r>
        <w:rPr>
          <w:sz w:val="20"/>
        </w:rPr>
        <w:t>We</w:t>
      </w:r>
      <w:r>
        <w:rPr>
          <w:spacing w:val="-3"/>
          <w:sz w:val="20"/>
        </w:rPr>
        <w:t> </w:t>
      </w:r>
      <w:r>
        <w:rPr>
          <w:sz w:val="20"/>
        </w:rPr>
        <w:t>are</w:t>
      </w:r>
      <w:r>
        <w:rPr>
          <w:spacing w:val="-5"/>
          <w:sz w:val="20"/>
        </w:rPr>
        <w:t> </w:t>
      </w:r>
      <w:r>
        <w:rPr>
          <w:sz w:val="20"/>
        </w:rPr>
        <w:t>positive</w:t>
      </w:r>
      <w:r>
        <w:rPr>
          <w:spacing w:val="-3"/>
          <w:sz w:val="20"/>
        </w:rPr>
        <w:t> </w:t>
      </w:r>
      <w:r>
        <w:rPr>
          <w:sz w:val="20"/>
        </w:rPr>
        <w:t>and</w:t>
      </w:r>
      <w:r>
        <w:rPr>
          <w:spacing w:val="-5"/>
          <w:sz w:val="20"/>
        </w:rPr>
        <w:t> </w:t>
      </w:r>
      <w:r>
        <w:rPr>
          <w:sz w:val="20"/>
        </w:rPr>
        <w:t>focus</w:t>
      </w:r>
      <w:r>
        <w:rPr>
          <w:spacing w:val="-1"/>
          <w:sz w:val="20"/>
        </w:rPr>
        <w:t> </w:t>
      </w:r>
      <w:r>
        <w:rPr>
          <w:sz w:val="20"/>
        </w:rPr>
        <w:t>on</w:t>
      </w:r>
      <w:r>
        <w:rPr>
          <w:spacing w:val="-5"/>
          <w:sz w:val="20"/>
        </w:rPr>
        <w:t> </w:t>
      </w:r>
      <w:r>
        <w:rPr>
          <w:sz w:val="20"/>
        </w:rPr>
        <w:t>what</w:t>
      </w:r>
      <w:r>
        <w:rPr>
          <w:spacing w:val="-5"/>
          <w:sz w:val="20"/>
        </w:rPr>
        <w:t> </w:t>
      </w:r>
      <w:r>
        <w:rPr>
          <w:sz w:val="20"/>
        </w:rPr>
        <w:t>we</w:t>
      </w:r>
      <w:r>
        <w:rPr>
          <w:spacing w:val="-5"/>
          <w:sz w:val="20"/>
        </w:rPr>
        <w:t> </w:t>
      </w:r>
      <w:r>
        <w:rPr>
          <w:sz w:val="20"/>
        </w:rPr>
        <w:t>can</w:t>
      </w:r>
      <w:r>
        <w:rPr>
          <w:spacing w:val="-2"/>
          <w:sz w:val="20"/>
        </w:rPr>
        <w:t> </w:t>
      </w:r>
      <w:r>
        <w:rPr>
          <w:sz w:val="20"/>
        </w:rPr>
        <w:t>do,</w:t>
      </w:r>
      <w:r>
        <w:rPr>
          <w:spacing w:val="-3"/>
          <w:sz w:val="20"/>
        </w:rPr>
        <w:t> </w:t>
      </w:r>
      <w:r>
        <w:rPr>
          <w:sz w:val="20"/>
        </w:rPr>
        <w:t>not</w:t>
      </w:r>
      <w:r>
        <w:rPr>
          <w:spacing w:val="-5"/>
          <w:sz w:val="20"/>
        </w:rPr>
        <w:t> </w:t>
      </w:r>
      <w:r>
        <w:rPr>
          <w:sz w:val="20"/>
        </w:rPr>
        <w:t>what</w:t>
      </w:r>
      <w:r>
        <w:rPr>
          <w:spacing w:val="-5"/>
          <w:sz w:val="20"/>
        </w:rPr>
        <w:t> </w:t>
      </w:r>
      <w:r>
        <w:rPr>
          <w:sz w:val="20"/>
        </w:rPr>
        <w:t>we</w:t>
      </w:r>
      <w:r>
        <w:rPr>
          <w:spacing w:val="-5"/>
          <w:sz w:val="20"/>
        </w:rPr>
        <w:t> </w:t>
      </w:r>
      <w:r>
        <w:rPr>
          <w:spacing w:val="-2"/>
          <w:sz w:val="20"/>
        </w:rPr>
        <w:t>can’t.</w:t>
      </w:r>
    </w:p>
    <w:p>
      <w:pPr>
        <w:pStyle w:val="ListParagraph"/>
        <w:numPr>
          <w:ilvl w:val="0"/>
          <w:numId w:val="1"/>
        </w:numPr>
        <w:tabs>
          <w:tab w:pos="1629" w:val="left" w:leader="none"/>
        </w:tabs>
        <w:spacing w:line="240" w:lineRule="auto" w:before="33" w:after="0"/>
        <w:ind w:left="1629" w:right="0" w:hanging="358"/>
        <w:jc w:val="left"/>
        <w:rPr>
          <w:rFonts w:ascii="Symbol" w:hAnsi="Symbol"/>
          <w:sz w:val="20"/>
        </w:rPr>
      </w:pPr>
      <w:r>
        <w:rPr>
          <w:sz w:val="20"/>
        </w:rPr>
        <w:t>We</w:t>
      </w:r>
      <w:r>
        <w:rPr>
          <w:spacing w:val="-7"/>
          <w:sz w:val="20"/>
        </w:rPr>
        <w:t> </w:t>
      </w:r>
      <w:r>
        <w:rPr>
          <w:sz w:val="20"/>
        </w:rPr>
        <w:t>welcome</w:t>
      </w:r>
      <w:r>
        <w:rPr>
          <w:spacing w:val="-6"/>
          <w:sz w:val="20"/>
        </w:rPr>
        <w:t> </w:t>
      </w:r>
      <w:r>
        <w:rPr>
          <w:sz w:val="20"/>
        </w:rPr>
        <w:t>feedback</w:t>
      </w:r>
      <w:r>
        <w:rPr>
          <w:spacing w:val="-5"/>
          <w:sz w:val="20"/>
        </w:rPr>
        <w:t> </w:t>
      </w:r>
      <w:r>
        <w:rPr>
          <w:sz w:val="20"/>
        </w:rPr>
        <w:t>and</w:t>
      </w:r>
      <w:r>
        <w:rPr>
          <w:spacing w:val="-4"/>
          <w:sz w:val="20"/>
        </w:rPr>
        <w:t> </w:t>
      </w:r>
      <w:r>
        <w:rPr>
          <w:spacing w:val="-2"/>
          <w:sz w:val="20"/>
        </w:rPr>
        <w:t>challenge.</w:t>
      </w:r>
    </w:p>
    <w:p>
      <w:pPr>
        <w:pStyle w:val="ListParagraph"/>
        <w:numPr>
          <w:ilvl w:val="0"/>
          <w:numId w:val="1"/>
        </w:numPr>
        <w:tabs>
          <w:tab w:pos="1629" w:val="left" w:leader="none"/>
        </w:tabs>
        <w:spacing w:line="386" w:lineRule="auto" w:before="34" w:after="0"/>
        <w:ind w:left="851" w:right="5257" w:firstLine="420"/>
        <w:jc w:val="left"/>
        <w:rPr>
          <w:rFonts w:ascii="Symbol" w:hAnsi="Symbol"/>
          <w:sz w:val="20"/>
        </w:rPr>
      </w:pPr>
      <w:r>
        <w:rPr>
          <w:sz w:val="20"/>
        </w:rPr>
        <w:t>We</w:t>
      </w:r>
      <w:r>
        <w:rPr>
          <w:spacing w:val="-7"/>
          <w:sz w:val="20"/>
        </w:rPr>
        <w:t> </w:t>
      </w:r>
      <w:r>
        <w:rPr>
          <w:sz w:val="20"/>
        </w:rPr>
        <w:t>take</w:t>
      </w:r>
      <w:r>
        <w:rPr>
          <w:spacing w:val="-7"/>
          <w:sz w:val="20"/>
        </w:rPr>
        <w:t> </w:t>
      </w:r>
      <w:r>
        <w:rPr>
          <w:sz w:val="20"/>
        </w:rPr>
        <w:t>responsibility</w:t>
      </w:r>
      <w:r>
        <w:rPr>
          <w:spacing w:val="-6"/>
          <w:sz w:val="20"/>
        </w:rPr>
        <w:t> </w:t>
      </w:r>
      <w:r>
        <w:rPr>
          <w:sz w:val="20"/>
        </w:rPr>
        <w:t>for</w:t>
      </w:r>
      <w:r>
        <w:rPr>
          <w:spacing w:val="-6"/>
          <w:sz w:val="20"/>
        </w:rPr>
        <w:t> </w:t>
      </w:r>
      <w:r>
        <w:rPr>
          <w:sz w:val="20"/>
        </w:rPr>
        <w:t>our</w:t>
      </w:r>
      <w:r>
        <w:rPr>
          <w:spacing w:val="-6"/>
          <w:sz w:val="20"/>
        </w:rPr>
        <w:t> </w:t>
      </w:r>
      <w:r>
        <w:rPr>
          <w:sz w:val="20"/>
        </w:rPr>
        <w:t>own</w:t>
      </w:r>
      <w:r>
        <w:rPr>
          <w:spacing w:val="-5"/>
          <w:sz w:val="20"/>
        </w:rPr>
        <w:t> </w:t>
      </w:r>
      <w:r>
        <w:rPr>
          <w:sz w:val="20"/>
        </w:rPr>
        <w:t>actions. We are ambitious.</w:t>
      </w:r>
    </w:p>
    <w:p>
      <w:pPr>
        <w:pStyle w:val="ListParagraph"/>
        <w:numPr>
          <w:ilvl w:val="0"/>
          <w:numId w:val="1"/>
        </w:numPr>
        <w:tabs>
          <w:tab w:pos="1628" w:val="left" w:leader="none"/>
        </w:tabs>
        <w:spacing w:line="227" w:lineRule="exact" w:before="0" w:after="0"/>
        <w:ind w:left="1628" w:right="0" w:hanging="357"/>
        <w:jc w:val="left"/>
        <w:rPr>
          <w:rFonts w:ascii="Symbol" w:hAnsi="Symbol"/>
          <w:sz w:val="20"/>
        </w:rPr>
      </w:pPr>
      <w:r>
        <w:rPr>
          <w:sz w:val="20"/>
        </w:rPr>
        <w:t>We</w:t>
      </w:r>
      <w:r>
        <w:rPr>
          <w:spacing w:val="-8"/>
          <w:sz w:val="20"/>
        </w:rPr>
        <w:t> </w:t>
      </w:r>
      <w:r>
        <w:rPr>
          <w:sz w:val="20"/>
        </w:rPr>
        <w:t>embrace</w:t>
      </w:r>
      <w:r>
        <w:rPr>
          <w:spacing w:val="-7"/>
          <w:sz w:val="20"/>
        </w:rPr>
        <w:t> </w:t>
      </w:r>
      <w:r>
        <w:rPr>
          <w:sz w:val="20"/>
        </w:rPr>
        <w:t>innovation,</w:t>
      </w:r>
      <w:r>
        <w:rPr>
          <w:spacing w:val="-8"/>
          <w:sz w:val="20"/>
        </w:rPr>
        <w:t> </w:t>
      </w:r>
      <w:r>
        <w:rPr>
          <w:sz w:val="20"/>
        </w:rPr>
        <w:t>creativity</w:t>
      </w:r>
      <w:r>
        <w:rPr>
          <w:spacing w:val="-8"/>
          <w:sz w:val="20"/>
        </w:rPr>
        <w:t> </w:t>
      </w:r>
      <w:r>
        <w:rPr>
          <w:sz w:val="20"/>
        </w:rPr>
        <w:t>and</w:t>
      </w:r>
      <w:r>
        <w:rPr>
          <w:spacing w:val="-9"/>
          <w:sz w:val="20"/>
        </w:rPr>
        <w:t> </w:t>
      </w:r>
      <w:r>
        <w:rPr>
          <w:spacing w:val="-2"/>
          <w:sz w:val="20"/>
        </w:rPr>
        <w:t>change.</w:t>
      </w:r>
    </w:p>
    <w:p>
      <w:pPr>
        <w:pStyle w:val="ListParagraph"/>
        <w:numPr>
          <w:ilvl w:val="0"/>
          <w:numId w:val="1"/>
        </w:numPr>
        <w:tabs>
          <w:tab w:pos="1628" w:val="left" w:leader="none"/>
        </w:tabs>
        <w:spacing w:line="240" w:lineRule="auto" w:before="33" w:after="0"/>
        <w:ind w:left="1628" w:right="0" w:hanging="357"/>
        <w:jc w:val="left"/>
        <w:rPr>
          <w:rFonts w:ascii="Symbol" w:hAnsi="Symbol"/>
          <w:sz w:val="20"/>
        </w:rPr>
      </w:pPr>
      <w:r>
        <w:rPr>
          <w:sz w:val="20"/>
        </w:rPr>
        <w:t>We</w:t>
      </w:r>
      <w:r>
        <w:rPr>
          <w:spacing w:val="-4"/>
          <w:sz w:val="20"/>
        </w:rPr>
        <w:t> </w:t>
      </w:r>
      <w:r>
        <w:rPr>
          <w:sz w:val="20"/>
        </w:rPr>
        <w:t>push</w:t>
      </w:r>
      <w:r>
        <w:rPr>
          <w:spacing w:val="-6"/>
          <w:sz w:val="20"/>
        </w:rPr>
        <w:t> </w:t>
      </w:r>
      <w:r>
        <w:rPr>
          <w:sz w:val="20"/>
        </w:rPr>
        <w:t>ourselves</w:t>
      </w:r>
      <w:r>
        <w:rPr>
          <w:spacing w:val="-4"/>
          <w:sz w:val="20"/>
        </w:rPr>
        <w:t> </w:t>
      </w:r>
      <w:r>
        <w:rPr>
          <w:sz w:val="20"/>
        </w:rPr>
        <w:t>and</w:t>
      </w:r>
      <w:r>
        <w:rPr>
          <w:spacing w:val="-6"/>
          <w:sz w:val="20"/>
        </w:rPr>
        <w:t> </w:t>
      </w:r>
      <w:r>
        <w:rPr>
          <w:sz w:val="20"/>
        </w:rPr>
        <w:t>aspire</w:t>
      </w:r>
      <w:r>
        <w:rPr>
          <w:spacing w:val="-5"/>
          <w:sz w:val="20"/>
        </w:rPr>
        <w:t> </w:t>
      </w:r>
      <w:r>
        <w:rPr>
          <w:sz w:val="20"/>
        </w:rPr>
        <w:t>to</w:t>
      </w:r>
      <w:r>
        <w:rPr>
          <w:spacing w:val="-6"/>
          <w:sz w:val="20"/>
        </w:rPr>
        <w:t> </w:t>
      </w:r>
      <w:r>
        <w:rPr>
          <w:sz w:val="20"/>
        </w:rPr>
        <w:t>best</w:t>
      </w:r>
      <w:r>
        <w:rPr>
          <w:spacing w:val="-4"/>
          <w:sz w:val="20"/>
        </w:rPr>
        <w:t> </w:t>
      </w:r>
      <w:r>
        <w:rPr>
          <w:spacing w:val="-2"/>
          <w:sz w:val="20"/>
        </w:rPr>
        <w:t>practice.</w:t>
      </w:r>
    </w:p>
    <w:p>
      <w:pPr>
        <w:pStyle w:val="ListParagraph"/>
        <w:numPr>
          <w:ilvl w:val="0"/>
          <w:numId w:val="1"/>
        </w:numPr>
        <w:tabs>
          <w:tab w:pos="1628" w:val="left" w:leader="none"/>
        </w:tabs>
        <w:spacing w:line="240" w:lineRule="auto" w:before="34" w:after="0"/>
        <w:ind w:left="1628" w:right="0" w:hanging="357"/>
        <w:jc w:val="left"/>
        <w:rPr>
          <w:rFonts w:ascii="Symbol" w:hAnsi="Symbol"/>
          <w:sz w:val="20"/>
        </w:rPr>
      </w:pPr>
      <w:r>
        <w:rPr>
          <w:sz w:val="20"/>
        </w:rPr>
        <w:t>We</w:t>
      </w:r>
      <w:r>
        <w:rPr>
          <w:spacing w:val="-5"/>
          <w:sz w:val="20"/>
        </w:rPr>
        <w:t> </w:t>
      </w:r>
      <w:r>
        <w:rPr>
          <w:sz w:val="20"/>
        </w:rPr>
        <w:t>are</w:t>
      </w:r>
      <w:r>
        <w:rPr>
          <w:spacing w:val="-6"/>
          <w:sz w:val="20"/>
        </w:rPr>
        <w:t> </w:t>
      </w:r>
      <w:r>
        <w:rPr>
          <w:sz w:val="20"/>
        </w:rPr>
        <w:t>passionate</w:t>
      </w:r>
      <w:r>
        <w:rPr>
          <w:spacing w:val="-6"/>
          <w:sz w:val="20"/>
        </w:rPr>
        <w:t> </w:t>
      </w:r>
      <w:r>
        <w:rPr>
          <w:sz w:val="20"/>
        </w:rPr>
        <w:t>about</w:t>
      </w:r>
      <w:r>
        <w:rPr>
          <w:spacing w:val="-7"/>
          <w:sz w:val="20"/>
        </w:rPr>
        <w:t> </w:t>
      </w:r>
      <w:r>
        <w:rPr>
          <w:sz w:val="20"/>
        </w:rPr>
        <w:t>our</w:t>
      </w:r>
      <w:r>
        <w:rPr>
          <w:spacing w:val="-5"/>
          <w:sz w:val="20"/>
        </w:rPr>
        <w:t> </w:t>
      </w:r>
      <w:r>
        <w:rPr>
          <w:sz w:val="20"/>
        </w:rPr>
        <w:t>college,</w:t>
      </w:r>
      <w:r>
        <w:rPr>
          <w:spacing w:val="-6"/>
          <w:sz w:val="20"/>
        </w:rPr>
        <w:t> </w:t>
      </w:r>
      <w:r>
        <w:rPr>
          <w:sz w:val="20"/>
        </w:rPr>
        <w:t>our</w:t>
      </w:r>
      <w:r>
        <w:rPr>
          <w:spacing w:val="-5"/>
          <w:sz w:val="20"/>
        </w:rPr>
        <w:t> </w:t>
      </w:r>
      <w:r>
        <w:rPr>
          <w:sz w:val="20"/>
        </w:rPr>
        <w:t>students,</w:t>
      </w:r>
      <w:r>
        <w:rPr>
          <w:spacing w:val="-7"/>
          <w:sz w:val="20"/>
        </w:rPr>
        <w:t> </w:t>
      </w:r>
      <w:r>
        <w:rPr>
          <w:sz w:val="20"/>
        </w:rPr>
        <w:t>their</w:t>
      </w:r>
      <w:r>
        <w:rPr>
          <w:spacing w:val="-5"/>
          <w:sz w:val="20"/>
        </w:rPr>
        <w:t> </w:t>
      </w:r>
      <w:r>
        <w:rPr>
          <w:sz w:val="20"/>
        </w:rPr>
        <w:t>dreams</w:t>
      </w:r>
      <w:r>
        <w:rPr>
          <w:spacing w:val="-5"/>
          <w:sz w:val="20"/>
        </w:rPr>
        <w:t> </w:t>
      </w:r>
      <w:r>
        <w:rPr>
          <w:sz w:val="20"/>
        </w:rPr>
        <w:t>and</w:t>
      </w:r>
      <w:r>
        <w:rPr>
          <w:spacing w:val="-6"/>
          <w:sz w:val="20"/>
        </w:rPr>
        <w:t> </w:t>
      </w:r>
      <w:r>
        <w:rPr>
          <w:sz w:val="20"/>
        </w:rPr>
        <w:t>their</w:t>
      </w:r>
      <w:r>
        <w:rPr>
          <w:spacing w:val="-6"/>
          <w:sz w:val="20"/>
        </w:rPr>
        <w:t> </w:t>
      </w:r>
      <w:r>
        <w:rPr>
          <w:spacing w:val="-2"/>
          <w:sz w:val="20"/>
        </w:rPr>
        <w:t>futures.</w:t>
      </w:r>
    </w:p>
    <w:p>
      <w:pPr>
        <w:pStyle w:val="ListParagraph"/>
        <w:spacing w:after="0" w:line="240" w:lineRule="auto"/>
        <w:jc w:val="left"/>
        <w:rPr>
          <w:rFonts w:ascii="Symbol" w:hAnsi="Symbol"/>
          <w:sz w:val="20"/>
        </w:rPr>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Mission</w:t>
      </w:r>
      <w:r>
        <w:rPr>
          <w:b/>
          <w:spacing w:val="-2"/>
          <w:sz w:val="24"/>
        </w:rPr>
        <w:t> (continued)</w:t>
      </w:r>
    </w:p>
    <w:p>
      <w:pPr>
        <w:pStyle w:val="BodyText"/>
        <w:spacing w:before="119"/>
        <w:rPr>
          <w:b/>
          <w:sz w:val="24"/>
        </w:rPr>
      </w:pPr>
    </w:p>
    <w:p>
      <w:pPr>
        <w:pStyle w:val="BodyText"/>
        <w:ind w:left="852" w:right="995"/>
      </w:pPr>
      <w:r>
        <w:rPr/>
        <w:t>For</w:t>
      </w:r>
      <w:r>
        <w:rPr>
          <w:spacing w:val="-3"/>
        </w:rPr>
        <w:t> </w:t>
      </w:r>
      <w:r>
        <w:rPr/>
        <w:t>the</w:t>
      </w:r>
      <w:r>
        <w:rPr>
          <w:spacing w:val="-4"/>
        </w:rPr>
        <w:t> </w:t>
      </w:r>
      <w:r>
        <w:rPr/>
        <w:t>year</w:t>
      </w:r>
      <w:r>
        <w:rPr>
          <w:spacing w:val="-3"/>
        </w:rPr>
        <w:t> </w:t>
      </w:r>
      <w:r>
        <w:rPr/>
        <w:t>ended</w:t>
      </w:r>
      <w:r>
        <w:rPr>
          <w:spacing w:val="-4"/>
        </w:rPr>
        <w:t> </w:t>
      </w:r>
      <w:r>
        <w:rPr/>
        <w:t>31</w:t>
      </w:r>
      <w:r>
        <w:rPr>
          <w:spacing w:val="-4"/>
        </w:rPr>
        <w:t> </w:t>
      </w:r>
      <w:r>
        <w:rPr/>
        <w:t>July 2023,</w:t>
      </w:r>
      <w:r>
        <w:rPr>
          <w:spacing w:val="-4"/>
        </w:rPr>
        <w:t> </w:t>
      </w:r>
      <w:r>
        <w:rPr/>
        <w:t>the</w:t>
      </w:r>
      <w:r>
        <w:rPr>
          <w:spacing w:val="-4"/>
        </w:rPr>
        <w:t> </w:t>
      </w:r>
      <w:r>
        <w:rPr/>
        <w:t>College</w:t>
      </w:r>
      <w:r>
        <w:rPr>
          <w:spacing w:val="-4"/>
        </w:rPr>
        <w:t> </w:t>
      </w:r>
      <w:r>
        <w:rPr/>
        <w:t>has</w:t>
      </w:r>
      <w:r>
        <w:rPr>
          <w:spacing w:val="-3"/>
        </w:rPr>
        <w:t> </w:t>
      </w:r>
      <w:r>
        <w:rPr/>
        <w:t>the</w:t>
      </w:r>
      <w:r>
        <w:rPr>
          <w:spacing w:val="-4"/>
        </w:rPr>
        <w:t> </w:t>
      </w:r>
      <w:r>
        <w:rPr/>
        <w:t>following</w:t>
      </w:r>
      <w:r>
        <w:rPr>
          <w:spacing w:val="-4"/>
        </w:rPr>
        <w:t> </w:t>
      </w:r>
      <w:r>
        <w:rPr/>
        <w:t>strategic</w:t>
      </w:r>
      <w:r>
        <w:rPr>
          <w:spacing w:val="-3"/>
        </w:rPr>
        <w:t> </w:t>
      </w:r>
      <w:r>
        <w:rPr/>
        <w:t>KPIs</w:t>
      </w:r>
      <w:r>
        <w:rPr>
          <w:spacing w:val="-3"/>
        </w:rPr>
        <w:t> </w:t>
      </w:r>
      <w:r>
        <w:rPr/>
        <w:t>driven</w:t>
      </w:r>
      <w:r>
        <w:rPr>
          <w:spacing w:val="-4"/>
        </w:rPr>
        <w:t> </w:t>
      </w:r>
      <w:r>
        <w:rPr/>
        <w:t>by</w:t>
      </w:r>
      <w:r>
        <w:rPr>
          <w:spacing w:val="-3"/>
        </w:rPr>
        <w:t> </w:t>
      </w:r>
      <w:r>
        <w:rPr/>
        <w:t>the</w:t>
      </w:r>
      <w:r>
        <w:rPr>
          <w:spacing w:val="-4"/>
        </w:rPr>
        <w:t> </w:t>
      </w:r>
      <w:r>
        <w:rPr/>
        <w:t>budget to 31 July 2024:</w:t>
      </w:r>
    </w:p>
    <w:p>
      <w:pPr>
        <w:tabs>
          <w:tab w:pos="4255" w:val="left" w:leader="none"/>
        </w:tabs>
        <w:spacing w:before="121"/>
        <w:ind w:left="1418" w:right="0" w:firstLine="0"/>
        <w:jc w:val="left"/>
        <w:rPr>
          <w:sz w:val="20"/>
        </w:rPr>
      </w:pPr>
      <w:r>
        <w:rPr>
          <w:b/>
          <w:sz w:val="20"/>
        </w:rPr>
        <w:t>Adjusted</w:t>
      </w:r>
      <w:r>
        <w:rPr>
          <w:b/>
          <w:spacing w:val="-12"/>
          <w:sz w:val="20"/>
        </w:rPr>
        <w:t> </w:t>
      </w:r>
      <w:r>
        <w:rPr>
          <w:b/>
          <w:spacing w:val="-2"/>
          <w:sz w:val="20"/>
        </w:rPr>
        <w:t>EBITDA</w:t>
      </w:r>
      <w:r>
        <w:rPr>
          <w:b/>
          <w:sz w:val="20"/>
        </w:rPr>
        <w:tab/>
      </w:r>
      <w:r>
        <w:rPr>
          <w:sz w:val="20"/>
        </w:rPr>
        <w:t>The</w:t>
      </w:r>
      <w:r>
        <w:rPr>
          <w:spacing w:val="50"/>
          <w:sz w:val="20"/>
        </w:rPr>
        <w:t> </w:t>
      </w:r>
      <w:r>
        <w:rPr>
          <w:sz w:val="20"/>
        </w:rPr>
        <w:t>Group</w:t>
      </w:r>
      <w:r>
        <w:rPr>
          <w:spacing w:val="50"/>
          <w:sz w:val="20"/>
        </w:rPr>
        <w:t> </w:t>
      </w:r>
      <w:r>
        <w:rPr>
          <w:sz w:val="20"/>
        </w:rPr>
        <w:t>forecasts</w:t>
      </w:r>
      <w:r>
        <w:rPr>
          <w:spacing w:val="51"/>
          <w:sz w:val="20"/>
        </w:rPr>
        <w:t> </w:t>
      </w:r>
      <w:r>
        <w:rPr>
          <w:sz w:val="20"/>
        </w:rPr>
        <w:t>to</w:t>
      </w:r>
      <w:r>
        <w:rPr>
          <w:spacing w:val="50"/>
          <w:sz w:val="20"/>
        </w:rPr>
        <w:t> </w:t>
      </w:r>
      <w:r>
        <w:rPr>
          <w:sz w:val="20"/>
        </w:rPr>
        <w:t>improve</w:t>
      </w:r>
      <w:r>
        <w:rPr>
          <w:spacing w:val="50"/>
          <w:sz w:val="20"/>
        </w:rPr>
        <w:t> </w:t>
      </w:r>
      <w:r>
        <w:rPr>
          <w:sz w:val="20"/>
        </w:rPr>
        <w:t>adjusted</w:t>
      </w:r>
      <w:r>
        <w:rPr>
          <w:spacing w:val="50"/>
          <w:sz w:val="20"/>
        </w:rPr>
        <w:t> </w:t>
      </w:r>
      <w:r>
        <w:rPr>
          <w:sz w:val="20"/>
        </w:rPr>
        <w:t>EBITDA</w:t>
      </w:r>
      <w:r>
        <w:rPr>
          <w:spacing w:val="52"/>
          <w:sz w:val="20"/>
        </w:rPr>
        <w:t> </w:t>
      </w:r>
      <w:r>
        <w:rPr>
          <w:sz w:val="20"/>
        </w:rPr>
        <w:t>as</w:t>
      </w:r>
      <w:r>
        <w:rPr>
          <w:spacing w:val="51"/>
          <w:sz w:val="20"/>
        </w:rPr>
        <w:t> </w:t>
      </w:r>
      <w:r>
        <w:rPr>
          <w:spacing w:val="-10"/>
          <w:sz w:val="20"/>
        </w:rPr>
        <w:t>a</w:t>
      </w:r>
    </w:p>
    <w:p>
      <w:pPr>
        <w:pStyle w:val="BodyText"/>
        <w:spacing w:before="1"/>
        <w:ind w:left="4255" w:right="1084"/>
        <w:rPr>
          <w:b/>
        </w:rPr>
      </w:pPr>
      <w:r>
        <w:rPr/>
        <w:t>percentage</w:t>
      </w:r>
      <w:r>
        <w:rPr>
          <w:spacing w:val="40"/>
        </w:rPr>
        <w:t> </w:t>
      </w:r>
      <w:r>
        <w:rPr/>
        <w:t>of</w:t>
      </w:r>
      <w:r>
        <w:rPr>
          <w:spacing w:val="40"/>
        </w:rPr>
        <w:t> </w:t>
      </w:r>
      <w:r>
        <w:rPr/>
        <w:t>income</w:t>
      </w:r>
      <w:r>
        <w:rPr>
          <w:spacing w:val="40"/>
        </w:rPr>
        <w:t> </w:t>
      </w:r>
      <w:r>
        <w:rPr/>
        <w:t>by</w:t>
      </w:r>
      <w:r>
        <w:rPr>
          <w:spacing w:val="73"/>
        </w:rPr>
        <w:t> </w:t>
      </w:r>
      <w:r>
        <w:rPr/>
        <w:t>2022/23</w:t>
      </w:r>
      <w:r>
        <w:rPr>
          <w:spacing w:val="40"/>
        </w:rPr>
        <w:t> </w:t>
      </w:r>
      <w:r>
        <w:rPr/>
        <w:t>to</w:t>
      </w:r>
      <w:r>
        <w:rPr>
          <w:spacing w:val="40"/>
        </w:rPr>
        <w:t> </w:t>
      </w:r>
      <w:r>
        <w:rPr/>
        <w:t>at</w:t>
      </w:r>
      <w:r>
        <w:rPr>
          <w:spacing w:val="40"/>
        </w:rPr>
        <w:t> </w:t>
      </w:r>
      <w:r>
        <w:rPr/>
        <w:t>least</w:t>
      </w:r>
      <w:r>
        <w:rPr>
          <w:spacing w:val="40"/>
        </w:rPr>
        <w:t> </w:t>
      </w:r>
      <w:r>
        <w:rPr/>
        <w:t>6.5%.</w:t>
      </w:r>
      <w:r>
        <w:rPr>
          <w:spacing w:val="40"/>
        </w:rPr>
        <w:t> </w:t>
      </w:r>
      <w:r>
        <w:rPr/>
        <w:t>It</w:t>
      </w:r>
      <w:r>
        <w:rPr>
          <w:spacing w:val="40"/>
        </w:rPr>
        <w:t> </w:t>
      </w:r>
      <w:r>
        <w:rPr/>
        <w:t>achieved a positive </w:t>
      </w:r>
      <w:r>
        <w:rPr>
          <w:b/>
        </w:rPr>
        <w:t>EBITDA of 8.24%.</w:t>
      </w:r>
    </w:p>
    <w:p>
      <w:pPr>
        <w:tabs>
          <w:tab w:pos="4255" w:val="left" w:leader="none"/>
        </w:tabs>
        <w:spacing w:line="229" w:lineRule="exact" w:before="0"/>
        <w:ind w:left="1418" w:right="0" w:firstLine="0"/>
        <w:jc w:val="left"/>
        <w:rPr>
          <w:sz w:val="20"/>
        </w:rPr>
      </w:pPr>
      <w:r>
        <w:rPr>
          <w:b/>
          <w:sz w:val="20"/>
        </w:rPr>
        <w:t>Adjusted</w:t>
      </w:r>
      <w:r>
        <w:rPr>
          <w:b/>
          <w:spacing w:val="-11"/>
          <w:sz w:val="20"/>
        </w:rPr>
        <w:t> </w:t>
      </w:r>
      <w:r>
        <w:rPr>
          <w:b/>
          <w:sz w:val="20"/>
        </w:rPr>
        <w:t>current</w:t>
      </w:r>
      <w:r>
        <w:rPr>
          <w:b/>
          <w:spacing w:val="-10"/>
          <w:sz w:val="20"/>
        </w:rPr>
        <w:t> </w:t>
      </w:r>
      <w:r>
        <w:rPr>
          <w:b/>
          <w:spacing w:val="-4"/>
          <w:sz w:val="20"/>
        </w:rPr>
        <w:t>ratio</w:t>
      </w:r>
      <w:r>
        <w:rPr>
          <w:b/>
          <w:sz w:val="20"/>
        </w:rPr>
        <w:tab/>
      </w:r>
      <w:r>
        <w:rPr>
          <w:sz w:val="20"/>
        </w:rPr>
        <w:t>The</w:t>
      </w:r>
      <w:r>
        <w:rPr>
          <w:spacing w:val="3"/>
          <w:sz w:val="20"/>
        </w:rPr>
        <w:t> </w:t>
      </w:r>
      <w:r>
        <w:rPr>
          <w:sz w:val="20"/>
        </w:rPr>
        <w:t>Group</w:t>
      </w:r>
      <w:r>
        <w:rPr>
          <w:spacing w:val="6"/>
          <w:sz w:val="20"/>
        </w:rPr>
        <w:t> </w:t>
      </w:r>
      <w:r>
        <w:rPr>
          <w:sz w:val="20"/>
        </w:rPr>
        <w:t>forecasts</w:t>
      </w:r>
      <w:r>
        <w:rPr>
          <w:spacing w:val="5"/>
          <w:sz w:val="20"/>
        </w:rPr>
        <w:t> </w:t>
      </w:r>
      <w:r>
        <w:rPr>
          <w:sz w:val="20"/>
        </w:rPr>
        <w:t>to</w:t>
      </w:r>
      <w:r>
        <w:rPr>
          <w:spacing w:val="4"/>
          <w:sz w:val="20"/>
        </w:rPr>
        <w:t> </w:t>
      </w:r>
      <w:r>
        <w:rPr>
          <w:sz w:val="20"/>
        </w:rPr>
        <w:t>improve</w:t>
      </w:r>
      <w:r>
        <w:rPr>
          <w:spacing w:val="3"/>
          <w:sz w:val="20"/>
        </w:rPr>
        <w:t> </w:t>
      </w:r>
      <w:r>
        <w:rPr>
          <w:sz w:val="20"/>
        </w:rPr>
        <w:t>the</w:t>
      </w:r>
      <w:r>
        <w:rPr>
          <w:spacing w:val="3"/>
          <w:sz w:val="20"/>
        </w:rPr>
        <w:t> </w:t>
      </w:r>
      <w:r>
        <w:rPr>
          <w:sz w:val="20"/>
        </w:rPr>
        <w:t>current</w:t>
      </w:r>
      <w:r>
        <w:rPr>
          <w:spacing w:val="7"/>
          <w:sz w:val="20"/>
        </w:rPr>
        <w:t> </w:t>
      </w:r>
      <w:r>
        <w:rPr>
          <w:sz w:val="20"/>
        </w:rPr>
        <w:t>ratio</w:t>
      </w:r>
      <w:r>
        <w:rPr>
          <w:spacing w:val="3"/>
          <w:sz w:val="20"/>
        </w:rPr>
        <w:t> </w:t>
      </w:r>
      <w:r>
        <w:rPr>
          <w:sz w:val="20"/>
        </w:rPr>
        <w:t>to</w:t>
      </w:r>
      <w:r>
        <w:rPr>
          <w:spacing w:val="6"/>
          <w:sz w:val="20"/>
        </w:rPr>
        <w:t> </w:t>
      </w:r>
      <w:r>
        <w:rPr>
          <w:sz w:val="20"/>
        </w:rPr>
        <w:t>at</w:t>
      </w:r>
      <w:r>
        <w:rPr>
          <w:spacing w:val="6"/>
          <w:sz w:val="20"/>
        </w:rPr>
        <w:t> </w:t>
      </w:r>
      <w:r>
        <w:rPr>
          <w:spacing w:val="-2"/>
          <w:sz w:val="20"/>
        </w:rPr>
        <w:t>least</w:t>
      </w:r>
    </w:p>
    <w:p>
      <w:pPr>
        <w:pStyle w:val="BodyText"/>
        <w:ind w:left="4255" w:right="1085"/>
        <w:jc w:val="both"/>
        <w:rPr>
          <w:b/>
        </w:rPr>
      </w:pPr>
      <w:r>
        <w:rPr/>
        <w:t>1.4</w:t>
      </w:r>
      <w:r>
        <w:rPr>
          <w:spacing w:val="-12"/>
        </w:rPr>
        <w:t> </w:t>
      </w:r>
      <w:r>
        <w:rPr/>
        <w:t>by</w:t>
      </w:r>
      <w:r>
        <w:rPr>
          <w:spacing w:val="-9"/>
        </w:rPr>
        <w:t> </w:t>
      </w:r>
      <w:r>
        <w:rPr/>
        <w:t>2021/22.</w:t>
      </w:r>
      <w:r>
        <w:rPr>
          <w:spacing w:val="-12"/>
        </w:rPr>
        <w:t> </w:t>
      </w:r>
      <w:r>
        <w:rPr/>
        <w:t>This</w:t>
      </w:r>
      <w:r>
        <w:rPr>
          <w:spacing w:val="-11"/>
        </w:rPr>
        <w:t> </w:t>
      </w:r>
      <w:r>
        <w:rPr/>
        <w:t>KPI</w:t>
      </w:r>
      <w:r>
        <w:rPr>
          <w:spacing w:val="-10"/>
        </w:rPr>
        <w:t> </w:t>
      </w:r>
      <w:r>
        <w:rPr/>
        <w:t>was</w:t>
      </w:r>
      <w:r>
        <w:rPr>
          <w:spacing w:val="-11"/>
        </w:rPr>
        <w:t> </w:t>
      </w:r>
      <w:r>
        <w:rPr/>
        <w:t>achieved</w:t>
      </w:r>
      <w:r>
        <w:rPr>
          <w:spacing w:val="-10"/>
        </w:rPr>
        <w:t> </w:t>
      </w:r>
      <w:r>
        <w:rPr/>
        <w:t>in</w:t>
      </w:r>
      <w:r>
        <w:rPr>
          <w:spacing w:val="-10"/>
        </w:rPr>
        <w:t> </w:t>
      </w:r>
      <w:r>
        <w:rPr/>
        <w:t>2022/2023</w:t>
      </w:r>
      <w:r>
        <w:rPr>
          <w:spacing w:val="-10"/>
        </w:rPr>
        <w:t> </w:t>
      </w:r>
      <w:r>
        <w:rPr/>
        <w:t>with</w:t>
      </w:r>
      <w:r>
        <w:rPr>
          <w:spacing w:val="-10"/>
        </w:rPr>
        <w:t> </w:t>
      </w:r>
      <w:r>
        <w:rPr/>
        <w:t>an adjusted current ratio of 1.45 due to the ESFA funding assurance review liability being treated as due within one year. However, a payment schedule with the ESFA was </w:t>
      </w:r>
      <w:r>
        <w:rPr>
          <w:spacing w:val="-2"/>
        </w:rPr>
        <w:t>confirmed</w:t>
      </w:r>
      <w:r>
        <w:rPr>
          <w:spacing w:val="-6"/>
        </w:rPr>
        <w:t> </w:t>
      </w:r>
      <w:r>
        <w:rPr>
          <w:spacing w:val="-2"/>
        </w:rPr>
        <w:t>after</w:t>
      </w:r>
      <w:r>
        <w:rPr>
          <w:spacing w:val="-5"/>
        </w:rPr>
        <w:t> </w:t>
      </w:r>
      <w:r>
        <w:rPr>
          <w:spacing w:val="-2"/>
        </w:rPr>
        <w:t>the</w:t>
      </w:r>
      <w:r>
        <w:rPr>
          <w:spacing w:val="-6"/>
        </w:rPr>
        <w:t> </w:t>
      </w:r>
      <w:r>
        <w:rPr>
          <w:spacing w:val="-2"/>
        </w:rPr>
        <w:t>year</w:t>
      </w:r>
      <w:r>
        <w:rPr>
          <w:spacing w:val="-5"/>
        </w:rPr>
        <w:t> </w:t>
      </w:r>
      <w:r>
        <w:rPr>
          <w:spacing w:val="-2"/>
        </w:rPr>
        <w:t>end</w:t>
      </w:r>
      <w:r>
        <w:rPr>
          <w:spacing w:val="-6"/>
        </w:rPr>
        <w:t> </w:t>
      </w:r>
      <w:r>
        <w:rPr>
          <w:spacing w:val="-2"/>
        </w:rPr>
        <w:t>which</w:t>
      </w:r>
      <w:r>
        <w:rPr>
          <w:spacing w:val="-6"/>
        </w:rPr>
        <w:t> </w:t>
      </w:r>
      <w:r>
        <w:rPr>
          <w:spacing w:val="-2"/>
        </w:rPr>
        <w:t>covers</w:t>
      </w:r>
      <w:r>
        <w:rPr>
          <w:spacing w:val="-7"/>
        </w:rPr>
        <w:t> </w:t>
      </w:r>
      <w:r>
        <w:rPr>
          <w:spacing w:val="-2"/>
        </w:rPr>
        <w:t>two</w:t>
      </w:r>
      <w:r>
        <w:rPr>
          <w:spacing w:val="-9"/>
        </w:rPr>
        <w:t> </w:t>
      </w:r>
      <w:r>
        <w:rPr>
          <w:spacing w:val="-2"/>
        </w:rPr>
        <w:t>financial</w:t>
      </w:r>
      <w:r>
        <w:rPr>
          <w:spacing w:val="-9"/>
        </w:rPr>
        <w:t> </w:t>
      </w:r>
      <w:r>
        <w:rPr>
          <w:spacing w:val="-2"/>
        </w:rPr>
        <w:t>years </w:t>
      </w:r>
      <w:r>
        <w:rPr/>
        <w:t>and therefore the adjusted current ratio should be </w:t>
      </w:r>
      <w:r>
        <w:rPr>
          <w:b/>
        </w:rPr>
        <w:t>2.05.</w:t>
      </w:r>
    </w:p>
    <w:p>
      <w:pPr>
        <w:pStyle w:val="BodyText"/>
        <w:tabs>
          <w:tab w:pos="4255" w:val="left" w:leader="none"/>
        </w:tabs>
        <w:spacing w:before="1"/>
        <w:ind w:left="4255" w:right="1083" w:hanging="2837"/>
        <w:jc w:val="both"/>
      </w:pPr>
      <w:r>
        <w:rPr>
          <w:b/>
        </w:rPr>
        <w:t>Staff costs</w:t>
        <w:tab/>
      </w:r>
      <w:r>
        <w:rPr/>
        <w:t>The Group forecasts to reduce staff costs as a percentage of income to at least 67%. In 2022/23 the ratio was </w:t>
      </w:r>
      <w:r>
        <w:rPr>
          <w:b/>
        </w:rPr>
        <w:t>65.08% </w:t>
      </w:r>
      <w:r>
        <w:rPr/>
        <w:t>which is in line with the FEC benchmark.</w:t>
      </w:r>
    </w:p>
    <w:p>
      <w:pPr>
        <w:spacing w:line="229" w:lineRule="exact" w:before="0"/>
        <w:ind w:left="1418" w:right="0" w:firstLine="0"/>
        <w:jc w:val="both"/>
        <w:rPr>
          <w:sz w:val="20"/>
        </w:rPr>
      </w:pPr>
      <w:r>
        <w:rPr>
          <w:b/>
          <w:sz w:val="20"/>
        </w:rPr>
        <w:t>Financial</w:t>
      </w:r>
      <w:r>
        <w:rPr>
          <w:b/>
          <w:spacing w:val="-5"/>
          <w:sz w:val="20"/>
        </w:rPr>
        <w:t> </w:t>
      </w:r>
      <w:r>
        <w:rPr>
          <w:b/>
          <w:sz w:val="20"/>
        </w:rPr>
        <w:t>health</w:t>
      </w:r>
      <w:r>
        <w:rPr>
          <w:b/>
          <w:spacing w:val="-4"/>
          <w:sz w:val="20"/>
        </w:rPr>
        <w:t> </w:t>
      </w:r>
      <w:r>
        <w:rPr>
          <w:b/>
          <w:sz w:val="20"/>
        </w:rPr>
        <w:t>grading</w:t>
      </w:r>
      <w:r>
        <w:rPr>
          <w:b/>
          <w:spacing w:val="69"/>
          <w:sz w:val="20"/>
        </w:rPr>
        <w:t>    </w:t>
      </w:r>
      <w:r>
        <w:rPr>
          <w:sz w:val="20"/>
        </w:rPr>
        <w:t>The</w:t>
      </w:r>
      <w:r>
        <w:rPr>
          <w:spacing w:val="-1"/>
          <w:sz w:val="20"/>
        </w:rPr>
        <w:t> </w:t>
      </w:r>
      <w:r>
        <w:rPr>
          <w:sz w:val="20"/>
        </w:rPr>
        <w:t>Group</w:t>
      </w:r>
      <w:r>
        <w:rPr>
          <w:spacing w:val="-1"/>
          <w:sz w:val="20"/>
        </w:rPr>
        <w:t> </w:t>
      </w:r>
      <w:r>
        <w:rPr>
          <w:sz w:val="20"/>
        </w:rPr>
        <w:t>forecasts</w:t>
      </w:r>
      <w:r>
        <w:rPr>
          <w:spacing w:val="1"/>
          <w:sz w:val="20"/>
        </w:rPr>
        <w:t> </w:t>
      </w:r>
      <w:r>
        <w:rPr>
          <w:sz w:val="20"/>
        </w:rPr>
        <w:t>to</w:t>
      </w:r>
      <w:r>
        <w:rPr>
          <w:spacing w:val="1"/>
          <w:sz w:val="20"/>
        </w:rPr>
        <w:t> </w:t>
      </w:r>
      <w:r>
        <w:rPr>
          <w:sz w:val="20"/>
        </w:rPr>
        <w:t>improve</w:t>
      </w:r>
      <w:r>
        <w:rPr>
          <w:spacing w:val="-1"/>
          <w:sz w:val="20"/>
        </w:rPr>
        <w:t> </w:t>
      </w:r>
      <w:r>
        <w:rPr>
          <w:sz w:val="20"/>
        </w:rPr>
        <w:t>the</w:t>
      </w:r>
      <w:r>
        <w:rPr>
          <w:spacing w:val="-1"/>
          <w:sz w:val="20"/>
        </w:rPr>
        <w:t> </w:t>
      </w:r>
      <w:r>
        <w:rPr>
          <w:sz w:val="20"/>
        </w:rPr>
        <w:t>financial</w:t>
      </w:r>
      <w:r>
        <w:rPr>
          <w:spacing w:val="-1"/>
          <w:sz w:val="20"/>
        </w:rPr>
        <w:t> </w:t>
      </w:r>
      <w:r>
        <w:rPr>
          <w:sz w:val="20"/>
        </w:rPr>
        <w:t>health</w:t>
      </w:r>
      <w:r>
        <w:rPr>
          <w:spacing w:val="-2"/>
          <w:sz w:val="20"/>
        </w:rPr>
        <w:t> grading</w:t>
      </w:r>
    </w:p>
    <w:p>
      <w:pPr>
        <w:pStyle w:val="BodyText"/>
        <w:ind w:left="4255" w:right="1088"/>
        <w:jc w:val="both"/>
      </w:pPr>
      <w:r>
        <w:rPr/>
        <w:t>to at least “Good” in the short to medium term. The College achieved a grading of </w:t>
      </w:r>
      <w:r>
        <w:rPr>
          <w:b/>
        </w:rPr>
        <w:t>“outstanding” </w:t>
      </w:r>
      <w:r>
        <w:rPr/>
        <w:t>in 2022/23.</w:t>
      </w:r>
    </w:p>
    <w:p>
      <w:pPr>
        <w:tabs>
          <w:tab w:pos="4255" w:val="left" w:leader="none"/>
        </w:tabs>
        <w:spacing w:before="1"/>
        <w:ind w:left="1418" w:right="0" w:firstLine="0"/>
        <w:jc w:val="left"/>
        <w:rPr>
          <w:sz w:val="20"/>
        </w:rPr>
      </w:pPr>
      <w:r>
        <w:rPr>
          <w:b/>
          <w:sz w:val="20"/>
        </w:rPr>
        <w:t>Estate</w:t>
      </w:r>
      <w:r>
        <w:rPr>
          <w:b/>
          <w:spacing w:val="-12"/>
          <w:sz w:val="20"/>
        </w:rPr>
        <w:t> </w:t>
      </w:r>
      <w:r>
        <w:rPr>
          <w:b/>
          <w:spacing w:val="-2"/>
          <w:sz w:val="20"/>
        </w:rPr>
        <w:t>utilisation</w:t>
      </w:r>
      <w:r>
        <w:rPr>
          <w:b/>
          <w:sz w:val="20"/>
        </w:rPr>
        <w:tab/>
      </w:r>
      <w:r>
        <w:rPr>
          <w:sz w:val="20"/>
        </w:rPr>
        <w:t>The</w:t>
      </w:r>
      <w:r>
        <w:rPr>
          <w:spacing w:val="17"/>
          <w:sz w:val="20"/>
        </w:rPr>
        <w:t> </w:t>
      </w:r>
      <w:r>
        <w:rPr>
          <w:sz w:val="20"/>
        </w:rPr>
        <w:t>Group</w:t>
      </w:r>
      <w:r>
        <w:rPr>
          <w:spacing w:val="17"/>
          <w:sz w:val="20"/>
        </w:rPr>
        <w:t> </w:t>
      </w:r>
      <w:r>
        <w:rPr>
          <w:sz w:val="20"/>
        </w:rPr>
        <w:t>forecasts</w:t>
      </w:r>
      <w:r>
        <w:rPr>
          <w:spacing w:val="17"/>
          <w:sz w:val="20"/>
        </w:rPr>
        <w:t> </w:t>
      </w:r>
      <w:r>
        <w:rPr>
          <w:sz w:val="20"/>
        </w:rPr>
        <w:t>to</w:t>
      </w:r>
      <w:r>
        <w:rPr>
          <w:spacing w:val="17"/>
          <w:sz w:val="20"/>
        </w:rPr>
        <w:t> </w:t>
      </w:r>
      <w:r>
        <w:rPr>
          <w:sz w:val="20"/>
        </w:rPr>
        <w:t>improve</w:t>
      </w:r>
      <w:r>
        <w:rPr>
          <w:spacing w:val="17"/>
          <w:sz w:val="20"/>
        </w:rPr>
        <w:t> </w:t>
      </w:r>
      <w:r>
        <w:rPr>
          <w:sz w:val="20"/>
        </w:rPr>
        <w:t>the</w:t>
      </w:r>
      <w:r>
        <w:rPr>
          <w:spacing w:val="17"/>
          <w:sz w:val="20"/>
        </w:rPr>
        <w:t> </w:t>
      </w:r>
      <w:r>
        <w:rPr>
          <w:sz w:val="20"/>
        </w:rPr>
        <w:t>estate</w:t>
      </w:r>
      <w:r>
        <w:rPr>
          <w:spacing w:val="18"/>
          <w:sz w:val="20"/>
        </w:rPr>
        <w:t> </w:t>
      </w:r>
      <w:r>
        <w:rPr>
          <w:sz w:val="20"/>
        </w:rPr>
        <w:t>utilisation</w:t>
      </w:r>
      <w:r>
        <w:rPr>
          <w:spacing w:val="18"/>
          <w:sz w:val="20"/>
        </w:rPr>
        <w:t> </w:t>
      </w:r>
      <w:r>
        <w:rPr>
          <w:sz w:val="20"/>
        </w:rPr>
        <w:t>to</w:t>
      </w:r>
      <w:r>
        <w:rPr>
          <w:spacing w:val="17"/>
          <w:sz w:val="20"/>
        </w:rPr>
        <w:t> </w:t>
      </w:r>
      <w:r>
        <w:rPr>
          <w:spacing w:val="-5"/>
          <w:sz w:val="20"/>
        </w:rPr>
        <w:t>at</w:t>
      </w:r>
    </w:p>
    <w:p>
      <w:pPr>
        <w:pStyle w:val="BodyText"/>
        <w:ind w:left="4255" w:right="1084"/>
      </w:pPr>
      <w:r>
        <w:rPr/>
        <w:t>least 30%. The College achieved an estates utilisation ratio of 35% in 2022/2023.</w:t>
      </w:r>
    </w:p>
    <w:p>
      <w:pPr>
        <w:tabs>
          <w:tab w:pos="4255" w:val="left" w:leader="none"/>
        </w:tabs>
        <w:spacing w:line="229" w:lineRule="exact" w:before="0"/>
        <w:ind w:left="1418" w:right="0" w:firstLine="0"/>
        <w:jc w:val="left"/>
        <w:rPr>
          <w:sz w:val="20"/>
        </w:rPr>
      </w:pPr>
      <w:r>
        <w:rPr>
          <w:b/>
          <w:sz w:val="20"/>
        </w:rPr>
        <w:t>Gross</w:t>
      </w:r>
      <w:r>
        <w:rPr>
          <w:b/>
          <w:spacing w:val="-7"/>
          <w:sz w:val="20"/>
        </w:rPr>
        <w:t> </w:t>
      </w:r>
      <w:r>
        <w:rPr>
          <w:b/>
          <w:sz w:val="20"/>
        </w:rPr>
        <w:t>margin</w:t>
      </w:r>
      <w:r>
        <w:rPr>
          <w:b/>
          <w:spacing w:val="-5"/>
          <w:sz w:val="20"/>
        </w:rPr>
        <w:t> </w:t>
      </w:r>
      <w:r>
        <w:rPr>
          <w:b/>
          <w:sz w:val="20"/>
        </w:rPr>
        <w:t>by</w:t>
      </w:r>
      <w:r>
        <w:rPr>
          <w:b/>
          <w:spacing w:val="-4"/>
          <w:sz w:val="20"/>
        </w:rPr>
        <w:t> </w:t>
      </w:r>
      <w:r>
        <w:rPr>
          <w:b/>
          <w:spacing w:val="-2"/>
          <w:sz w:val="20"/>
        </w:rPr>
        <w:t>course</w:t>
      </w:r>
      <w:r>
        <w:rPr>
          <w:b/>
          <w:sz w:val="20"/>
        </w:rPr>
        <w:tab/>
      </w:r>
      <w:r>
        <w:rPr>
          <w:spacing w:val="-2"/>
          <w:sz w:val="20"/>
        </w:rPr>
        <w:t>The</w:t>
      </w:r>
      <w:r>
        <w:rPr>
          <w:spacing w:val="-11"/>
          <w:sz w:val="20"/>
        </w:rPr>
        <w:t> </w:t>
      </w:r>
      <w:r>
        <w:rPr>
          <w:spacing w:val="-2"/>
          <w:sz w:val="20"/>
        </w:rPr>
        <w:t>Group</w:t>
      </w:r>
      <w:r>
        <w:rPr>
          <w:spacing w:val="-11"/>
          <w:sz w:val="20"/>
        </w:rPr>
        <w:t> </w:t>
      </w:r>
      <w:r>
        <w:rPr>
          <w:spacing w:val="-2"/>
          <w:sz w:val="20"/>
        </w:rPr>
        <w:t>forecasts</w:t>
      </w:r>
      <w:r>
        <w:rPr>
          <w:spacing w:val="-8"/>
          <w:sz w:val="20"/>
        </w:rPr>
        <w:t> </w:t>
      </w:r>
      <w:r>
        <w:rPr>
          <w:spacing w:val="-2"/>
          <w:sz w:val="20"/>
        </w:rPr>
        <w:t>to</w:t>
      </w:r>
      <w:r>
        <w:rPr>
          <w:spacing w:val="-8"/>
          <w:sz w:val="20"/>
        </w:rPr>
        <w:t> </w:t>
      </w:r>
      <w:r>
        <w:rPr>
          <w:spacing w:val="-2"/>
          <w:sz w:val="20"/>
        </w:rPr>
        <w:t>improve</w:t>
      </w:r>
      <w:r>
        <w:rPr>
          <w:spacing w:val="-10"/>
          <w:sz w:val="20"/>
        </w:rPr>
        <w:t> </w:t>
      </w:r>
      <w:r>
        <w:rPr>
          <w:spacing w:val="-2"/>
          <w:sz w:val="20"/>
        </w:rPr>
        <w:t>gross</w:t>
      </w:r>
      <w:r>
        <w:rPr>
          <w:spacing w:val="-9"/>
          <w:sz w:val="20"/>
        </w:rPr>
        <w:t> </w:t>
      </w:r>
      <w:r>
        <w:rPr>
          <w:spacing w:val="-2"/>
          <w:sz w:val="20"/>
        </w:rPr>
        <w:t>margin</w:t>
      </w:r>
      <w:r>
        <w:rPr>
          <w:spacing w:val="-7"/>
          <w:sz w:val="20"/>
        </w:rPr>
        <w:t> </w:t>
      </w:r>
      <w:r>
        <w:rPr>
          <w:spacing w:val="-2"/>
          <w:sz w:val="20"/>
        </w:rPr>
        <w:t>by</w:t>
      </w:r>
      <w:r>
        <w:rPr>
          <w:spacing w:val="-8"/>
          <w:sz w:val="20"/>
        </w:rPr>
        <w:t> </w:t>
      </w:r>
      <w:r>
        <w:rPr>
          <w:spacing w:val="-2"/>
          <w:sz w:val="20"/>
        </w:rPr>
        <w:t>course,</w:t>
      </w:r>
      <w:r>
        <w:rPr>
          <w:spacing w:val="-10"/>
          <w:sz w:val="20"/>
        </w:rPr>
        <w:t> </w:t>
      </w:r>
      <w:r>
        <w:rPr>
          <w:spacing w:val="-4"/>
          <w:sz w:val="20"/>
        </w:rPr>
        <w:t>with</w:t>
      </w:r>
    </w:p>
    <w:p>
      <w:pPr>
        <w:pStyle w:val="BodyText"/>
        <w:ind w:left="4255" w:right="1084"/>
      </w:pPr>
      <w:r>
        <w:rPr/>
        <w:t>a</w:t>
      </w:r>
      <w:r>
        <w:rPr>
          <w:spacing w:val="40"/>
        </w:rPr>
        <w:t> </w:t>
      </w:r>
      <w:r>
        <w:rPr/>
        <w:t>minimum</w:t>
      </w:r>
      <w:r>
        <w:rPr>
          <w:spacing w:val="40"/>
        </w:rPr>
        <w:t> </w:t>
      </w:r>
      <w:r>
        <w:rPr/>
        <w:t>departmental</w:t>
      </w:r>
      <w:r>
        <w:rPr>
          <w:spacing w:val="40"/>
        </w:rPr>
        <w:t> </w:t>
      </w:r>
      <w:r>
        <w:rPr/>
        <w:t>average</w:t>
      </w:r>
      <w:r>
        <w:rPr>
          <w:spacing w:val="40"/>
        </w:rPr>
        <w:t> </w:t>
      </w:r>
      <w:r>
        <w:rPr/>
        <w:t>of</w:t>
      </w:r>
      <w:r>
        <w:rPr>
          <w:spacing w:val="40"/>
        </w:rPr>
        <w:t> </w:t>
      </w:r>
      <w:r>
        <w:rPr/>
        <w:t>45%.</w:t>
      </w:r>
      <w:r>
        <w:rPr>
          <w:spacing w:val="40"/>
        </w:rPr>
        <w:t> </w:t>
      </w:r>
      <w:r>
        <w:rPr/>
        <w:t>The</w:t>
      </w:r>
      <w:r>
        <w:rPr>
          <w:spacing w:val="40"/>
        </w:rPr>
        <w:t> </w:t>
      </w:r>
      <w:r>
        <w:rPr/>
        <w:t>Group</w:t>
      </w:r>
      <w:r>
        <w:rPr>
          <w:spacing w:val="80"/>
        </w:rPr>
        <w:t> </w:t>
      </w:r>
      <w:r>
        <w:rPr/>
        <w:t>achieved this target with an average of </w:t>
      </w:r>
      <w:r>
        <w:rPr>
          <w:b/>
        </w:rPr>
        <w:t>51% </w:t>
      </w:r>
      <w:r>
        <w:rPr/>
        <w:t>gross margin.</w:t>
      </w:r>
    </w:p>
    <w:p>
      <w:pPr>
        <w:pStyle w:val="BodyText"/>
        <w:spacing w:before="2"/>
      </w:pPr>
    </w:p>
    <w:p>
      <w:pPr>
        <w:pStyle w:val="BodyText"/>
        <w:ind w:left="852" w:right="1084"/>
      </w:pPr>
      <w:r>
        <w:rPr/>
        <w:t>The College is required to complete the annual Finance Record for the ESFA. Based on 2022/23 data the College is assessed by the ESFA as having a </w:t>
      </w:r>
      <w:r>
        <w:rPr>
          <w:b/>
        </w:rPr>
        <w:t>“outstanding” </w:t>
      </w:r>
      <w:r>
        <w:rPr/>
        <w:t>financial health grading.</w:t>
      </w:r>
    </w:p>
    <w:p>
      <w:pPr>
        <w:pStyle w:val="BodyText"/>
        <w:spacing w:after="0"/>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Financial</w:t>
      </w:r>
      <w:r>
        <w:rPr>
          <w:b/>
          <w:spacing w:val="-4"/>
          <w:sz w:val="24"/>
        </w:rPr>
        <w:t> </w:t>
      </w:r>
      <w:r>
        <w:rPr>
          <w:b/>
          <w:sz w:val="24"/>
        </w:rPr>
        <w:t>Position</w:t>
      </w:r>
      <w:r>
        <w:rPr>
          <w:b/>
          <w:spacing w:val="-4"/>
          <w:sz w:val="24"/>
        </w:rPr>
        <w:t> </w:t>
      </w:r>
      <w:r>
        <w:rPr>
          <w:b/>
          <w:sz w:val="24"/>
        </w:rPr>
        <w:t>and</w:t>
      </w:r>
      <w:r>
        <w:rPr>
          <w:b/>
          <w:spacing w:val="-4"/>
          <w:sz w:val="24"/>
        </w:rPr>
        <w:t> </w:t>
      </w:r>
      <w:r>
        <w:rPr>
          <w:b/>
          <w:spacing w:val="-2"/>
          <w:sz w:val="24"/>
        </w:rPr>
        <w:t>Results</w:t>
      </w:r>
    </w:p>
    <w:p>
      <w:pPr>
        <w:pStyle w:val="BodyText"/>
        <w:spacing w:before="230"/>
        <w:ind w:left="852" w:right="1088"/>
        <w:jc w:val="both"/>
      </w:pPr>
      <w:r>
        <w:rPr/>
        <w:t>For the financial year ended 31 July 2023, the College group generated a surplus before taxation of £975,000 (2022 - deficit £2,298,000). The deficit for the year is after charging £74,000 (2022 -</w:t>
      </w:r>
    </w:p>
    <w:p>
      <w:pPr>
        <w:pStyle w:val="BodyText"/>
        <w:spacing w:before="1"/>
        <w:ind w:left="852"/>
        <w:jc w:val="both"/>
      </w:pPr>
      <w:r>
        <w:rPr/>
        <w:t>£213,000)</w:t>
      </w:r>
      <w:r>
        <w:rPr>
          <w:spacing w:val="-8"/>
        </w:rPr>
        <w:t> </w:t>
      </w:r>
      <w:r>
        <w:rPr/>
        <w:t>in</w:t>
      </w:r>
      <w:r>
        <w:rPr>
          <w:spacing w:val="-7"/>
        </w:rPr>
        <w:t> </w:t>
      </w:r>
      <w:r>
        <w:rPr/>
        <w:t>respect</w:t>
      </w:r>
      <w:r>
        <w:rPr>
          <w:spacing w:val="-9"/>
        </w:rPr>
        <w:t> </w:t>
      </w:r>
      <w:r>
        <w:rPr/>
        <w:t>of</w:t>
      </w:r>
      <w:r>
        <w:rPr>
          <w:spacing w:val="-7"/>
        </w:rPr>
        <w:t> </w:t>
      </w:r>
      <w:r>
        <w:rPr/>
        <w:t>restructuring</w:t>
      </w:r>
      <w:r>
        <w:rPr>
          <w:spacing w:val="-8"/>
        </w:rPr>
        <w:t> </w:t>
      </w:r>
      <w:r>
        <w:rPr>
          <w:spacing w:val="-2"/>
        </w:rPr>
        <w:t>costs.</w:t>
      </w:r>
    </w:p>
    <w:p>
      <w:pPr>
        <w:pStyle w:val="BodyText"/>
        <w:spacing w:before="228"/>
        <w:ind w:left="852" w:right="1088"/>
        <w:jc w:val="both"/>
      </w:pPr>
      <w:r>
        <w:rPr/>
        <w:t>As</w:t>
      </w:r>
      <w:r>
        <w:rPr>
          <w:spacing w:val="-3"/>
        </w:rPr>
        <w:t> </w:t>
      </w:r>
      <w:r>
        <w:rPr/>
        <w:t>at</w:t>
      </w:r>
      <w:r>
        <w:rPr>
          <w:spacing w:val="-4"/>
        </w:rPr>
        <w:t> </w:t>
      </w:r>
      <w:r>
        <w:rPr/>
        <w:t>31</w:t>
      </w:r>
      <w:r>
        <w:rPr>
          <w:spacing w:val="-4"/>
        </w:rPr>
        <w:t> </w:t>
      </w:r>
      <w:r>
        <w:rPr/>
        <w:t>July</w:t>
      </w:r>
      <w:r>
        <w:rPr>
          <w:spacing w:val="-3"/>
        </w:rPr>
        <w:t> </w:t>
      </w:r>
      <w:r>
        <w:rPr/>
        <w:t>2023,</w:t>
      </w:r>
      <w:r>
        <w:rPr>
          <w:spacing w:val="-4"/>
        </w:rPr>
        <w:t> </w:t>
      </w:r>
      <w:r>
        <w:rPr/>
        <w:t>the</w:t>
      </w:r>
      <w:r>
        <w:rPr>
          <w:spacing w:val="-4"/>
        </w:rPr>
        <w:t> </w:t>
      </w:r>
      <w:r>
        <w:rPr/>
        <w:t>College</w:t>
      </w:r>
      <w:r>
        <w:rPr>
          <w:spacing w:val="-4"/>
        </w:rPr>
        <w:t> </w:t>
      </w:r>
      <w:r>
        <w:rPr/>
        <w:t>group</w:t>
      </w:r>
      <w:r>
        <w:rPr>
          <w:spacing w:val="-4"/>
        </w:rPr>
        <w:t> </w:t>
      </w:r>
      <w:r>
        <w:rPr/>
        <w:t>has</w:t>
      </w:r>
      <w:r>
        <w:rPr>
          <w:spacing w:val="-3"/>
        </w:rPr>
        <w:t> </w:t>
      </w:r>
      <w:r>
        <w:rPr/>
        <w:t>an</w:t>
      </w:r>
      <w:r>
        <w:rPr>
          <w:spacing w:val="-4"/>
        </w:rPr>
        <w:t> </w:t>
      </w:r>
      <w:r>
        <w:rPr/>
        <w:t>accumulated</w:t>
      </w:r>
      <w:r>
        <w:rPr>
          <w:spacing w:val="-4"/>
        </w:rPr>
        <w:t> </w:t>
      </w:r>
      <w:r>
        <w:rPr/>
        <w:t>reserve</w:t>
      </w:r>
      <w:r>
        <w:rPr>
          <w:spacing w:val="-4"/>
        </w:rPr>
        <w:t> </w:t>
      </w:r>
      <w:r>
        <w:rPr/>
        <w:t>on</w:t>
      </w:r>
      <w:r>
        <w:rPr>
          <w:spacing w:val="-4"/>
        </w:rPr>
        <w:t> </w:t>
      </w:r>
      <w:r>
        <w:rPr/>
        <w:t>the</w:t>
      </w:r>
      <w:r>
        <w:rPr>
          <w:spacing w:val="-4"/>
        </w:rPr>
        <w:t> </w:t>
      </w:r>
      <w:r>
        <w:rPr/>
        <w:t>income</w:t>
      </w:r>
      <w:r>
        <w:rPr>
          <w:spacing w:val="-2"/>
        </w:rPr>
        <w:t> </w:t>
      </w:r>
      <w:r>
        <w:rPr/>
        <w:t>and</w:t>
      </w:r>
      <w:r>
        <w:rPr>
          <w:spacing w:val="-4"/>
        </w:rPr>
        <w:t> </w:t>
      </w:r>
      <w:r>
        <w:rPr/>
        <w:t>expenditure account of £20,385,000 (2022 - £26,996,000). This was after recognising a pension fund asset of</w:t>
      </w:r>
    </w:p>
    <w:p>
      <w:pPr>
        <w:pStyle w:val="BodyText"/>
        <w:spacing w:before="1"/>
        <w:ind w:left="851"/>
        <w:jc w:val="both"/>
      </w:pPr>
      <w:r>
        <w:rPr/>
        <w:t>£nil</w:t>
      </w:r>
      <w:r>
        <w:rPr>
          <w:spacing w:val="-7"/>
        </w:rPr>
        <w:t> </w:t>
      </w:r>
      <w:r>
        <w:rPr/>
        <w:t>(2022</w:t>
      </w:r>
      <w:r>
        <w:rPr>
          <w:spacing w:val="-7"/>
        </w:rPr>
        <w:t> </w:t>
      </w:r>
      <w:r>
        <w:rPr/>
        <w:t>-</w:t>
      </w:r>
      <w:r>
        <w:rPr>
          <w:spacing w:val="-5"/>
        </w:rPr>
        <w:t> </w:t>
      </w:r>
      <w:r>
        <w:rPr/>
        <w:t>£7,280,000</w:t>
      </w:r>
      <w:r>
        <w:rPr>
          <w:spacing w:val="-4"/>
        </w:rPr>
        <w:t> </w:t>
      </w:r>
      <w:r>
        <w:rPr/>
        <w:t>asset)</w:t>
      </w:r>
      <w:r>
        <w:rPr>
          <w:spacing w:val="-5"/>
        </w:rPr>
        <w:t> </w:t>
      </w:r>
      <w:r>
        <w:rPr/>
        <w:t>in</w:t>
      </w:r>
      <w:r>
        <w:rPr>
          <w:spacing w:val="-5"/>
        </w:rPr>
        <w:t> </w:t>
      </w:r>
      <w:r>
        <w:rPr/>
        <w:t>its</w:t>
      </w:r>
      <w:r>
        <w:rPr>
          <w:spacing w:val="-5"/>
        </w:rPr>
        <w:t> </w:t>
      </w:r>
      <w:r>
        <w:rPr/>
        <w:t>financial</w:t>
      </w:r>
      <w:r>
        <w:rPr>
          <w:spacing w:val="-7"/>
        </w:rPr>
        <w:t> </w:t>
      </w:r>
      <w:r>
        <w:rPr>
          <w:spacing w:val="-2"/>
        </w:rPr>
        <w:t>statements.</w:t>
      </w:r>
    </w:p>
    <w:p>
      <w:pPr>
        <w:pStyle w:val="BodyText"/>
        <w:spacing w:before="47"/>
      </w:pPr>
    </w:p>
    <w:p>
      <w:pPr>
        <w:pStyle w:val="Heading3"/>
        <w:jc w:val="both"/>
      </w:pPr>
      <w:r>
        <w:rPr/>
        <w:t>Post-Intervention</w:t>
      </w:r>
      <w:r>
        <w:rPr>
          <w:spacing w:val="-5"/>
        </w:rPr>
        <w:t> </w:t>
      </w:r>
      <w:r>
        <w:rPr/>
        <w:t>Monitoring</w:t>
      </w:r>
      <w:r>
        <w:rPr>
          <w:spacing w:val="-5"/>
        </w:rPr>
        <w:t> </w:t>
      </w:r>
      <w:r>
        <w:rPr/>
        <w:t>and</w:t>
      </w:r>
      <w:r>
        <w:rPr>
          <w:spacing w:val="-5"/>
        </w:rPr>
        <w:t> </w:t>
      </w:r>
      <w:r>
        <w:rPr/>
        <w:t>Support</w:t>
      </w:r>
      <w:r>
        <w:rPr>
          <w:spacing w:val="-5"/>
        </w:rPr>
        <w:t> </w:t>
      </w:r>
      <w:r>
        <w:rPr>
          <w:spacing w:val="-2"/>
        </w:rPr>
        <w:t>(PIMS)</w:t>
      </w:r>
    </w:p>
    <w:p>
      <w:pPr>
        <w:pStyle w:val="BodyText"/>
        <w:spacing w:before="227"/>
        <w:ind w:left="852" w:right="1086"/>
        <w:jc w:val="both"/>
      </w:pPr>
      <w:r>
        <w:rPr/>
        <w:t>On 11 November 2016 the EFA/SFA issued a Notice of Concern (the Notice)/Notice to Improve (NTI) to Hull College. This was because Hull College had been rated “inadequate” for financial health for 2015/2016.</w:t>
      </w:r>
    </w:p>
    <w:p>
      <w:pPr>
        <w:pStyle w:val="BodyText"/>
        <w:spacing w:before="2"/>
      </w:pPr>
    </w:p>
    <w:p>
      <w:pPr>
        <w:pStyle w:val="BodyText"/>
        <w:ind w:left="852" w:right="1087"/>
        <w:jc w:val="both"/>
      </w:pPr>
      <w:r>
        <w:rPr/>
        <w:t>On</w:t>
      </w:r>
      <w:r>
        <w:rPr>
          <w:spacing w:val="-7"/>
        </w:rPr>
        <w:t> </w:t>
      </w:r>
      <w:r>
        <w:rPr/>
        <w:t>22nd</w:t>
      </w:r>
      <w:r>
        <w:rPr>
          <w:spacing w:val="-4"/>
        </w:rPr>
        <w:t> </w:t>
      </w:r>
      <w:r>
        <w:rPr/>
        <w:t>December</w:t>
      </w:r>
      <w:r>
        <w:rPr>
          <w:spacing w:val="-3"/>
        </w:rPr>
        <w:t> </w:t>
      </w:r>
      <w:r>
        <w:rPr/>
        <w:t>2023,</w:t>
      </w:r>
      <w:r>
        <w:rPr>
          <w:spacing w:val="-6"/>
        </w:rPr>
        <w:t> </w:t>
      </w:r>
      <w:r>
        <w:rPr/>
        <w:t>the</w:t>
      </w:r>
      <w:r>
        <w:rPr>
          <w:spacing w:val="-7"/>
        </w:rPr>
        <w:t> </w:t>
      </w:r>
      <w:r>
        <w:rPr/>
        <w:t>Department</w:t>
      </w:r>
      <w:r>
        <w:rPr>
          <w:spacing w:val="-6"/>
        </w:rPr>
        <w:t> </w:t>
      </w:r>
      <w:r>
        <w:rPr/>
        <w:t>for</w:t>
      </w:r>
      <w:r>
        <w:rPr>
          <w:spacing w:val="-3"/>
        </w:rPr>
        <w:t> </w:t>
      </w:r>
      <w:r>
        <w:rPr/>
        <w:t>Education</w:t>
      </w:r>
      <w:r>
        <w:rPr>
          <w:spacing w:val="-7"/>
        </w:rPr>
        <w:t> </w:t>
      </w:r>
      <w:r>
        <w:rPr/>
        <w:t>and</w:t>
      </w:r>
      <w:r>
        <w:rPr>
          <w:spacing w:val="-4"/>
        </w:rPr>
        <w:t> </w:t>
      </w:r>
      <w:r>
        <w:rPr/>
        <w:t>ESFA</w:t>
      </w:r>
      <w:r>
        <w:rPr>
          <w:spacing w:val="-5"/>
        </w:rPr>
        <w:t> </w:t>
      </w:r>
      <w:r>
        <w:rPr/>
        <w:t>were</w:t>
      </w:r>
      <w:r>
        <w:rPr>
          <w:spacing w:val="-4"/>
        </w:rPr>
        <w:t> </w:t>
      </w:r>
      <w:r>
        <w:rPr/>
        <w:t>pleased</w:t>
      </w:r>
      <w:r>
        <w:rPr>
          <w:spacing w:val="-4"/>
        </w:rPr>
        <w:t> </w:t>
      </w:r>
      <w:r>
        <w:rPr/>
        <w:t>to</w:t>
      </w:r>
      <w:r>
        <w:rPr>
          <w:spacing w:val="-7"/>
        </w:rPr>
        <w:t> </w:t>
      </w:r>
      <w:r>
        <w:rPr/>
        <w:t>recognise</w:t>
      </w:r>
      <w:r>
        <w:rPr>
          <w:spacing w:val="-4"/>
        </w:rPr>
        <w:t> </w:t>
      </w:r>
      <w:r>
        <w:rPr/>
        <w:t>that Hull</w:t>
      </w:r>
      <w:r>
        <w:rPr>
          <w:spacing w:val="-14"/>
        </w:rPr>
        <w:t> </w:t>
      </w:r>
      <w:r>
        <w:rPr/>
        <w:t>College</w:t>
      </w:r>
      <w:r>
        <w:rPr>
          <w:spacing w:val="-11"/>
        </w:rPr>
        <w:t> </w:t>
      </w:r>
      <w:r>
        <w:rPr/>
        <w:t>has</w:t>
      </w:r>
      <w:r>
        <w:rPr>
          <w:spacing w:val="-12"/>
        </w:rPr>
        <w:t> </w:t>
      </w:r>
      <w:r>
        <w:rPr/>
        <w:t>now</w:t>
      </w:r>
      <w:r>
        <w:rPr>
          <w:spacing w:val="-13"/>
        </w:rPr>
        <w:t> </w:t>
      </w:r>
      <w:r>
        <w:rPr/>
        <w:t>made</w:t>
      </w:r>
      <w:r>
        <w:rPr>
          <w:spacing w:val="-11"/>
        </w:rPr>
        <w:t> </w:t>
      </w:r>
      <w:r>
        <w:rPr/>
        <w:t>sufficient</w:t>
      </w:r>
      <w:r>
        <w:rPr>
          <w:spacing w:val="-14"/>
        </w:rPr>
        <w:t> </w:t>
      </w:r>
      <w:r>
        <w:rPr/>
        <w:t>progress</w:t>
      </w:r>
      <w:r>
        <w:rPr>
          <w:spacing w:val="-12"/>
        </w:rPr>
        <w:t> </w:t>
      </w:r>
      <w:r>
        <w:rPr/>
        <w:t>against</w:t>
      </w:r>
      <w:r>
        <w:rPr>
          <w:spacing w:val="-14"/>
        </w:rPr>
        <w:t> </w:t>
      </w:r>
      <w:r>
        <w:rPr/>
        <w:t>the</w:t>
      </w:r>
      <w:r>
        <w:rPr>
          <w:spacing w:val="-14"/>
        </w:rPr>
        <w:t> </w:t>
      </w:r>
      <w:r>
        <w:rPr/>
        <w:t>terms</w:t>
      </w:r>
      <w:r>
        <w:rPr>
          <w:spacing w:val="-10"/>
        </w:rPr>
        <w:t> </w:t>
      </w:r>
      <w:r>
        <w:rPr/>
        <w:t>and</w:t>
      </w:r>
      <w:r>
        <w:rPr>
          <w:spacing w:val="-14"/>
        </w:rPr>
        <w:t> </w:t>
      </w:r>
      <w:r>
        <w:rPr/>
        <w:t>conditions</w:t>
      </w:r>
      <w:r>
        <w:rPr>
          <w:spacing w:val="-12"/>
        </w:rPr>
        <w:t> </w:t>
      </w:r>
      <w:r>
        <w:rPr/>
        <w:t>outlined</w:t>
      </w:r>
      <w:r>
        <w:rPr>
          <w:spacing w:val="-11"/>
        </w:rPr>
        <w:t> </w:t>
      </w:r>
      <w:r>
        <w:rPr/>
        <w:t>in</w:t>
      </w:r>
      <w:r>
        <w:rPr>
          <w:spacing w:val="-14"/>
        </w:rPr>
        <w:t> </w:t>
      </w:r>
      <w:r>
        <w:rPr/>
        <w:t>the</w:t>
      </w:r>
      <w:r>
        <w:rPr>
          <w:spacing w:val="-11"/>
        </w:rPr>
        <w:t> </w:t>
      </w:r>
      <w:r>
        <w:rPr/>
        <w:t>most recent issue of the NTI (May 2023). The DfE and ESFA have proposed that Hull College can progress out of Intervention and into Post Intervention Monitoring and Support (PIMS).</w:t>
      </w:r>
    </w:p>
    <w:p>
      <w:pPr>
        <w:pStyle w:val="BodyText"/>
      </w:pPr>
    </w:p>
    <w:p>
      <w:pPr>
        <w:pStyle w:val="BodyText"/>
        <w:ind w:left="852" w:right="1088"/>
        <w:jc w:val="both"/>
      </w:pPr>
      <w:r>
        <w:rPr/>
        <w:t>This would mean that the</w:t>
      </w:r>
      <w:r>
        <w:rPr>
          <w:spacing w:val="-2"/>
        </w:rPr>
        <w:t> </w:t>
      </w:r>
      <w:r>
        <w:rPr/>
        <w:t>College is no longer</w:t>
      </w:r>
      <w:r>
        <w:rPr>
          <w:spacing w:val="-1"/>
        </w:rPr>
        <w:t> </w:t>
      </w:r>
      <w:r>
        <w:rPr/>
        <w:t>classed as being in Intervention, and</w:t>
      </w:r>
      <w:r>
        <w:rPr>
          <w:spacing w:val="-2"/>
        </w:rPr>
        <w:t> </w:t>
      </w:r>
      <w:r>
        <w:rPr/>
        <w:t>therefore able to access more targeted funds and development opportunities that were previously restricted due to your Intervention status. The College’s published NTI will also be marked as closed on gov.uk.</w:t>
      </w:r>
    </w:p>
    <w:p>
      <w:pPr>
        <w:pStyle w:val="BodyText"/>
      </w:pPr>
    </w:p>
    <w:p>
      <w:pPr>
        <w:pStyle w:val="BodyText"/>
        <w:ind w:left="852" w:right="1085"/>
        <w:jc w:val="both"/>
      </w:pPr>
      <w:r>
        <w:rPr/>
        <w:t>The ESFA and FEC team will provide a support and monitored plan including timeframes for the college to exit the PIMS status. This would set out an agreed range of actions, targets and/or milestones for the College to achieve, outlining the continuing journey towards sustained improvement</w:t>
      </w:r>
      <w:r>
        <w:rPr>
          <w:spacing w:val="-6"/>
        </w:rPr>
        <w:t> </w:t>
      </w:r>
      <w:r>
        <w:rPr/>
        <w:t>and</w:t>
      </w:r>
      <w:r>
        <w:rPr>
          <w:spacing w:val="-7"/>
        </w:rPr>
        <w:t> </w:t>
      </w:r>
      <w:r>
        <w:rPr/>
        <w:t>outlining</w:t>
      </w:r>
      <w:r>
        <w:rPr>
          <w:spacing w:val="-4"/>
        </w:rPr>
        <w:t> </w:t>
      </w:r>
      <w:r>
        <w:rPr/>
        <w:t>relevant</w:t>
      </w:r>
      <w:r>
        <w:rPr>
          <w:spacing w:val="-6"/>
        </w:rPr>
        <w:t> </w:t>
      </w:r>
      <w:r>
        <w:rPr/>
        <w:t>support</w:t>
      </w:r>
      <w:r>
        <w:rPr>
          <w:spacing w:val="-6"/>
        </w:rPr>
        <w:t> </w:t>
      </w:r>
      <w:r>
        <w:rPr/>
        <w:t>that</w:t>
      </w:r>
      <w:r>
        <w:rPr>
          <w:spacing w:val="-6"/>
        </w:rPr>
        <w:t> </w:t>
      </w:r>
      <w:r>
        <w:rPr/>
        <w:t>can</w:t>
      </w:r>
      <w:r>
        <w:rPr>
          <w:spacing w:val="-4"/>
        </w:rPr>
        <w:t> </w:t>
      </w:r>
      <w:r>
        <w:rPr/>
        <w:t>be</w:t>
      </w:r>
      <w:r>
        <w:rPr>
          <w:spacing w:val="-7"/>
        </w:rPr>
        <w:t> </w:t>
      </w:r>
      <w:r>
        <w:rPr/>
        <w:t>provided.</w:t>
      </w:r>
      <w:r>
        <w:rPr>
          <w:spacing w:val="-6"/>
        </w:rPr>
        <w:t> </w:t>
      </w:r>
      <w:r>
        <w:rPr/>
        <w:t>It</w:t>
      </w:r>
      <w:r>
        <w:rPr>
          <w:spacing w:val="-4"/>
        </w:rPr>
        <w:t> </w:t>
      </w:r>
      <w:r>
        <w:rPr/>
        <w:t>is</w:t>
      </w:r>
      <w:r>
        <w:rPr>
          <w:spacing w:val="-5"/>
        </w:rPr>
        <w:t> </w:t>
      </w:r>
      <w:r>
        <w:rPr/>
        <w:t>expected</w:t>
      </w:r>
      <w:r>
        <w:rPr>
          <w:spacing w:val="-7"/>
        </w:rPr>
        <w:t> </w:t>
      </w:r>
      <w:r>
        <w:rPr/>
        <w:t>that</w:t>
      </w:r>
      <w:r>
        <w:rPr>
          <w:spacing w:val="-6"/>
        </w:rPr>
        <w:t> </w:t>
      </w:r>
      <w:r>
        <w:rPr/>
        <w:t>PIMS</w:t>
      </w:r>
      <w:r>
        <w:rPr>
          <w:spacing w:val="-7"/>
        </w:rPr>
        <w:t> </w:t>
      </w:r>
      <w:r>
        <w:rPr/>
        <w:t>will</w:t>
      </w:r>
      <w:r>
        <w:rPr>
          <w:spacing w:val="-7"/>
        </w:rPr>
        <w:t> </w:t>
      </w:r>
      <w:r>
        <w:rPr/>
        <w:t>build on</w:t>
      </w:r>
      <w:r>
        <w:rPr>
          <w:spacing w:val="-11"/>
        </w:rPr>
        <w:t> </w:t>
      </w:r>
      <w:r>
        <w:rPr/>
        <w:t>the</w:t>
      </w:r>
      <w:r>
        <w:rPr>
          <w:spacing w:val="-11"/>
        </w:rPr>
        <w:t> </w:t>
      </w:r>
      <w:r>
        <w:rPr/>
        <w:t>work</w:t>
      </w:r>
      <w:r>
        <w:rPr>
          <w:spacing w:val="-10"/>
        </w:rPr>
        <w:t> </w:t>
      </w:r>
      <w:r>
        <w:rPr/>
        <w:t>the</w:t>
      </w:r>
      <w:r>
        <w:rPr>
          <w:spacing w:val="-9"/>
        </w:rPr>
        <w:t> </w:t>
      </w:r>
      <w:r>
        <w:rPr/>
        <w:t>College</w:t>
      </w:r>
      <w:r>
        <w:rPr>
          <w:spacing w:val="-11"/>
        </w:rPr>
        <w:t> </w:t>
      </w:r>
      <w:r>
        <w:rPr/>
        <w:t>has</w:t>
      </w:r>
      <w:r>
        <w:rPr>
          <w:spacing w:val="-10"/>
        </w:rPr>
        <w:t> </w:t>
      </w:r>
      <w:r>
        <w:rPr/>
        <w:t>already</w:t>
      </w:r>
      <w:r>
        <w:rPr>
          <w:spacing w:val="-10"/>
        </w:rPr>
        <w:t> </w:t>
      </w:r>
      <w:r>
        <w:rPr/>
        <w:t>undertaken</w:t>
      </w:r>
      <w:r>
        <w:rPr>
          <w:spacing w:val="-9"/>
        </w:rPr>
        <w:t> </w:t>
      </w:r>
      <w:r>
        <w:rPr/>
        <w:t>with</w:t>
      </w:r>
      <w:r>
        <w:rPr>
          <w:spacing w:val="-11"/>
        </w:rPr>
        <w:t> </w:t>
      </w:r>
      <w:r>
        <w:rPr/>
        <w:t>the</w:t>
      </w:r>
      <w:r>
        <w:rPr>
          <w:spacing w:val="-11"/>
        </w:rPr>
        <w:t> </w:t>
      </w:r>
      <w:r>
        <w:rPr/>
        <w:t>FEC,</w:t>
      </w:r>
      <w:r>
        <w:rPr>
          <w:spacing w:val="-9"/>
        </w:rPr>
        <w:t> </w:t>
      </w:r>
      <w:r>
        <w:rPr/>
        <w:t>piloting</w:t>
      </w:r>
      <w:r>
        <w:rPr>
          <w:spacing w:val="-11"/>
        </w:rPr>
        <w:t> </w:t>
      </w:r>
      <w:r>
        <w:rPr/>
        <w:t>the</w:t>
      </w:r>
      <w:r>
        <w:rPr>
          <w:spacing w:val="-11"/>
        </w:rPr>
        <w:t> </w:t>
      </w:r>
      <w:r>
        <w:rPr/>
        <w:t>single</w:t>
      </w:r>
      <w:r>
        <w:rPr>
          <w:spacing w:val="-11"/>
        </w:rPr>
        <w:t> </w:t>
      </w:r>
      <w:r>
        <w:rPr/>
        <w:t>improvement</w:t>
      </w:r>
      <w:r>
        <w:rPr>
          <w:spacing w:val="-11"/>
        </w:rPr>
        <w:t> </w:t>
      </w:r>
      <w:r>
        <w:rPr/>
        <w:t>plan.</w:t>
      </w:r>
    </w:p>
    <w:p>
      <w:pPr>
        <w:pStyle w:val="BodyText"/>
      </w:pPr>
    </w:p>
    <w:p>
      <w:pPr>
        <w:pStyle w:val="Heading6"/>
        <w:spacing w:before="1"/>
      </w:pPr>
      <w:r>
        <w:rPr/>
        <w:t>PIMS</w:t>
      </w:r>
      <w:r>
        <w:rPr>
          <w:spacing w:val="-6"/>
        </w:rPr>
        <w:t> </w:t>
      </w:r>
      <w:r>
        <w:rPr/>
        <w:t>Plan</w:t>
      </w:r>
      <w:r>
        <w:rPr>
          <w:spacing w:val="-4"/>
        </w:rPr>
        <w:t> </w:t>
      </w:r>
      <w:r>
        <w:rPr/>
        <w:t>–</w:t>
      </w:r>
      <w:r>
        <w:rPr>
          <w:spacing w:val="-2"/>
        </w:rPr>
        <w:t> </w:t>
      </w:r>
      <w:r>
        <w:rPr/>
        <w:t>Two</w:t>
      </w:r>
      <w:r>
        <w:rPr>
          <w:spacing w:val="-4"/>
        </w:rPr>
        <w:t> </w:t>
      </w:r>
      <w:r>
        <w:rPr/>
        <w:t>years</w:t>
      </w:r>
      <w:r>
        <w:rPr>
          <w:spacing w:val="-4"/>
        </w:rPr>
        <w:t> </w:t>
      </w:r>
      <w:r>
        <w:rPr/>
        <w:t>to</w:t>
      </w:r>
      <w:r>
        <w:rPr>
          <w:spacing w:val="-2"/>
        </w:rPr>
        <w:t> </w:t>
      </w:r>
      <w:r>
        <w:rPr/>
        <w:t>31</w:t>
      </w:r>
      <w:r>
        <w:rPr>
          <w:spacing w:val="-5"/>
        </w:rPr>
        <w:t> </w:t>
      </w:r>
      <w:r>
        <w:rPr/>
        <w:t>July</w:t>
      </w:r>
      <w:r>
        <w:rPr>
          <w:spacing w:val="-4"/>
        </w:rPr>
        <w:t> 2025</w:t>
      </w:r>
    </w:p>
    <w:p>
      <w:pPr>
        <w:pStyle w:val="BodyText"/>
        <w:rPr>
          <w:b/>
        </w:rPr>
      </w:pPr>
    </w:p>
    <w:p>
      <w:pPr>
        <w:pStyle w:val="BodyText"/>
        <w:spacing w:before="1"/>
        <w:ind w:left="852" w:right="1086"/>
        <w:jc w:val="both"/>
      </w:pPr>
      <w:r>
        <w:rPr/>
        <w:t>The College continues to work closely with the FE Commissioner and ESFA in line with the PIMS plan. The College has made significant progress towards achieving this plan up to the date of approval of this report and financial statements.</w:t>
      </w:r>
    </w:p>
    <w:p>
      <w:pPr>
        <w:pStyle w:val="BodyText"/>
        <w:spacing w:before="8"/>
      </w:pPr>
    </w:p>
    <w:p>
      <w:pPr>
        <w:pStyle w:val="BodyText"/>
        <w:spacing w:before="1"/>
        <w:ind w:left="852" w:right="1084"/>
        <w:jc w:val="both"/>
      </w:pPr>
      <w:r>
        <w:rPr/>
        <w:t>The</w:t>
      </w:r>
      <w:r>
        <w:rPr>
          <w:spacing w:val="-10"/>
        </w:rPr>
        <w:t> </w:t>
      </w:r>
      <w:r>
        <w:rPr/>
        <w:t>College</w:t>
      </w:r>
      <w:r>
        <w:rPr>
          <w:spacing w:val="-8"/>
        </w:rPr>
        <w:t> </w:t>
      </w:r>
      <w:r>
        <w:rPr/>
        <w:t>has</w:t>
      </w:r>
      <w:r>
        <w:rPr>
          <w:spacing w:val="-9"/>
        </w:rPr>
        <w:t> </w:t>
      </w:r>
      <w:r>
        <w:rPr/>
        <w:t>developed</w:t>
      </w:r>
      <w:r>
        <w:rPr>
          <w:spacing w:val="-8"/>
        </w:rPr>
        <w:t> </w:t>
      </w:r>
      <w:r>
        <w:rPr/>
        <w:t>a</w:t>
      </w:r>
      <w:r>
        <w:rPr>
          <w:spacing w:val="-10"/>
        </w:rPr>
        <w:t> </w:t>
      </w:r>
      <w:r>
        <w:rPr/>
        <w:t>two</w:t>
      </w:r>
      <w:r>
        <w:rPr>
          <w:spacing w:val="-10"/>
        </w:rPr>
        <w:t> </w:t>
      </w:r>
      <w:r>
        <w:rPr/>
        <w:t>year</w:t>
      </w:r>
      <w:r>
        <w:rPr>
          <w:spacing w:val="-9"/>
        </w:rPr>
        <w:t> </w:t>
      </w:r>
      <w:r>
        <w:rPr/>
        <w:t>financial</w:t>
      </w:r>
      <w:r>
        <w:rPr>
          <w:spacing w:val="-9"/>
        </w:rPr>
        <w:t> </w:t>
      </w:r>
      <w:r>
        <w:rPr/>
        <w:t>plan</w:t>
      </w:r>
      <w:r>
        <w:rPr>
          <w:spacing w:val="-8"/>
        </w:rPr>
        <w:t> </w:t>
      </w:r>
      <w:r>
        <w:rPr/>
        <w:t>for</w:t>
      </w:r>
      <w:r>
        <w:rPr>
          <w:spacing w:val="-7"/>
        </w:rPr>
        <w:t> </w:t>
      </w:r>
      <w:r>
        <w:rPr/>
        <w:t>the</w:t>
      </w:r>
      <w:r>
        <w:rPr>
          <w:spacing w:val="-8"/>
        </w:rPr>
        <w:t> </w:t>
      </w:r>
      <w:r>
        <w:rPr/>
        <w:t>period</w:t>
      </w:r>
      <w:r>
        <w:rPr>
          <w:spacing w:val="-8"/>
        </w:rPr>
        <w:t> </w:t>
      </w:r>
      <w:r>
        <w:rPr/>
        <w:t>2023-2025,</w:t>
      </w:r>
      <w:r>
        <w:rPr>
          <w:spacing w:val="-10"/>
        </w:rPr>
        <w:t> </w:t>
      </w:r>
      <w:r>
        <w:rPr/>
        <w:t>with</w:t>
      </w:r>
      <w:r>
        <w:rPr>
          <w:spacing w:val="-6"/>
        </w:rPr>
        <w:t> </w:t>
      </w:r>
      <w:r>
        <w:rPr/>
        <w:t>the</w:t>
      </w:r>
      <w:r>
        <w:rPr>
          <w:spacing w:val="-10"/>
        </w:rPr>
        <w:t> </w:t>
      </w:r>
      <w:r>
        <w:rPr/>
        <w:t>support</w:t>
      </w:r>
      <w:r>
        <w:rPr>
          <w:spacing w:val="-8"/>
        </w:rPr>
        <w:t> </w:t>
      </w:r>
      <w:r>
        <w:rPr/>
        <w:t>and participation of Hull College staff members. The key features of this plan are:</w:t>
      </w:r>
    </w:p>
    <w:p>
      <w:pPr>
        <w:pStyle w:val="BodyText"/>
        <w:spacing w:before="11"/>
      </w:pPr>
    </w:p>
    <w:p>
      <w:pPr>
        <w:pStyle w:val="ListParagraph"/>
        <w:numPr>
          <w:ilvl w:val="0"/>
          <w:numId w:val="2"/>
        </w:numPr>
        <w:tabs>
          <w:tab w:pos="1133" w:val="left" w:leader="none"/>
          <w:tab w:pos="1135" w:val="left" w:leader="none"/>
        </w:tabs>
        <w:spacing w:line="271" w:lineRule="auto" w:before="0" w:after="0"/>
        <w:ind w:left="1135" w:right="1087" w:hanging="284"/>
        <w:jc w:val="both"/>
        <w:rPr>
          <w:rFonts w:ascii="Symbol" w:hAnsi="Symbol"/>
          <w:sz w:val="20"/>
        </w:rPr>
      </w:pPr>
      <w:r>
        <w:rPr>
          <w:sz w:val="20"/>
        </w:rPr>
        <w:t>A carefully set out curriculum plan for each of the College’s technical institutes aligned to the current and future skills needs the region’s employers.</w:t>
      </w:r>
    </w:p>
    <w:p>
      <w:pPr>
        <w:pStyle w:val="ListParagraph"/>
        <w:numPr>
          <w:ilvl w:val="0"/>
          <w:numId w:val="2"/>
        </w:numPr>
        <w:tabs>
          <w:tab w:pos="1133" w:val="left" w:leader="none"/>
          <w:tab w:pos="1135" w:val="left" w:leader="none"/>
        </w:tabs>
        <w:spacing w:line="271" w:lineRule="auto" w:before="6" w:after="0"/>
        <w:ind w:left="1135" w:right="1089" w:hanging="284"/>
        <w:jc w:val="both"/>
        <w:rPr>
          <w:rFonts w:ascii="Symbol" w:hAnsi="Symbol"/>
          <w:sz w:val="20"/>
        </w:rPr>
      </w:pPr>
      <w:r>
        <w:rPr>
          <w:sz w:val="20"/>
        </w:rPr>
        <w:t>A comprehensive approach to the development of teaching and learning across the College’s </w:t>
      </w:r>
      <w:r>
        <w:rPr>
          <w:spacing w:val="-2"/>
          <w:sz w:val="20"/>
        </w:rPr>
        <w:t>provision.</w:t>
      </w:r>
    </w:p>
    <w:p>
      <w:pPr>
        <w:pStyle w:val="ListParagraph"/>
        <w:numPr>
          <w:ilvl w:val="0"/>
          <w:numId w:val="2"/>
        </w:numPr>
        <w:tabs>
          <w:tab w:pos="1133" w:val="left" w:leader="none"/>
          <w:tab w:pos="1135" w:val="left" w:leader="none"/>
        </w:tabs>
        <w:spacing w:line="273" w:lineRule="auto" w:before="6" w:after="0"/>
        <w:ind w:left="1135" w:right="1087" w:hanging="284"/>
        <w:jc w:val="both"/>
        <w:rPr>
          <w:rFonts w:ascii="Symbol" w:hAnsi="Symbol"/>
          <w:sz w:val="20"/>
        </w:rPr>
      </w:pPr>
      <w:r>
        <w:rPr>
          <w:sz w:val="20"/>
        </w:rPr>
        <w:t>A</w:t>
      </w:r>
      <w:r>
        <w:rPr>
          <w:spacing w:val="-1"/>
          <w:sz w:val="20"/>
        </w:rPr>
        <w:t> </w:t>
      </w:r>
      <w:r>
        <w:rPr>
          <w:sz w:val="20"/>
        </w:rPr>
        <w:t>considered</w:t>
      </w:r>
      <w:r>
        <w:rPr>
          <w:spacing w:val="-1"/>
          <w:sz w:val="20"/>
        </w:rPr>
        <w:t> </w:t>
      </w:r>
      <w:r>
        <w:rPr>
          <w:sz w:val="20"/>
        </w:rPr>
        <w:t>approach to developing the digital</w:t>
      </w:r>
      <w:r>
        <w:rPr>
          <w:spacing w:val="-2"/>
          <w:sz w:val="20"/>
        </w:rPr>
        <w:t> </w:t>
      </w:r>
      <w:r>
        <w:rPr>
          <w:sz w:val="20"/>
        </w:rPr>
        <w:t>capacity of</w:t>
      </w:r>
      <w:r>
        <w:rPr>
          <w:spacing w:val="-1"/>
          <w:sz w:val="20"/>
        </w:rPr>
        <w:t> </w:t>
      </w:r>
      <w:r>
        <w:rPr>
          <w:sz w:val="20"/>
        </w:rPr>
        <w:t>the</w:t>
      </w:r>
      <w:r>
        <w:rPr>
          <w:spacing w:val="-1"/>
          <w:sz w:val="20"/>
        </w:rPr>
        <w:t> </w:t>
      </w:r>
      <w:r>
        <w:rPr>
          <w:sz w:val="20"/>
        </w:rPr>
        <w:t>College</w:t>
      </w:r>
      <w:r>
        <w:rPr>
          <w:spacing w:val="-1"/>
          <w:sz w:val="20"/>
        </w:rPr>
        <w:t> </w:t>
      </w:r>
      <w:r>
        <w:rPr>
          <w:sz w:val="20"/>
        </w:rPr>
        <w:t>including a</w:t>
      </w:r>
      <w:r>
        <w:rPr>
          <w:spacing w:val="-1"/>
          <w:sz w:val="20"/>
        </w:rPr>
        <w:t> </w:t>
      </w:r>
      <w:r>
        <w:rPr>
          <w:sz w:val="20"/>
        </w:rPr>
        <w:t>digital</w:t>
      </w:r>
      <w:r>
        <w:rPr>
          <w:spacing w:val="-2"/>
          <w:sz w:val="20"/>
        </w:rPr>
        <w:t> </w:t>
      </w:r>
      <w:r>
        <w:rPr>
          <w:sz w:val="20"/>
        </w:rPr>
        <w:t>skills measure as part of the self-assessment process ensuring that digital development remains a priority within development plans for all living institutes and College services.</w:t>
      </w:r>
    </w:p>
    <w:p>
      <w:pPr>
        <w:pStyle w:val="ListParagraph"/>
        <w:numPr>
          <w:ilvl w:val="0"/>
          <w:numId w:val="2"/>
        </w:numPr>
        <w:tabs>
          <w:tab w:pos="1133" w:val="left" w:leader="none"/>
          <w:tab w:pos="1135" w:val="left" w:leader="none"/>
        </w:tabs>
        <w:spacing w:line="271" w:lineRule="auto" w:before="3" w:after="0"/>
        <w:ind w:left="1135" w:right="1088" w:hanging="284"/>
        <w:jc w:val="both"/>
        <w:rPr>
          <w:rFonts w:ascii="Symbol" w:hAnsi="Symbol"/>
          <w:sz w:val="20"/>
        </w:rPr>
      </w:pPr>
      <w:r>
        <w:rPr>
          <w:sz w:val="20"/>
        </w:rPr>
        <w:t>An</w:t>
      </w:r>
      <w:r>
        <w:rPr>
          <w:spacing w:val="-6"/>
          <w:sz w:val="20"/>
        </w:rPr>
        <w:t> </w:t>
      </w:r>
      <w:r>
        <w:rPr>
          <w:sz w:val="20"/>
        </w:rPr>
        <w:t>approach</w:t>
      </w:r>
      <w:r>
        <w:rPr>
          <w:spacing w:val="-8"/>
          <w:sz w:val="20"/>
        </w:rPr>
        <w:t> </w:t>
      </w:r>
      <w:r>
        <w:rPr>
          <w:sz w:val="20"/>
        </w:rPr>
        <w:t>to</w:t>
      </w:r>
      <w:r>
        <w:rPr>
          <w:spacing w:val="-6"/>
          <w:sz w:val="20"/>
        </w:rPr>
        <w:t> </w:t>
      </w:r>
      <w:r>
        <w:rPr>
          <w:sz w:val="20"/>
        </w:rPr>
        <w:t>making</w:t>
      </w:r>
      <w:r>
        <w:rPr>
          <w:spacing w:val="-8"/>
          <w:sz w:val="20"/>
        </w:rPr>
        <w:t> </w:t>
      </w:r>
      <w:r>
        <w:rPr>
          <w:sz w:val="20"/>
        </w:rPr>
        <w:t>best</w:t>
      </w:r>
      <w:r>
        <w:rPr>
          <w:spacing w:val="-8"/>
          <w:sz w:val="20"/>
        </w:rPr>
        <w:t> </w:t>
      </w:r>
      <w:r>
        <w:rPr>
          <w:sz w:val="20"/>
        </w:rPr>
        <w:t>use</w:t>
      </w:r>
      <w:r>
        <w:rPr>
          <w:spacing w:val="-6"/>
          <w:sz w:val="20"/>
        </w:rPr>
        <w:t> </w:t>
      </w:r>
      <w:r>
        <w:rPr>
          <w:sz w:val="20"/>
        </w:rPr>
        <w:t>of</w:t>
      </w:r>
      <w:r>
        <w:rPr>
          <w:spacing w:val="-8"/>
          <w:sz w:val="20"/>
        </w:rPr>
        <w:t> </w:t>
      </w:r>
      <w:r>
        <w:rPr>
          <w:sz w:val="20"/>
        </w:rPr>
        <w:t>the</w:t>
      </w:r>
      <w:r>
        <w:rPr>
          <w:spacing w:val="-6"/>
          <w:sz w:val="20"/>
        </w:rPr>
        <w:t> </w:t>
      </w:r>
      <w:r>
        <w:rPr>
          <w:sz w:val="20"/>
        </w:rPr>
        <w:t>College’s</w:t>
      </w:r>
      <w:r>
        <w:rPr>
          <w:spacing w:val="-6"/>
          <w:sz w:val="20"/>
        </w:rPr>
        <w:t> </w:t>
      </w:r>
      <w:r>
        <w:rPr>
          <w:sz w:val="20"/>
        </w:rPr>
        <w:t>current</w:t>
      </w:r>
      <w:r>
        <w:rPr>
          <w:spacing w:val="-8"/>
          <w:sz w:val="20"/>
        </w:rPr>
        <w:t> </w:t>
      </w:r>
      <w:r>
        <w:rPr>
          <w:sz w:val="20"/>
        </w:rPr>
        <w:t>estate</w:t>
      </w:r>
      <w:r>
        <w:rPr>
          <w:spacing w:val="-8"/>
          <w:sz w:val="20"/>
        </w:rPr>
        <w:t> </w:t>
      </w:r>
      <w:r>
        <w:rPr>
          <w:sz w:val="20"/>
        </w:rPr>
        <w:t>whilst</w:t>
      </w:r>
      <w:r>
        <w:rPr>
          <w:spacing w:val="-8"/>
          <w:sz w:val="20"/>
        </w:rPr>
        <w:t> </w:t>
      </w:r>
      <w:r>
        <w:rPr>
          <w:sz w:val="20"/>
        </w:rPr>
        <w:t>developing</w:t>
      </w:r>
      <w:r>
        <w:rPr>
          <w:spacing w:val="-3"/>
          <w:sz w:val="20"/>
        </w:rPr>
        <w:t> </w:t>
      </w:r>
      <w:r>
        <w:rPr>
          <w:sz w:val="20"/>
        </w:rPr>
        <w:t>a</w:t>
      </w:r>
      <w:r>
        <w:rPr>
          <w:spacing w:val="-8"/>
          <w:sz w:val="20"/>
        </w:rPr>
        <w:t> </w:t>
      </w:r>
      <w:r>
        <w:rPr>
          <w:sz w:val="20"/>
        </w:rPr>
        <w:t>detailed</w:t>
      </w:r>
      <w:r>
        <w:rPr>
          <w:spacing w:val="-8"/>
          <w:sz w:val="20"/>
        </w:rPr>
        <w:t> </w:t>
      </w:r>
      <w:r>
        <w:rPr>
          <w:sz w:val="20"/>
        </w:rPr>
        <w:t>and ambitious prospectus for the future development of Queens Gardens.</w:t>
      </w:r>
    </w:p>
    <w:p>
      <w:pPr>
        <w:pStyle w:val="ListParagraph"/>
        <w:numPr>
          <w:ilvl w:val="0"/>
          <w:numId w:val="2"/>
        </w:numPr>
        <w:tabs>
          <w:tab w:pos="1133" w:val="left" w:leader="none"/>
          <w:tab w:pos="1135" w:val="left" w:leader="none"/>
        </w:tabs>
        <w:spacing w:line="271" w:lineRule="auto" w:before="5" w:after="0"/>
        <w:ind w:left="1135" w:right="1088" w:hanging="284"/>
        <w:jc w:val="both"/>
        <w:rPr>
          <w:rFonts w:ascii="Symbol" w:hAnsi="Symbol"/>
          <w:sz w:val="20"/>
        </w:rPr>
      </w:pPr>
      <w:r>
        <w:rPr>
          <w:sz w:val="20"/>
        </w:rPr>
        <w:t>A commitment to develop a long-term carbon reduction strategy aligned to and meeting standards set out in the FE Climate action road map.</w:t>
      </w:r>
    </w:p>
    <w:p>
      <w:pPr>
        <w:pStyle w:val="ListParagraph"/>
        <w:spacing w:after="0" w:line="271" w:lineRule="auto"/>
        <w:jc w:val="both"/>
        <w:rPr>
          <w:rFonts w:ascii="Symbol" w:hAnsi="Symbol"/>
          <w:sz w:val="20"/>
        </w:rPr>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Financial</w:t>
      </w:r>
      <w:r>
        <w:rPr>
          <w:b/>
          <w:spacing w:val="-4"/>
          <w:sz w:val="24"/>
        </w:rPr>
        <w:t> </w:t>
      </w:r>
      <w:r>
        <w:rPr>
          <w:b/>
          <w:sz w:val="24"/>
        </w:rPr>
        <w:t>Position</w:t>
      </w:r>
      <w:r>
        <w:rPr>
          <w:b/>
          <w:spacing w:val="-3"/>
          <w:sz w:val="24"/>
        </w:rPr>
        <w:t> </w:t>
      </w:r>
      <w:r>
        <w:rPr>
          <w:b/>
          <w:sz w:val="24"/>
        </w:rPr>
        <w:t>and</w:t>
      </w:r>
      <w:r>
        <w:rPr>
          <w:b/>
          <w:spacing w:val="-4"/>
          <w:sz w:val="24"/>
        </w:rPr>
        <w:t> </w:t>
      </w:r>
      <w:r>
        <w:rPr>
          <w:b/>
          <w:sz w:val="24"/>
        </w:rPr>
        <w:t>Results</w:t>
      </w:r>
      <w:r>
        <w:rPr>
          <w:b/>
          <w:spacing w:val="-3"/>
          <w:sz w:val="24"/>
        </w:rPr>
        <w:t> </w:t>
      </w:r>
      <w:r>
        <w:rPr>
          <w:b/>
          <w:spacing w:val="-2"/>
          <w:sz w:val="24"/>
        </w:rPr>
        <w:t>(continued)</w:t>
      </w:r>
    </w:p>
    <w:p>
      <w:pPr>
        <w:pStyle w:val="Heading6"/>
        <w:spacing w:before="230"/>
      </w:pPr>
      <w:r>
        <w:rPr/>
        <w:t>Recovery</w:t>
      </w:r>
      <w:r>
        <w:rPr>
          <w:spacing w:val="-4"/>
        </w:rPr>
        <w:t> </w:t>
      </w:r>
      <w:r>
        <w:rPr/>
        <w:t>Plan</w:t>
      </w:r>
      <w:r>
        <w:rPr>
          <w:spacing w:val="-4"/>
        </w:rPr>
        <w:t> </w:t>
      </w:r>
      <w:r>
        <w:rPr/>
        <w:t>–</w:t>
      </w:r>
      <w:r>
        <w:rPr>
          <w:spacing w:val="-5"/>
        </w:rPr>
        <w:t> </w:t>
      </w:r>
      <w:r>
        <w:rPr/>
        <w:t>Two</w:t>
      </w:r>
      <w:r>
        <w:rPr>
          <w:spacing w:val="-4"/>
        </w:rPr>
        <w:t> </w:t>
      </w:r>
      <w:r>
        <w:rPr/>
        <w:t>years</w:t>
      </w:r>
      <w:r>
        <w:rPr>
          <w:spacing w:val="-6"/>
        </w:rPr>
        <w:t> </w:t>
      </w:r>
      <w:r>
        <w:rPr/>
        <w:t>to</w:t>
      </w:r>
      <w:r>
        <w:rPr>
          <w:spacing w:val="-4"/>
        </w:rPr>
        <w:t> </w:t>
      </w:r>
      <w:r>
        <w:rPr/>
        <w:t>31</w:t>
      </w:r>
      <w:r>
        <w:rPr>
          <w:spacing w:val="-3"/>
        </w:rPr>
        <w:t> </w:t>
      </w:r>
      <w:r>
        <w:rPr/>
        <w:t>July</w:t>
      </w:r>
      <w:r>
        <w:rPr>
          <w:spacing w:val="-3"/>
        </w:rPr>
        <w:t> </w:t>
      </w:r>
      <w:r>
        <w:rPr/>
        <w:t>2025</w:t>
      </w:r>
      <w:r>
        <w:rPr>
          <w:spacing w:val="-6"/>
        </w:rPr>
        <w:t> </w:t>
      </w:r>
      <w:r>
        <w:rPr>
          <w:spacing w:val="-2"/>
        </w:rPr>
        <w:t>(continued)</w:t>
      </w:r>
    </w:p>
    <w:p>
      <w:pPr>
        <w:pStyle w:val="BodyText"/>
        <w:rPr>
          <w:b/>
        </w:rPr>
      </w:pPr>
    </w:p>
    <w:p>
      <w:pPr>
        <w:pStyle w:val="ListParagraph"/>
        <w:numPr>
          <w:ilvl w:val="0"/>
          <w:numId w:val="2"/>
        </w:numPr>
        <w:tabs>
          <w:tab w:pos="1133" w:val="left" w:leader="none"/>
          <w:tab w:pos="1135" w:val="left" w:leader="none"/>
        </w:tabs>
        <w:spacing w:line="271" w:lineRule="auto" w:before="1" w:after="0"/>
        <w:ind w:left="1135" w:right="1088" w:hanging="284"/>
        <w:jc w:val="both"/>
        <w:rPr>
          <w:rFonts w:ascii="Symbol" w:hAnsi="Symbol"/>
          <w:sz w:val="22"/>
        </w:rPr>
      </w:pPr>
      <w:r>
        <w:rPr>
          <w:sz w:val="20"/>
        </w:rPr>
        <w:t>A</w:t>
      </w:r>
      <w:r>
        <w:rPr>
          <w:spacing w:val="-2"/>
          <w:sz w:val="20"/>
        </w:rPr>
        <w:t> </w:t>
      </w:r>
      <w:r>
        <w:rPr>
          <w:sz w:val="20"/>
        </w:rPr>
        <w:t>two-year</w:t>
      </w:r>
      <w:r>
        <w:rPr>
          <w:spacing w:val="-1"/>
          <w:sz w:val="20"/>
        </w:rPr>
        <w:t> </w:t>
      </w:r>
      <w:r>
        <w:rPr>
          <w:sz w:val="20"/>
        </w:rPr>
        <w:t>approach to maintain financial viability without placing a</w:t>
      </w:r>
      <w:r>
        <w:rPr>
          <w:spacing w:val="-2"/>
          <w:sz w:val="20"/>
        </w:rPr>
        <w:t> </w:t>
      </w:r>
      <w:r>
        <w:rPr>
          <w:sz w:val="20"/>
        </w:rPr>
        <w:t>reliance on income</w:t>
      </w:r>
      <w:r>
        <w:rPr>
          <w:spacing w:val="-2"/>
          <w:sz w:val="20"/>
        </w:rPr>
        <w:t> </w:t>
      </w:r>
      <w:r>
        <w:rPr>
          <w:sz w:val="20"/>
        </w:rPr>
        <w:t>growth. This does not mean that the College will not set and work towards stretching growth targets, particularly in apprenticeships, study programmes and adult programmes.</w:t>
      </w:r>
    </w:p>
    <w:p>
      <w:pPr>
        <w:pStyle w:val="BodyText"/>
        <w:spacing w:before="1"/>
      </w:pPr>
    </w:p>
    <w:p>
      <w:pPr>
        <w:pStyle w:val="BodyText"/>
        <w:ind w:left="852" w:right="1087"/>
        <w:jc w:val="both"/>
      </w:pPr>
      <w:r>
        <w:rPr/>
        <w:t>The</w:t>
      </w:r>
      <w:r>
        <w:rPr>
          <w:spacing w:val="-4"/>
        </w:rPr>
        <w:t> </w:t>
      </w:r>
      <w:r>
        <w:rPr/>
        <w:t>revised</w:t>
      </w:r>
      <w:r>
        <w:rPr>
          <w:spacing w:val="-4"/>
        </w:rPr>
        <w:t> </w:t>
      </w:r>
      <w:r>
        <w:rPr/>
        <w:t>strategic</w:t>
      </w:r>
      <w:r>
        <w:rPr>
          <w:spacing w:val="-3"/>
        </w:rPr>
        <w:t> </w:t>
      </w:r>
      <w:r>
        <w:rPr/>
        <w:t>plan</w:t>
      </w:r>
      <w:r>
        <w:rPr>
          <w:spacing w:val="-2"/>
        </w:rPr>
        <w:t> </w:t>
      </w:r>
      <w:r>
        <w:rPr/>
        <w:t>is</w:t>
      </w:r>
      <w:r>
        <w:rPr>
          <w:spacing w:val="-3"/>
        </w:rPr>
        <w:t> </w:t>
      </w:r>
      <w:r>
        <w:rPr/>
        <w:t>currently</w:t>
      </w:r>
      <w:r>
        <w:rPr>
          <w:spacing w:val="-3"/>
        </w:rPr>
        <w:t> </w:t>
      </w:r>
      <w:r>
        <w:rPr/>
        <w:t>being</w:t>
      </w:r>
      <w:r>
        <w:rPr>
          <w:spacing w:val="-2"/>
        </w:rPr>
        <w:t> </w:t>
      </w:r>
      <w:r>
        <w:rPr/>
        <w:t>implemented</w:t>
      </w:r>
      <w:r>
        <w:rPr>
          <w:spacing w:val="-4"/>
        </w:rPr>
        <w:t> </w:t>
      </w:r>
      <w:r>
        <w:rPr/>
        <w:t>throughout</w:t>
      </w:r>
      <w:r>
        <w:rPr>
          <w:spacing w:val="-2"/>
        </w:rPr>
        <w:t> </w:t>
      </w:r>
      <w:r>
        <w:rPr/>
        <w:t>the</w:t>
      </w:r>
      <w:r>
        <w:rPr>
          <w:spacing w:val="-2"/>
        </w:rPr>
        <w:t> </w:t>
      </w:r>
      <w:r>
        <w:rPr/>
        <w:t>College</w:t>
      </w:r>
      <w:r>
        <w:rPr>
          <w:spacing w:val="-4"/>
        </w:rPr>
        <w:t> </w:t>
      </w:r>
      <w:r>
        <w:rPr/>
        <w:t>to</w:t>
      </w:r>
      <w:r>
        <w:rPr>
          <w:spacing w:val="-4"/>
        </w:rPr>
        <w:t> </w:t>
      </w:r>
      <w:r>
        <w:rPr/>
        <w:t>ensure</w:t>
      </w:r>
      <w:r>
        <w:rPr>
          <w:spacing w:val="-2"/>
        </w:rPr>
        <w:t> </w:t>
      </w:r>
      <w:r>
        <w:rPr/>
        <w:t>targets are</w:t>
      </w:r>
      <w:r>
        <w:rPr>
          <w:spacing w:val="-14"/>
        </w:rPr>
        <w:t> </w:t>
      </w:r>
      <w:r>
        <w:rPr/>
        <w:t>set,</w:t>
      </w:r>
      <w:r>
        <w:rPr>
          <w:spacing w:val="-11"/>
        </w:rPr>
        <w:t> </w:t>
      </w:r>
      <w:r>
        <w:rPr/>
        <w:t>monitored,</w:t>
      </w:r>
      <w:r>
        <w:rPr>
          <w:spacing w:val="-11"/>
        </w:rPr>
        <w:t> </w:t>
      </w:r>
      <w:r>
        <w:rPr/>
        <w:t>managed</w:t>
      </w:r>
      <w:r>
        <w:rPr>
          <w:spacing w:val="-14"/>
        </w:rPr>
        <w:t> </w:t>
      </w:r>
      <w:r>
        <w:rPr/>
        <w:t>and</w:t>
      </w:r>
      <w:r>
        <w:rPr>
          <w:spacing w:val="-11"/>
        </w:rPr>
        <w:t> </w:t>
      </w:r>
      <w:r>
        <w:rPr/>
        <w:t>achieved.</w:t>
      </w:r>
      <w:r>
        <w:rPr>
          <w:spacing w:val="-11"/>
        </w:rPr>
        <w:t> </w:t>
      </w:r>
      <w:r>
        <w:rPr/>
        <w:t>A</w:t>
      </w:r>
      <w:r>
        <w:rPr>
          <w:spacing w:val="-12"/>
        </w:rPr>
        <w:t> </w:t>
      </w:r>
      <w:r>
        <w:rPr/>
        <w:t>detailed</w:t>
      </w:r>
      <w:r>
        <w:rPr>
          <w:spacing w:val="-11"/>
        </w:rPr>
        <w:t> </w:t>
      </w:r>
      <w:r>
        <w:rPr/>
        <w:t>set</w:t>
      </w:r>
      <w:r>
        <w:rPr>
          <w:spacing w:val="-14"/>
        </w:rPr>
        <w:t> </w:t>
      </w:r>
      <w:r>
        <w:rPr/>
        <w:t>of</w:t>
      </w:r>
      <w:r>
        <w:rPr>
          <w:spacing w:val="-11"/>
        </w:rPr>
        <w:t> </w:t>
      </w:r>
      <w:r>
        <w:rPr/>
        <w:t>operational</w:t>
      </w:r>
      <w:r>
        <w:rPr>
          <w:spacing w:val="-12"/>
        </w:rPr>
        <w:t> </w:t>
      </w:r>
      <w:r>
        <w:rPr/>
        <w:t>development</w:t>
      </w:r>
      <w:r>
        <w:rPr>
          <w:spacing w:val="-11"/>
        </w:rPr>
        <w:t> </w:t>
      </w:r>
      <w:r>
        <w:rPr/>
        <w:t>plans</w:t>
      </w:r>
      <w:r>
        <w:rPr>
          <w:spacing w:val="-12"/>
        </w:rPr>
        <w:t> </w:t>
      </w:r>
      <w:r>
        <w:rPr/>
        <w:t>(ODP), and key performance indicators (KPI) have been established and is presented to the Corporation within the principles update.</w:t>
      </w:r>
    </w:p>
    <w:p>
      <w:pPr>
        <w:pStyle w:val="BodyText"/>
      </w:pPr>
    </w:p>
    <w:p>
      <w:pPr>
        <w:pStyle w:val="Heading6"/>
      </w:pPr>
      <w:r>
        <w:rPr/>
        <w:t>Cash</w:t>
      </w:r>
      <w:r>
        <w:rPr>
          <w:spacing w:val="-6"/>
        </w:rPr>
        <w:t> </w:t>
      </w:r>
      <w:r>
        <w:rPr/>
        <w:t>flows</w:t>
      </w:r>
      <w:r>
        <w:rPr>
          <w:spacing w:val="-6"/>
        </w:rPr>
        <w:t> </w:t>
      </w:r>
      <w:r>
        <w:rPr/>
        <w:t>and</w:t>
      </w:r>
      <w:r>
        <w:rPr>
          <w:spacing w:val="-4"/>
        </w:rPr>
        <w:t> </w:t>
      </w:r>
      <w:r>
        <w:rPr>
          <w:spacing w:val="-2"/>
        </w:rPr>
        <w:t>liquidity</w:t>
      </w:r>
    </w:p>
    <w:p>
      <w:pPr>
        <w:pStyle w:val="BodyText"/>
        <w:spacing w:before="1"/>
        <w:rPr>
          <w:b/>
        </w:rPr>
      </w:pPr>
    </w:p>
    <w:p>
      <w:pPr>
        <w:pStyle w:val="BodyText"/>
        <w:ind w:left="852" w:right="1087"/>
        <w:jc w:val="both"/>
      </w:pPr>
      <w:r>
        <w:rPr/>
        <w:t>The</w:t>
      </w:r>
      <w:r>
        <w:rPr>
          <w:spacing w:val="-14"/>
        </w:rPr>
        <w:t> </w:t>
      </w:r>
      <w:r>
        <w:rPr/>
        <w:t>College</w:t>
      </w:r>
      <w:r>
        <w:rPr>
          <w:spacing w:val="-14"/>
        </w:rPr>
        <w:t> </w:t>
      </w:r>
      <w:r>
        <w:rPr/>
        <w:t>group</w:t>
      </w:r>
      <w:r>
        <w:rPr>
          <w:spacing w:val="-14"/>
        </w:rPr>
        <w:t> </w:t>
      </w:r>
      <w:r>
        <w:rPr/>
        <w:t>had</w:t>
      </w:r>
      <w:r>
        <w:rPr>
          <w:spacing w:val="-14"/>
        </w:rPr>
        <w:t> </w:t>
      </w:r>
      <w:r>
        <w:rPr/>
        <w:t>an</w:t>
      </w:r>
      <w:r>
        <w:rPr>
          <w:spacing w:val="-14"/>
        </w:rPr>
        <w:t> </w:t>
      </w:r>
      <w:r>
        <w:rPr/>
        <w:t>operating</w:t>
      </w:r>
      <w:r>
        <w:rPr>
          <w:spacing w:val="-14"/>
        </w:rPr>
        <w:t> </w:t>
      </w:r>
      <w:r>
        <w:rPr/>
        <w:t>cash</w:t>
      </w:r>
      <w:r>
        <w:rPr>
          <w:spacing w:val="-14"/>
        </w:rPr>
        <w:t> </w:t>
      </w:r>
      <w:r>
        <w:rPr/>
        <w:t>inflow</w:t>
      </w:r>
      <w:r>
        <w:rPr>
          <w:spacing w:val="-14"/>
        </w:rPr>
        <w:t> </w:t>
      </w:r>
      <w:r>
        <w:rPr/>
        <w:t>of</w:t>
      </w:r>
      <w:r>
        <w:rPr>
          <w:spacing w:val="-14"/>
        </w:rPr>
        <w:t> </w:t>
      </w:r>
      <w:r>
        <w:rPr/>
        <w:t>£3,509,000</w:t>
      </w:r>
      <w:r>
        <w:rPr>
          <w:spacing w:val="-13"/>
        </w:rPr>
        <w:t> </w:t>
      </w:r>
      <w:r>
        <w:rPr/>
        <w:t>(2022</w:t>
      </w:r>
      <w:r>
        <w:rPr>
          <w:spacing w:val="-14"/>
        </w:rPr>
        <w:t> </w:t>
      </w:r>
      <w:r>
        <w:rPr/>
        <w:t>outflow</w:t>
      </w:r>
      <w:r>
        <w:rPr>
          <w:spacing w:val="-14"/>
        </w:rPr>
        <w:t> </w:t>
      </w:r>
      <w:r>
        <w:rPr/>
        <w:t>-</w:t>
      </w:r>
      <w:r>
        <w:rPr>
          <w:spacing w:val="-14"/>
        </w:rPr>
        <w:t> </w:t>
      </w:r>
      <w:r>
        <w:rPr/>
        <w:t>£346,000).</w:t>
      </w:r>
      <w:r>
        <w:rPr>
          <w:spacing w:val="-14"/>
        </w:rPr>
        <w:t> </w:t>
      </w:r>
      <w:r>
        <w:rPr/>
        <w:t>The</w:t>
      </w:r>
      <w:r>
        <w:rPr>
          <w:spacing w:val="-14"/>
        </w:rPr>
        <w:t> </w:t>
      </w:r>
      <w:r>
        <w:rPr/>
        <w:t>inflow was mainly due to the operational efficiencies and performance realised in 2022/2023 £2.1m and capital grant funding of circa £1.4m. The decrease in 2021/2022 reflects the adverse timing of the adult education budget which recognises a claw back of £1.3m relating to the previous year’s performance. The College has agreed a repayment schedule over 14-months in relation to the ESFA</w:t>
      </w:r>
      <w:r>
        <w:rPr>
          <w:spacing w:val="-14"/>
        </w:rPr>
        <w:t> </w:t>
      </w:r>
      <w:r>
        <w:rPr/>
        <w:t>funding</w:t>
      </w:r>
      <w:r>
        <w:rPr>
          <w:spacing w:val="-11"/>
        </w:rPr>
        <w:t> </w:t>
      </w:r>
      <w:r>
        <w:rPr/>
        <w:t>assurance</w:t>
      </w:r>
      <w:r>
        <w:rPr>
          <w:spacing w:val="-14"/>
        </w:rPr>
        <w:t> </w:t>
      </w:r>
      <w:r>
        <w:rPr/>
        <w:t>review</w:t>
      </w:r>
      <w:r>
        <w:rPr>
          <w:spacing w:val="-13"/>
        </w:rPr>
        <w:t> </w:t>
      </w:r>
      <w:r>
        <w:rPr/>
        <w:t>liability.</w:t>
      </w:r>
      <w:r>
        <w:rPr>
          <w:spacing w:val="-14"/>
        </w:rPr>
        <w:t> </w:t>
      </w:r>
      <w:r>
        <w:rPr/>
        <w:t>The</w:t>
      </w:r>
      <w:r>
        <w:rPr>
          <w:spacing w:val="-14"/>
        </w:rPr>
        <w:t> </w:t>
      </w:r>
      <w:r>
        <w:rPr/>
        <w:t>College</w:t>
      </w:r>
      <w:r>
        <w:rPr>
          <w:spacing w:val="-14"/>
        </w:rPr>
        <w:t> </w:t>
      </w:r>
      <w:r>
        <w:rPr/>
        <w:t>do</w:t>
      </w:r>
      <w:r>
        <w:rPr>
          <w:spacing w:val="-13"/>
        </w:rPr>
        <w:t> </w:t>
      </w:r>
      <w:r>
        <w:rPr/>
        <w:t>not</w:t>
      </w:r>
      <w:r>
        <w:rPr>
          <w:spacing w:val="-11"/>
        </w:rPr>
        <w:t> </w:t>
      </w:r>
      <w:r>
        <w:rPr/>
        <w:t>foresee</w:t>
      </w:r>
      <w:r>
        <w:rPr>
          <w:spacing w:val="-11"/>
        </w:rPr>
        <w:t> </w:t>
      </w:r>
      <w:r>
        <w:rPr/>
        <w:t>any</w:t>
      </w:r>
      <w:r>
        <w:rPr>
          <w:spacing w:val="-12"/>
        </w:rPr>
        <w:t> </w:t>
      </w:r>
      <w:r>
        <w:rPr/>
        <w:t>future</w:t>
      </w:r>
      <w:r>
        <w:rPr>
          <w:spacing w:val="-11"/>
        </w:rPr>
        <w:t> </w:t>
      </w:r>
      <w:r>
        <w:rPr/>
        <w:t>difficulties</w:t>
      </w:r>
      <w:r>
        <w:rPr>
          <w:spacing w:val="-12"/>
        </w:rPr>
        <w:t> </w:t>
      </w:r>
      <w:r>
        <w:rPr/>
        <w:t>in</w:t>
      </w:r>
      <w:r>
        <w:rPr>
          <w:spacing w:val="-14"/>
        </w:rPr>
        <w:t> </w:t>
      </w:r>
      <w:r>
        <w:rPr/>
        <w:t>relation to its operational trading performance going forwards.</w:t>
      </w:r>
    </w:p>
    <w:p>
      <w:pPr>
        <w:pStyle w:val="Heading6"/>
        <w:spacing w:before="121"/>
      </w:pPr>
      <w:r>
        <w:rPr/>
        <w:t>Treasury</w:t>
      </w:r>
      <w:r>
        <w:rPr>
          <w:spacing w:val="-9"/>
        </w:rPr>
        <w:t> </w:t>
      </w:r>
      <w:r>
        <w:rPr/>
        <w:t>policies</w:t>
      </w:r>
      <w:r>
        <w:rPr>
          <w:spacing w:val="-8"/>
        </w:rPr>
        <w:t> </w:t>
      </w:r>
      <w:r>
        <w:rPr/>
        <w:t>and</w:t>
      </w:r>
      <w:r>
        <w:rPr>
          <w:spacing w:val="-7"/>
        </w:rPr>
        <w:t> </w:t>
      </w:r>
      <w:r>
        <w:rPr>
          <w:spacing w:val="-2"/>
        </w:rPr>
        <w:t>objectives</w:t>
      </w:r>
    </w:p>
    <w:p>
      <w:pPr>
        <w:pStyle w:val="BodyText"/>
        <w:spacing w:before="118"/>
        <w:ind w:left="852" w:right="1086"/>
        <w:jc w:val="both"/>
      </w:pPr>
      <w:r>
        <w:rPr/>
        <w:t>Treasury management is the management of the College’s cash flows, its banking, money market and capital market transactions; the effective control of the risks associated with those activities; and the pursuit of optimum performance consistent with those risks.</w:t>
      </w:r>
    </w:p>
    <w:p>
      <w:pPr>
        <w:pStyle w:val="BodyText"/>
        <w:spacing w:before="122"/>
        <w:ind w:left="852" w:right="1087"/>
        <w:jc w:val="both"/>
      </w:pPr>
      <w:r>
        <w:rPr/>
        <w:t>The College has a separate treasury management policy in place and undertakes regular reviews of actual cash flow performance, forecast cash flows and appropriate banking investments and positions. Due to the ONS reclassification new borrowing rules have been applied to the treasury management policy stating</w:t>
      </w:r>
      <w:r>
        <w:rPr>
          <w:spacing w:val="-2"/>
        </w:rPr>
        <w:t> </w:t>
      </w:r>
      <w:r>
        <w:rPr/>
        <w:t>that:</w:t>
      </w:r>
      <w:r>
        <w:rPr>
          <w:spacing w:val="-2"/>
        </w:rPr>
        <w:t> </w:t>
      </w:r>
      <w:r>
        <w:rPr/>
        <w:t>New</w:t>
      </w:r>
      <w:r>
        <w:rPr>
          <w:spacing w:val="-1"/>
        </w:rPr>
        <w:t> </w:t>
      </w:r>
      <w:r>
        <w:rPr/>
        <w:t>borrowing</w:t>
      </w:r>
      <w:r>
        <w:rPr>
          <w:spacing w:val="-2"/>
        </w:rPr>
        <w:t> </w:t>
      </w:r>
      <w:r>
        <w:rPr/>
        <w:t>refers to</w:t>
      </w:r>
      <w:r>
        <w:rPr>
          <w:spacing w:val="-2"/>
        </w:rPr>
        <w:t> </w:t>
      </w:r>
      <w:r>
        <w:rPr/>
        <w:t>any new</w:t>
      </w:r>
      <w:r>
        <w:rPr>
          <w:spacing w:val="-1"/>
        </w:rPr>
        <w:t> </w:t>
      </w:r>
      <w:r>
        <w:rPr/>
        <w:t>debt</w:t>
      </w:r>
      <w:r>
        <w:rPr>
          <w:spacing w:val="-2"/>
        </w:rPr>
        <w:t> </w:t>
      </w:r>
      <w:r>
        <w:rPr/>
        <w:t>or</w:t>
      </w:r>
      <w:r>
        <w:rPr>
          <w:spacing w:val="-1"/>
        </w:rPr>
        <w:t> </w:t>
      </w:r>
      <w:r>
        <w:rPr/>
        <w:t>refinancing</w:t>
      </w:r>
      <w:r>
        <w:rPr>
          <w:spacing w:val="-2"/>
        </w:rPr>
        <w:t> </w:t>
      </w:r>
      <w:r>
        <w:rPr/>
        <w:t>of</w:t>
      </w:r>
      <w:r>
        <w:rPr>
          <w:spacing w:val="-2"/>
        </w:rPr>
        <w:t> </w:t>
      </w:r>
      <w:r>
        <w:rPr/>
        <w:t>the</w:t>
      </w:r>
      <w:r>
        <w:rPr>
          <w:spacing w:val="-2"/>
        </w:rPr>
        <w:t> </w:t>
      </w:r>
      <w:r>
        <w:rPr/>
        <w:t>above existing borrowing types of debt and any new drawdown of existing borrowing facilities from 29 November 2022 onwards. New finance arrangements or drawdown of funds post-reclassification under existing finance arrangements will be subject to MPM rules and colleges will be required to obtain the written consent of DfE in advance of committing to any new financing arrangements or actioning any new drawdowns of overdrafts, RCFs or loans.</w:t>
      </w:r>
    </w:p>
    <w:p>
      <w:pPr>
        <w:pStyle w:val="Heading6"/>
        <w:spacing w:before="118"/>
      </w:pPr>
      <w:r>
        <w:rPr/>
        <w:t>Reserves</w:t>
      </w:r>
      <w:r>
        <w:rPr>
          <w:spacing w:val="-10"/>
        </w:rPr>
        <w:t> </w:t>
      </w:r>
      <w:r>
        <w:rPr>
          <w:spacing w:val="-2"/>
        </w:rPr>
        <w:t>policy</w:t>
      </w:r>
    </w:p>
    <w:p>
      <w:pPr>
        <w:pStyle w:val="BodyText"/>
        <w:spacing w:before="121"/>
        <w:ind w:left="852" w:right="1087"/>
        <w:jc w:val="both"/>
      </w:pPr>
      <w:r>
        <w:rPr/>
        <w:t>The College has seen an improved operational performance in 2022/2023 compared to previous years due to efficiencies realised in staffing and improved delivery and utilisation of the adult education budget.</w:t>
      </w:r>
      <w:r>
        <w:rPr>
          <w:spacing w:val="40"/>
        </w:rPr>
        <w:t> </w:t>
      </w:r>
      <w:r>
        <w:rPr/>
        <w:t>The performance has improved by circa £3.3m.</w:t>
      </w:r>
    </w:p>
    <w:p>
      <w:pPr>
        <w:pStyle w:val="BodyText"/>
        <w:spacing w:before="121"/>
        <w:ind w:left="852" w:right="1085"/>
        <w:jc w:val="both"/>
      </w:pPr>
      <w:r>
        <w:rPr/>
        <w:t>The</w:t>
      </w:r>
      <w:r>
        <w:rPr>
          <w:spacing w:val="-6"/>
        </w:rPr>
        <w:t> </w:t>
      </w:r>
      <w:r>
        <w:rPr/>
        <w:t>College</w:t>
      </w:r>
      <w:r>
        <w:rPr>
          <w:spacing w:val="-6"/>
        </w:rPr>
        <w:t> </w:t>
      </w:r>
      <w:r>
        <w:rPr/>
        <w:t>recognises</w:t>
      </w:r>
      <w:r>
        <w:rPr>
          <w:spacing w:val="-3"/>
        </w:rPr>
        <w:t> </w:t>
      </w:r>
      <w:r>
        <w:rPr/>
        <w:t>the</w:t>
      </w:r>
      <w:r>
        <w:rPr>
          <w:spacing w:val="-4"/>
        </w:rPr>
        <w:t> </w:t>
      </w:r>
      <w:r>
        <w:rPr/>
        <w:t>importance</w:t>
      </w:r>
      <w:r>
        <w:rPr>
          <w:spacing w:val="-6"/>
        </w:rPr>
        <w:t> </w:t>
      </w:r>
      <w:r>
        <w:rPr/>
        <w:t>of</w:t>
      </w:r>
      <w:r>
        <w:rPr>
          <w:spacing w:val="-5"/>
        </w:rPr>
        <w:t> </w:t>
      </w:r>
      <w:r>
        <w:rPr/>
        <w:t>reserves</w:t>
      </w:r>
      <w:r>
        <w:rPr>
          <w:spacing w:val="-3"/>
        </w:rPr>
        <w:t> </w:t>
      </w:r>
      <w:r>
        <w:rPr/>
        <w:t>in</w:t>
      </w:r>
      <w:r>
        <w:rPr>
          <w:spacing w:val="-4"/>
        </w:rPr>
        <w:t> </w:t>
      </w:r>
      <w:r>
        <w:rPr/>
        <w:t>the</w:t>
      </w:r>
      <w:r>
        <w:rPr>
          <w:spacing w:val="-6"/>
        </w:rPr>
        <w:t> </w:t>
      </w:r>
      <w:r>
        <w:rPr/>
        <w:t>financial</w:t>
      </w:r>
      <w:r>
        <w:rPr>
          <w:spacing w:val="-6"/>
        </w:rPr>
        <w:t> </w:t>
      </w:r>
      <w:r>
        <w:rPr/>
        <w:t>stability</w:t>
      </w:r>
      <w:r>
        <w:rPr>
          <w:spacing w:val="-5"/>
        </w:rPr>
        <w:t> </w:t>
      </w:r>
      <w:r>
        <w:rPr/>
        <w:t>of</w:t>
      </w:r>
      <w:r>
        <w:rPr>
          <w:spacing w:val="-4"/>
        </w:rPr>
        <w:t> </w:t>
      </w:r>
      <w:r>
        <w:rPr/>
        <w:t>any</w:t>
      </w:r>
      <w:r>
        <w:rPr>
          <w:spacing w:val="-3"/>
        </w:rPr>
        <w:t> </w:t>
      </w:r>
      <w:r>
        <w:rPr/>
        <w:t>organisation</w:t>
      </w:r>
      <w:r>
        <w:rPr>
          <w:spacing w:val="-4"/>
        </w:rPr>
        <w:t> </w:t>
      </w:r>
      <w:r>
        <w:rPr/>
        <w:t>and ensures that there are adequate reserves to support the College’s core activities. The College maintains</w:t>
      </w:r>
      <w:r>
        <w:rPr>
          <w:spacing w:val="-5"/>
        </w:rPr>
        <w:t> </w:t>
      </w:r>
      <w:r>
        <w:rPr/>
        <w:t>cash</w:t>
      </w:r>
      <w:r>
        <w:rPr>
          <w:spacing w:val="-7"/>
        </w:rPr>
        <w:t> </w:t>
      </w:r>
      <w:r>
        <w:rPr/>
        <w:t>reserves</w:t>
      </w:r>
      <w:r>
        <w:rPr>
          <w:spacing w:val="-5"/>
        </w:rPr>
        <w:t> </w:t>
      </w:r>
      <w:r>
        <w:rPr/>
        <w:t>to</w:t>
      </w:r>
      <w:r>
        <w:rPr>
          <w:spacing w:val="-4"/>
        </w:rPr>
        <w:t> </w:t>
      </w:r>
      <w:r>
        <w:rPr/>
        <w:t>cover</w:t>
      </w:r>
      <w:r>
        <w:rPr>
          <w:spacing w:val="-5"/>
        </w:rPr>
        <w:t> </w:t>
      </w:r>
      <w:r>
        <w:rPr/>
        <w:t>pay</w:t>
      </w:r>
      <w:r>
        <w:rPr>
          <w:spacing w:val="-5"/>
        </w:rPr>
        <w:t> </w:t>
      </w:r>
      <w:r>
        <w:rPr/>
        <w:t>and</w:t>
      </w:r>
      <w:r>
        <w:rPr>
          <w:spacing w:val="-7"/>
        </w:rPr>
        <w:t> </w:t>
      </w:r>
      <w:r>
        <w:rPr/>
        <w:t>non-pay</w:t>
      </w:r>
      <w:r>
        <w:rPr>
          <w:spacing w:val="-5"/>
        </w:rPr>
        <w:t> </w:t>
      </w:r>
      <w:r>
        <w:rPr/>
        <w:t>costs</w:t>
      </w:r>
      <w:r>
        <w:rPr>
          <w:spacing w:val="-5"/>
        </w:rPr>
        <w:t> </w:t>
      </w:r>
      <w:r>
        <w:rPr/>
        <w:t>for</w:t>
      </w:r>
      <w:r>
        <w:rPr>
          <w:spacing w:val="-5"/>
        </w:rPr>
        <w:t> </w:t>
      </w:r>
      <w:r>
        <w:rPr/>
        <w:t>at</w:t>
      </w:r>
      <w:r>
        <w:rPr>
          <w:spacing w:val="-4"/>
        </w:rPr>
        <w:t> </w:t>
      </w:r>
      <w:r>
        <w:rPr/>
        <w:t>least</w:t>
      </w:r>
      <w:r>
        <w:rPr>
          <w:spacing w:val="-4"/>
        </w:rPr>
        <w:t> </w:t>
      </w:r>
      <w:r>
        <w:rPr/>
        <w:t>the</w:t>
      </w:r>
      <w:r>
        <w:rPr>
          <w:spacing w:val="-4"/>
        </w:rPr>
        <w:t> </w:t>
      </w:r>
      <w:r>
        <w:rPr/>
        <w:t>next</w:t>
      </w:r>
      <w:r>
        <w:rPr>
          <w:spacing w:val="-4"/>
        </w:rPr>
        <w:t> </w:t>
      </w:r>
      <w:r>
        <w:rPr/>
        <w:t>month.</w:t>
      </w:r>
      <w:r>
        <w:rPr>
          <w:spacing w:val="-6"/>
        </w:rPr>
        <w:t> </w:t>
      </w:r>
      <w:r>
        <w:rPr/>
        <w:t>Going</w:t>
      </w:r>
      <w:r>
        <w:rPr>
          <w:spacing w:val="-7"/>
        </w:rPr>
        <w:t> </w:t>
      </w:r>
      <w:r>
        <w:rPr/>
        <w:t>forward the college intends to grow its cash and reserves position.</w:t>
      </w:r>
    </w:p>
    <w:p>
      <w:pPr>
        <w:pStyle w:val="BodyText"/>
        <w:spacing w:before="119"/>
        <w:ind w:left="852" w:right="1086"/>
        <w:jc w:val="both"/>
      </w:pPr>
      <w:r>
        <w:rPr/>
        <w:t>It</w:t>
      </w:r>
      <w:r>
        <w:rPr>
          <w:spacing w:val="-3"/>
        </w:rPr>
        <w:t> </w:t>
      </w:r>
      <w:r>
        <w:rPr/>
        <w:t>is</w:t>
      </w:r>
      <w:r>
        <w:rPr>
          <w:spacing w:val="-2"/>
        </w:rPr>
        <w:t> </w:t>
      </w:r>
      <w:r>
        <w:rPr/>
        <w:t>the</w:t>
      </w:r>
      <w:r>
        <w:rPr>
          <w:spacing w:val="-1"/>
        </w:rPr>
        <w:t> </w:t>
      </w:r>
      <w:r>
        <w:rPr/>
        <w:t>College’s</w:t>
      </w:r>
      <w:r>
        <w:rPr>
          <w:spacing w:val="-2"/>
        </w:rPr>
        <w:t> </w:t>
      </w:r>
      <w:r>
        <w:rPr/>
        <w:t>intention</w:t>
      </w:r>
      <w:r>
        <w:rPr>
          <w:spacing w:val="-3"/>
        </w:rPr>
        <w:t> </w:t>
      </w:r>
      <w:r>
        <w:rPr/>
        <w:t>to</w:t>
      </w:r>
      <w:r>
        <w:rPr>
          <w:spacing w:val="-3"/>
        </w:rPr>
        <w:t> </w:t>
      </w:r>
      <w:r>
        <w:rPr/>
        <w:t>increase</w:t>
      </w:r>
      <w:r>
        <w:rPr>
          <w:spacing w:val="-3"/>
        </w:rPr>
        <w:t> </w:t>
      </w:r>
      <w:r>
        <w:rPr/>
        <w:t>reserves</w:t>
      </w:r>
      <w:r>
        <w:rPr>
          <w:spacing w:val="-2"/>
        </w:rPr>
        <w:t> </w:t>
      </w:r>
      <w:r>
        <w:rPr/>
        <w:t>over the</w:t>
      </w:r>
      <w:r>
        <w:rPr>
          <w:spacing w:val="-3"/>
        </w:rPr>
        <w:t> </w:t>
      </w:r>
      <w:r>
        <w:rPr/>
        <w:t>life</w:t>
      </w:r>
      <w:r>
        <w:rPr>
          <w:spacing w:val="-1"/>
        </w:rPr>
        <w:t> </w:t>
      </w:r>
      <w:r>
        <w:rPr/>
        <w:t>of</w:t>
      </w:r>
      <w:r>
        <w:rPr>
          <w:spacing w:val="-1"/>
        </w:rPr>
        <w:t> </w:t>
      </w:r>
      <w:r>
        <w:rPr/>
        <w:t>the</w:t>
      </w:r>
      <w:r>
        <w:rPr>
          <w:spacing w:val="-1"/>
        </w:rPr>
        <w:t> </w:t>
      </w:r>
      <w:r>
        <w:rPr/>
        <w:t>strategic</w:t>
      </w:r>
      <w:r>
        <w:rPr>
          <w:spacing w:val="-2"/>
        </w:rPr>
        <w:t> </w:t>
      </w:r>
      <w:r>
        <w:rPr/>
        <w:t>plan</w:t>
      </w:r>
      <w:r>
        <w:rPr>
          <w:spacing w:val="-3"/>
        </w:rPr>
        <w:t> </w:t>
      </w:r>
      <w:r>
        <w:rPr/>
        <w:t>by</w:t>
      </w:r>
      <w:r>
        <w:rPr>
          <w:spacing w:val="-2"/>
        </w:rPr>
        <w:t> </w:t>
      </w:r>
      <w:r>
        <w:rPr/>
        <w:t>the</w:t>
      </w:r>
      <w:r>
        <w:rPr>
          <w:spacing w:val="-1"/>
        </w:rPr>
        <w:t> </w:t>
      </w:r>
      <w:r>
        <w:rPr/>
        <w:t>generation of operating surpluses. In 2022/2023 the college realised an overall surplus outcome and expects to continue this trend. A revision of the curriculum, quality and operational strategies are being updated</w:t>
      </w:r>
      <w:r>
        <w:rPr>
          <w:spacing w:val="-2"/>
        </w:rPr>
        <w:t> </w:t>
      </w:r>
      <w:r>
        <w:rPr/>
        <w:t>to</w:t>
      </w:r>
      <w:r>
        <w:rPr>
          <w:spacing w:val="-2"/>
        </w:rPr>
        <w:t> </w:t>
      </w:r>
      <w:r>
        <w:rPr/>
        <w:t>reflect</w:t>
      </w:r>
      <w:r>
        <w:rPr>
          <w:spacing w:val="-2"/>
        </w:rPr>
        <w:t> </w:t>
      </w:r>
      <w:r>
        <w:rPr/>
        <w:t>these</w:t>
      </w:r>
      <w:r>
        <w:rPr>
          <w:spacing w:val="-2"/>
        </w:rPr>
        <w:t> </w:t>
      </w:r>
      <w:r>
        <w:rPr/>
        <w:t>enhancements and</w:t>
      </w:r>
      <w:r>
        <w:rPr>
          <w:spacing w:val="-2"/>
        </w:rPr>
        <w:t> </w:t>
      </w:r>
      <w:r>
        <w:rPr/>
        <w:t>ensure</w:t>
      </w:r>
      <w:r>
        <w:rPr>
          <w:spacing w:val="-2"/>
        </w:rPr>
        <w:t> </w:t>
      </w:r>
      <w:r>
        <w:rPr/>
        <w:t>a detailed</w:t>
      </w:r>
      <w:r>
        <w:rPr>
          <w:spacing w:val="-2"/>
        </w:rPr>
        <w:t> </w:t>
      </w:r>
      <w:r>
        <w:rPr/>
        <w:t>and</w:t>
      </w:r>
      <w:r>
        <w:rPr>
          <w:spacing w:val="-2"/>
        </w:rPr>
        <w:t> </w:t>
      </w:r>
      <w:r>
        <w:rPr/>
        <w:t>robust</w:t>
      </w:r>
      <w:r>
        <w:rPr>
          <w:spacing w:val="-2"/>
        </w:rPr>
        <w:t> </w:t>
      </w:r>
      <w:r>
        <w:rPr/>
        <w:t>strategies are</w:t>
      </w:r>
      <w:r>
        <w:rPr>
          <w:spacing w:val="-2"/>
        </w:rPr>
        <w:t> </w:t>
      </w:r>
      <w:r>
        <w:rPr/>
        <w:t>in</w:t>
      </w:r>
      <w:r>
        <w:rPr>
          <w:spacing w:val="-2"/>
        </w:rPr>
        <w:t> </w:t>
      </w:r>
      <w:r>
        <w:rPr/>
        <w:t>place</w:t>
      </w:r>
      <w:r>
        <w:rPr>
          <w:spacing w:val="-2"/>
        </w:rPr>
        <w:t> </w:t>
      </w:r>
      <w:r>
        <w:rPr/>
        <w:t>to enable the college to improve its reserves position.</w:t>
      </w:r>
    </w:p>
    <w:p>
      <w:pPr>
        <w:pStyle w:val="BodyText"/>
        <w:spacing w:after="0"/>
        <w:jc w:val="both"/>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Financial</w:t>
      </w:r>
      <w:r>
        <w:rPr>
          <w:b/>
          <w:spacing w:val="-4"/>
          <w:sz w:val="24"/>
        </w:rPr>
        <w:t> </w:t>
      </w:r>
      <w:r>
        <w:rPr>
          <w:b/>
          <w:sz w:val="24"/>
        </w:rPr>
        <w:t>Position</w:t>
      </w:r>
      <w:r>
        <w:rPr>
          <w:b/>
          <w:spacing w:val="-3"/>
          <w:sz w:val="24"/>
        </w:rPr>
        <w:t> </w:t>
      </w:r>
      <w:r>
        <w:rPr>
          <w:b/>
          <w:sz w:val="24"/>
        </w:rPr>
        <w:t>and</w:t>
      </w:r>
      <w:r>
        <w:rPr>
          <w:b/>
          <w:spacing w:val="-4"/>
          <w:sz w:val="24"/>
        </w:rPr>
        <w:t> </w:t>
      </w:r>
      <w:r>
        <w:rPr>
          <w:b/>
          <w:sz w:val="24"/>
        </w:rPr>
        <w:t>Results</w:t>
      </w:r>
      <w:r>
        <w:rPr>
          <w:b/>
          <w:spacing w:val="-3"/>
          <w:sz w:val="24"/>
        </w:rPr>
        <w:t> </w:t>
      </w:r>
      <w:r>
        <w:rPr>
          <w:b/>
          <w:spacing w:val="-2"/>
          <w:sz w:val="24"/>
        </w:rPr>
        <w:t>(continued)</w:t>
      </w:r>
    </w:p>
    <w:p>
      <w:pPr>
        <w:pStyle w:val="Heading6"/>
        <w:spacing w:before="119"/>
      </w:pPr>
      <w:r>
        <w:rPr/>
        <w:t>Capital</w:t>
      </w:r>
      <w:r>
        <w:rPr>
          <w:spacing w:val="-13"/>
        </w:rPr>
        <w:t> </w:t>
      </w:r>
      <w:r>
        <w:rPr/>
        <w:t>investment</w:t>
      </w:r>
      <w:r>
        <w:rPr>
          <w:spacing w:val="-11"/>
        </w:rPr>
        <w:t> </w:t>
      </w:r>
      <w:r>
        <w:rPr>
          <w:spacing w:val="-2"/>
        </w:rPr>
        <w:t>programme</w:t>
      </w:r>
    </w:p>
    <w:p>
      <w:pPr>
        <w:pStyle w:val="BodyText"/>
        <w:spacing w:before="121"/>
        <w:ind w:left="852" w:right="1089"/>
        <w:jc w:val="both"/>
      </w:pPr>
      <w:r>
        <w:rPr/>
        <w:t>Considerable capital investment has taken place in the year ended 31 July 2023.</w:t>
      </w:r>
      <w:r>
        <w:rPr>
          <w:spacing w:val="40"/>
        </w:rPr>
        <w:t> </w:t>
      </w:r>
      <w:r>
        <w:rPr/>
        <w:t>Major projects included continued investment in the improvement of the estate's infrastructure and computer hardware for teaching and software to support both teaching and the College MIS.</w:t>
      </w:r>
    </w:p>
    <w:p>
      <w:pPr>
        <w:pStyle w:val="BodyText"/>
        <w:spacing w:before="119"/>
        <w:ind w:left="852" w:right="1084"/>
        <w:jc w:val="both"/>
      </w:pPr>
      <w:r>
        <w:rPr/>
        <w:t>The College has created, and updates, its estates strategy and estates master plan (estates prospectus). In 2023/2024 the College aims to further improve its estates utilisation and rationalisation</w:t>
      </w:r>
      <w:r>
        <w:rPr>
          <w:spacing w:val="-6"/>
        </w:rPr>
        <w:t> </w:t>
      </w:r>
      <w:r>
        <w:rPr/>
        <w:t>in</w:t>
      </w:r>
      <w:r>
        <w:rPr>
          <w:spacing w:val="-8"/>
        </w:rPr>
        <w:t> </w:t>
      </w:r>
      <w:r>
        <w:rPr/>
        <w:t>order</w:t>
      </w:r>
      <w:r>
        <w:rPr>
          <w:spacing w:val="-7"/>
        </w:rPr>
        <w:t> </w:t>
      </w:r>
      <w:r>
        <w:rPr/>
        <w:t>to</w:t>
      </w:r>
      <w:r>
        <w:rPr>
          <w:spacing w:val="-8"/>
        </w:rPr>
        <w:t> </w:t>
      </w:r>
      <w:r>
        <w:rPr/>
        <w:t>align</w:t>
      </w:r>
      <w:r>
        <w:rPr>
          <w:spacing w:val="-6"/>
        </w:rPr>
        <w:t> </w:t>
      </w:r>
      <w:r>
        <w:rPr/>
        <w:t>our</w:t>
      </w:r>
      <w:r>
        <w:rPr>
          <w:spacing w:val="-7"/>
        </w:rPr>
        <w:t> </w:t>
      </w:r>
      <w:r>
        <w:rPr/>
        <w:t>facilities</w:t>
      </w:r>
      <w:r>
        <w:rPr>
          <w:spacing w:val="-6"/>
        </w:rPr>
        <w:t> </w:t>
      </w:r>
      <w:r>
        <w:rPr/>
        <w:t>to</w:t>
      </w:r>
      <w:r>
        <w:rPr>
          <w:spacing w:val="-6"/>
        </w:rPr>
        <w:t> </w:t>
      </w:r>
      <w:r>
        <w:rPr/>
        <w:t>the</w:t>
      </w:r>
      <w:r>
        <w:rPr>
          <w:spacing w:val="-8"/>
        </w:rPr>
        <w:t> </w:t>
      </w:r>
      <w:r>
        <w:rPr/>
        <w:t>curriculum</w:t>
      </w:r>
      <w:r>
        <w:rPr>
          <w:spacing w:val="-8"/>
        </w:rPr>
        <w:t> </w:t>
      </w:r>
      <w:r>
        <w:rPr/>
        <w:t>and</w:t>
      </w:r>
      <w:r>
        <w:rPr>
          <w:spacing w:val="-6"/>
        </w:rPr>
        <w:t> </w:t>
      </w:r>
      <w:r>
        <w:rPr/>
        <w:t>quality</w:t>
      </w:r>
      <w:r>
        <w:rPr>
          <w:spacing w:val="-6"/>
        </w:rPr>
        <w:t> </w:t>
      </w:r>
      <w:r>
        <w:rPr/>
        <w:t>requirements.</w:t>
      </w:r>
      <w:r>
        <w:rPr>
          <w:spacing w:val="-8"/>
        </w:rPr>
        <w:t> </w:t>
      </w:r>
      <w:r>
        <w:rPr/>
        <w:t>The</w:t>
      </w:r>
      <w:r>
        <w:rPr>
          <w:spacing w:val="-6"/>
        </w:rPr>
        <w:t> </w:t>
      </w:r>
      <w:r>
        <w:rPr/>
        <w:t>College also anticipates submitting an application to the DFE in relation to the FE Capital Transformation Fund in 2023/2024.</w:t>
      </w:r>
    </w:p>
    <w:p>
      <w:pPr>
        <w:pStyle w:val="BodyText"/>
        <w:spacing w:before="122"/>
        <w:ind w:left="852" w:right="1086"/>
        <w:jc w:val="both"/>
      </w:pPr>
      <w:r>
        <w:rPr/>
        <w:t>Hull College has recently undertaken a transformative initiative aimed at enhancing the overall atmosphere, functionality, and amenities within its estates. This strategic investment reflects the institution's unwavering commitment to providing an optimal learning and working environment for both students and staff. The estate changes are multifaceted, encompassing a range of improvements designed to uplift the aesthetics and functionality of the college premises.</w:t>
      </w:r>
    </w:p>
    <w:p>
      <w:pPr>
        <w:pStyle w:val="BodyText"/>
        <w:spacing w:before="120"/>
        <w:ind w:left="852" w:right="1087"/>
        <w:jc w:val="both"/>
      </w:pPr>
      <w:r>
        <w:rPr/>
        <w:t>One significant aspect of the makeover includes revamped classrooms and communal spaces, fostering a more vibrant and conducive atmosphere for learning. The college administration has also invested in modernising facilities to align with industry standards, ensuring that learners have access</w:t>
      </w:r>
      <w:r>
        <w:rPr>
          <w:spacing w:val="-6"/>
        </w:rPr>
        <w:t> </w:t>
      </w:r>
      <w:r>
        <w:rPr/>
        <w:t>to</w:t>
      </w:r>
      <w:r>
        <w:rPr>
          <w:spacing w:val="-8"/>
        </w:rPr>
        <w:t> </w:t>
      </w:r>
      <w:r>
        <w:rPr/>
        <w:t>cutting-edge</w:t>
      </w:r>
      <w:r>
        <w:rPr>
          <w:spacing w:val="-8"/>
        </w:rPr>
        <w:t> </w:t>
      </w:r>
      <w:r>
        <w:rPr/>
        <w:t>resources</w:t>
      </w:r>
      <w:r>
        <w:rPr>
          <w:spacing w:val="-6"/>
        </w:rPr>
        <w:t> </w:t>
      </w:r>
      <w:r>
        <w:rPr/>
        <w:t>and</w:t>
      </w:r>
      <w:r>
        <w:rPr>
          <w:spacing w:val="-8"/>
        </w:rPr>
        <w:t> </w:t>
      </w:r>
      <w:r>
        <w:rPr/>
        <w:t>technologies.</w:t>
      </w:r>
      <w:r>
        <w:rPr>
          <w:spacing w:val="-5"/>
        </w:rPr>
        <w:t> </w:t>
      </w:r>
      <w:r>
        <w:rPr/>
        <w:t>Additionally,</w:t>
      </w:r>
      <w:r>
        <w:rPr>
          <w:spacing w:val="-7"/>
        </w:rPr>
        <w:t> </w:t>
      </w:r>
      <w:r>
        <w:rPr/>
        <w:t>aesthetic</w:t>
      </w:r>
      <w:r>
        <w:rPr>
          <w:spacing w:val="-4"/>
        </w:rPr>
        <w:t> </w:t>
      </w:r>
      <w:r>
        <w:rPr/>
        <w:t>enhancements,</w:t>
      </w:r>
      <w:r>
        <w:rPr>
          <w:spacing w:val="-7"/>
        </w:rPr>
        <w:t> </w:t>
      </w:r>
      <w:r>
        <w:rPr/>
        <w:t>such</w:t>
      </w:r>
      <w:r>
        <w:rPr>
          <w:spacing w:val="-8"/>
        </w:rPr>
        <w:t> </w:t>
      </w:r>
      <w:r>
        <w:rPr/>
        <w:t>as green spaces, artwork installations, and ergonomic furniture, contribute to creating a positive and inspiring ambiance</w:t>
      </w:r>
      <w:r>
        <w:rPr>
          <w:spacing w:val="-2"/>
        </w:rPr>
        <w:t> </w:t>
      </w:r>
      <w:r>
        <w:rPr/>
        <w:t>for all</w:t>
      </w:r>
      <w:r>
        <w:rPr>
          <w:spacing w:val="-3"/>
        </w:rPr>
        <w:t> </w:t>
      </w:r>
      <w:r>
        <w:rPr/>
        <w:t>stakeholders.</w:t>
      </w:r>
      <w:r>
        <w:rPr>
          <w:spacing w:val="-2"/>
        </w:rPr>
        <w:t> </w:t>
      </w:r>
      <w:r>
        <w:rPr/>
        <w:t>These</w:t>
      </w:r>
      <w:r>
        <w:rPr>
          <w:spacing w:val="-2"/>
        </w:rPr>
        <w:t> </w:t>
      </w:r>
      <w:r>
        <w:rPr/>
        <w:t>changes not</w:t>
      </w:r>
      <w:r>
        <w:rPr>
          <w:spacing w:val="-2"/>
        </w:rPr>
        <w:t> </w:t>
      </w:r>
      <w:r>
        <w:rPr/>
        <w:t>only elevate the physical</w:t>
      </w:r>
      <w:r>
        <w:rPr>
          <w:spacing w:val="-3"/>
        </w:rPr>
        <w:t> </w:t>
      </w:r>
      <w:r>
        <w:rPr/>
        <w:t>appeal</w:t>
      </w:r>
      <w:r>
        <w:rPr>
          <w:spacing w:val="-3"/>
        </w:rPr>
        <w:t> </w:t>
      </w:r>
      <w:r>
        <w:rPr/>
        <w:t>of the college but also play a crucial role in promoting well-being and productivity among both learners and staff.</w:t>
      </w:r>
    </w:p>
    <w:p>
      <w:pPr>
        <w:pStyle w:val="BodyText"/>
        <w:spacing w:before="119"/>
        <w:ind w:left="852" w:right="1086"/>
        <w:jc w:val="both"/>
      </w:pPr>
      <w:r>
        <w:rPr/>
        <w:t>Furthermore, the investment in the estates underscores Hull College's dedication to fostering a sense</w:t>
      </w:r>
      <w:r>
        <w:rPr>
          <w:spacing w:val="-10"/>
        </w:rPr>
        <w:t> </w:t>
      </w:r>
      <w:r>
        <w:rPr/>
        <w:t>of</w:t>
      </w:r>
      <w:r>
        <w:rPr>
          <w:spacing w:val="-10"/>
        </w:rPr>
        <w:t> </w:t>
      </w:r>
      <w:r>
        <w:rPr/>
        <w:t>community</w:t>
      </w:r>
      <w:r>
        <w:rPr>
          <w:spacing w:val="-8"/>
        </w:rPr>
        <w:t> </w:t>
      </w:r>
      <w:r>
        <w:rPr/>
        <w:t>and</w:t>
      </w:r>
      <w:r>
        <w:rPr>
          <w:spacing w:val="-10"/>
        </w:rPr>
        <w:t> </w:t>
      </w:r>
      <w:r>
        <w:rPr/>
        <w:t>pride</w:t>
      </w:r>
      <w:r>
        <w:rPr>
          <w:spacing w:val="-10"/>
        </w:rPr>
        <w:t> </w:t>
      </w:r>
      <w:r>
        <w:rPr/>
        <w:t>among</w:t>
      </w:r>
      <w:r>
        <w:rPr>
          <w:spacing w:val="-8"/>
        </w:rPr>
        <w:t> </w:t>
      </w:r>
      <w:r>
        <w:rPr/>
        <w:t>its</w:t>
      </w:r>
      <w:r>
        <w:rPr>
          <w:spacing w:val="-8"/>
        </w:rPr>
        <w:t> </w:t>
      </w:r>
      <w:r>
        <w:rPr/>
        <w:t>members.</w:t>
      </w:r>
      <w:r>
        <w:rPr>
          <w:spacing w:val="-10"/>
        </w:rPr>
        <w:t> </w:t>
      </w:r>
      <w:r>
        <w:rPr/>
        <w:t>By</w:t>
      </w:r>
      <w:r>
        <w:rPr>
          <w:spacing w:val="-6"/>
        </w:rPr>
        <w:t> </w:t>
      </w:r>
      <w:r>
        <w:rPr/>
        <w:t>prioritising</w:t>
      </w:r>
      <w:r>
        <w:rPr>
          <w:spacing w:val="-10"/>
        </w:rPr>
        <w:t> </w:t>
      </w:r>
      <w:r>
        <w:rPr/>
        <w:t>the</w:t>
      </w:r>
      <w:r>
        <w:rPr>
          <w:spacing w:val="-8"/>
        </w:rPr>
        <w:t> </w:t>
      </w:r>
      <w:r>
        <w:rPr/>
        <w:t>enhancement</w:t>
      </w:r>
      <w:r>
        <w:rPr>
          <w:spacing w:val="-10"/>
        </w:rPr>
        <w:t> </w:t>
      </w:r>
      <w:r>
        <w:rPr/>
        <w:t>of</w:t>
      </w:r>
      <w:r>
        <w:rPr>
          <w:spacing w:val="-10"/>
        </w:rPr>
        <w:t> </w:t>
      </w:r>
      <w:r>
        <w:rPr/>
        <w:t>facilities</w:t>
      </w:r>
      <w:r>
        <w:rPr>
          <w:spacing w:val="-8"/>
        </w:rPr>
        <w:t> </w:t>
      </w:r>
      <w:r>
        <w:rPr/>
        <w:t>and spaces, the institution demonstrates its commitment to creating an inclusive and supportive environment that encourages collaboration and innovation. The positive impact of these changes extends beyond the visual appeal, ultimately contributing to a more engaging and dynamic educational experience for everyone involved in the Hull College community.</w:t>
      </w:r>
    </w:p>
    <w:p>
      <w:pPr>
        <w:pStyle w:val="BodyText"/>
      </w:pPr>
    </w:p>
    <w:p>
      <w:pPr>
        <w:pStyle w:val="BodyText"/>
        <w:spacing w:before="11"/>
      </w:pPr>
    </w:p>
    <w:p>
      <w:pPr>
        <w:pStyle w:val="Heading6"/>
        <w:jc w:val="left"/>
      </w:pPr>
      <w:r>
        <w:rPr>
          <w:spacing w:val="-2"/>
        </w:rPr>
        <w:t>Resources</w:t>
      </w:r>
    </w:p>
    <w:p>
      <w:pPr>
        <w:pStyle w:val="BodyText"/>
        <w:spacing w:before="121"/>
        <w:ind w:left="852"/>
      </w:pPr>
      <w:r>
        <w:rPr/>
        <w:t>The</w:t>
      </w:r>
      <w:r>
        <w:rPr>
          <w:spacing w:val="-7"/>
        </w:rPr>
        <w:t> </w:t>
      </w:r>
      <w:r>
        <w:rPr/>
        <w:t>College</w:t>
      </w:r>
      <w:r>
        <w:rPr>
          <w:spacing w:val="-5"/>
        </w:rPr>
        <w:t> </w:t>
      </w:r>
      <w:r>
        <w:rPr/>
        <w:t>has</w:t>
      </w:r>
      <w:r>
        <w:rPr>
          <w:spacing w:val="-6"/>
        </w:rPr>
        <w:t> </w:t>
      </w:r>
      <w:r>
        <w:rPr/>
        <w:t>various</w:t>
      </w:r>
      <w:r>
        <w:rPr>
          <w:spacing w:val="-5"/>
        </w:rPr>
        <w:t> </w:t>
      </w:r>
      <w:r>
        <w:rPr/>
        <w:t>resources</w:t>
      </w:r>
      <w:r>
        <w:rPr>
          <w:spacing w:val="-6"/>
        </w:rPr>
        <w:t> </w:t>
      </w:r>
      <w:r>
        <w:rPr/>
        <w:t>that</w:t>
      </w:r>
      <w:r>
        <w:rPr>
          <w:spacing w:val="-5"/>
        </w:rPr>
        <w:t> </w:t>
      </w:r>
      <w:r>
        <w:rPr/>
        <w:t>it</w:t>
      </w:r>
      <w:r>
        <w:rPr>
          <w:spacing w:val="-6"/>
        </w:rPr>
        <w:t> </w:t>
      </w:r>
      <w:r>
        <w:rPr/>
        <w:t>can</w:t>
      </w:r>
      <w:r>
        <w:rPr>
          <w:spacing w:val="-5"/>
        </w:rPr>
        <w:t> </w:t>
      </w:r>
      <w:r>
        <w:rPr/>
        <w:t>deploy</w:t>
      </w:r>
      <w:r>
        <w:rPr>
          <w:spacing w:val="-3"/>
        </w:rPr>
        <w:t> </w:t>
      </w:r>
      <w:r>
        <w:rPr/>
        <w:t>in</w:t>
      </w:r>
      <w:r>
        <w:rPr>
          <w:spacing w:val="-7"/>
        </w:rPr>
        <w:t> </w:t>
      </w:r>
      <w:r>
        <w:rPr/>
        <w:t>pursuit</w:t>
      </w:r>
      <w:r>
        <w:rPr>
          <w:spacing w:val="-6"/>
        </w:rPr>
        <w:t> </w:t>
      </w:r>
      <w:r>
        <w:rPr/>
        <w:t>of</w:t>
      </w:r>
      <w:r>
        <w:rPr>
          <w:spacing w:val="-5"/>
        </w:rPr>
        <w:t> </w:t>
      </w:r>
      <w:r>
        <w:rPr/>
        <w:t>its</w:t>
      </w:r>
      <w:r>
        <w:rPr>
          <w:spacing w:val="-6"/>
        </w:rPr>
        <w:t> </w:t>
      </w:r>
      <w:r>
        <w:rPr/>
        <w:t>strategic</w:t>
      </w:r>
      <w:r>
        <w:rPr>
          <w:spacing w:val="-5"/>
        </w:rPr>
        <w:t> </w:t>
      </w:r>
      <w:r>
        <w:rPr>
          <w:spacing w:val="-2"/>
        </w:rPr>
        <w:t>objectives.</w:t>
      </w:r>
    </w:p>
    <w:p>
      <w:pPr>
        <w:pStyle w:val="BodyText"/>
        <w:spacing w:before="228"/>
        <w:ind w:left="852" w:right="537"/>
      </w:pPr>
      <w:r>
        <w:rPr/>
        <w:t>Tangible</w:t>
      </w:r>
      <w:r>
        <w:rPr>
          <w:spacing w:val="40"/>
        </w:rPr>
        <w:t> </w:t>
      </w:r>
      <w:r>
        <w:rPr/>
        <w:t>resources</w:t>
      </w:r>
      <w:r>
        <w:rPr>
          <w:spacing w:val="40"/>
        </w:rPr>
        <w:t> </w:t>
      </w:r>
      <w:r>
        <w:rPr/>
        <w:t>include</w:t>
      </w:r>
      <w:r>
        <w:rPr>
          <w:spacing w:val="40"/>
        </w:rPr>
        <w:t> </w:t>
      </w:r>
      <w:r>
        <w:rPr/>
        <w:t>the</w:t>
      </w:r>
      <w:r>
        <w:rPr>
          <w:spacing w:val="40"/>
        </w:rPr>
        <w:t> </w:t>
      </w:r>
      <w:r>
        <w:rPr/>
        <w:t>main</w:t>
      </w:r>
      <w:r>
        <w:rPr>
          <w:spacing w:val="40"/>
        </w:rPr>
        <w:t> </w:t>
      </w:r>
      <w:r>
        <w:rPr/>
        <w:t>college</w:t>
      </w:r>
      <w:r>
        <w:rPr>
          <w:spacing w:val="40"/>
        </w:rPr>
        <w:t> </w:t>
      </w:r>
      <w:r>
        <w:rPr/>
        <w:t>site</w:t>
      </w:r>
      <w:r>
        <w:rPr>
          <w:spacing w:val="40"/>
        </w:rPr>
        <w:t> </w:t>
      </w:r>
      <w:r>
        <w:rPr/>
        <w:t>at</w:t>
      </w:r>
      <w:r>
        <w:rPr>
          <w:spacing w:val="40"/>
        </w:rPr>
        <w:t> </w:t>
      </w:r>
      <w:r>
        <w:rPr/>
        <w:t>Queen’s</w:t>
      </w:r>
      <w:r>
        <w:rPr>
          <w:spacing w:val="40"/>
        </w:rPr>
        <w:t> </w:t>
      </w:r>
      <w:r>
        <w:rPr/>
        <w:t>Gardens,</w:t>
      </w:r>
      <w:r>
        <w:rPr>
          <w:spacing w:val="40"/>
        </w:rPr>
        <w:t> </w:t>
      </w:r>
      <w:r>
        <w:rPr/>
        <w:t>the</w:t>
      </w:r>
      <w:r>
        <w:rPr>
          <w:spacing w:val="40"/>
        </w:rPr>
        <w:t> </w:t>
      </w:r>
      <w:r>
        <w:rPr/>
        <w:t>CITB</w:t>
      </w:r>
      <w:r>
        <w:rPr>
          <w:spacing w:val="40"/>
        </w:rPr>
        <w:t> </w:t>
      </w:r>
      <w:r>
        <w:rPr/>
        <w:t>Engineering Building, the Horncastle and Maxwell Bird buildings in Hull.</w:t>
      </w:r>
    </w:p>
    <w:p>
      <w:pPr>
        <w:pStyle w:val="BodyText"/>
        <w:spacing w:before="1"/>
      </w:pPr>
    </w:p>
    <w:p>
      <w:pPr>
        <w:spacing w:before="1"/>
        <w:ind w:left="852" w:right="0" w:firstLine="0"/>
        <w:jc w:val="left"/>
        <w:rPr>
          <w:i/>
          <w:sz w:val="20"/>
        </w:rPr>
      </w:pPr>
      <w:r>
        <w:rPr>
          <w:i/>
          <w:spacing w:val="-2"/>
          <w:sz w:val="20"/>
        </w:rPr>
        <w:t>Financial</w:t>
      </w:r>
    </w:p>
    <w:p>
      <w:pPr>
        <w:pStyle w:val="BodyText"/>
        <w:rPr>
          <w:i/>
        </w:rPr>
      </w:pPr>
    </w:p>
    <w:p>
      <w:pPr>
        <w:pStyle w:val="BodyText"/>
        <w:spacing w:before="1"/>
        <w:ind w:left="852" w:right="1084"/>
      </w:pPr>
      <w:r>
        <w:rPr/>
        <w:t>The</w:t>
      </w:r>
      <w:r>
        <w:rPr>
          <w:spacing w:val="-11"/>
        </w:rPr>
        <w:t> </w:t>
      </w:r>
      <w:r>
        <w:rPr/>
        <w:t>College</w:t>
      </w:r>
      <w:r>
        <w:rPr>
          <w:spacing w:val="-11"/>
        </w:rPr>
        <w:t> </w:t>
      </w:r>
      <w:r>
        <w:rPr/>
        <w:t>group</w:t>
      </w:r>
      <w:r>
        <w:rPr>
          <w:spacing w:val="-11"/>
        </w:rPr>
        <w:t> </w:t>
      </w:r>
      <w:r>
        <w:rPr/>
        <w:t>had</w:t>
      </w:r>
      <w:r>
        <w:rPr>
          <w:spacing w:val="-11"/>
        </w:rPr>
        <w:t> </w:t>
      </w:r>
      <w:r>
        <w:rPr/>
        <w:t>£20,385,000</w:t>
      </w:r>
      <w:r>
        <w:rPr>
          <w:spacing w:val="-9"/>
        </w:rPr>
        <w:t> </w:t>
      </w:r>
      <w:r>
        <w:rPr/>
        <w:t>of</w:t>
      </w:r>
      <w:r>
        <w:rPr>
          <w:spacing w:val="-11"/>
        </w:rPr>
        <w:t> </w:t>
      </w:r>
      <w:r>
        <w:rPr/>
        <w:t>net</w:t>
      </w:r>
      <w:r>
        <w:rPr>
          <w:spacing w:val="-9"/>
        </w:rPr>
        <w:t> </w:t>
      </w:r>
      <w:r>
        <w:rPr/>
        <w:t>assets</w:t>
      </w:r>
      <w:r>
        <w:rPr>
          <w:spacing w:val="-10"/>
        </w:rPr>
        <w:t> </w:t>
      </w:r>
      <w:r>
        <w:rPr/>
        <w:t>and</w:t>
      </w:r>
      <w:r>
        <w:rPr>
          <w:spacing w:val="-11"/>
        </w:rPr>
        <w:t> </w:t>
      </w:r>
      <w:r>
        <w:rPr/>
        <w:t>creditors</w:t>
      </w:r>
      <w:r>
        <w:rPr>
          <w:spacing w:val="-10"/>
        </w:rPr>
        <w:t> </w:t>
      </w:r>
      <w:r>
        <w:rPr/>
        <w:t>falling</w:t>
      </w:r>
      <w:r>
        <w:rPr>
          <w:spacing w:val="-11"/>
        </w:rPr>
        <w:t> </w:t>
      </w:r>
      <w:r>
        <w:rPr/>
        <w:t>due</w:t>
      </w:r>
      <w:r>
        <w:rPr>
          <w:spacing w:val="-9"/>
        </w:rPr>
        <w:t> </w:t>
      </w:r>
      <w:r>
        <w:rPr/>
        <w:t>after</w:t>
      </w:r>
      <w:r>
        <w:rPr>
          <w:spacing w:val="-10"/>
        </w:rPr>
        <w:t> </w:t>
      </w:r>
      <w:r>
        <w:rPr/>
        <w:t>more</w:t>
      </w:r>
      <w:r>
        <w:rPr>
          <w:spacing w:val="-11"/>
        </w:rPr>
        <w:t> </w:t>
      </w:r>
      <w:r>
        <w:rPr/>
        <w:t>than</w:t>
      </w:r>
      <w:r>
        <w:rPr>
          <w:spacing w:val="-11"/>
        </w:rPr>
        <w:t> </w:t>
      </w:r>
      <w:r>
        <w:rPr/>
        <w:t>one</w:t>
      </w:r>
      <w:r>
        <w:rPr>
          <w:spacing w:val="-11"/>
        </w:rPr>
        <w:t> </w:t>
      </w:r>
      <w:r>
        <w:rPr/>
        <w:t>year of £6,115,000 at 31 July 2023.</w:t>
      </w:r>
    </w:p>
    <w:p>
      <w:pPr>
        <w:spacing w:before="229"/>
        <w:ind w:left="852" w:right="0" w:firstLine="0"/>
        <w:jc w:val="left"/>
        <w:rPr>
          <w:i/>
          <w:sz w:val="20"/>
        </w:rPr>
      </w:pPr>
      <w:r>
        <w:rPr>
          <w:i/>
          <w:spacing w:val="-2"/>
          <w:sz w:val="20"/>
        </w:rPr>
        <w:t>People</w:t>
      </w:r>
    </w:p>
    <w:p>
      <w:pPr>
        <w:pStyle w:val="BodyText"/>
        <w:spacing w:before="1"/>
        <w:rPr>
          <w:i/>
        </w:rPr>
      </w:pPr>
    </w:p>
    <w:p>
      <w:pPr>
        <w:pStyle w:val="BodyText"/>
        <w:ind w:left="852" w:right="537"/>
      </w:pPr>
      <w:r>
        <w:rPr/>
        <w:t>During the year ended 31 July 2023, the College group employed 472 people, of whom 148 were teaching staff.</w:t>
      </w:r>
    </w:p>
    <w:p>
      <w:pPr>
        <w:pStyle w:val="BodyText"/>
        <w:spacing w:after="0"/>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Events</w:t>
      </w:r>
      <w:r>
        <w:rPr>
          <w:b/>
          <w:spacing w:val="-3"/>
          <w:sz w:val="24"/>
        </w:rPr>
        <w:t> </w:t>
      </w:r>
      <w:r>
        <w:rPr>
          <w:b/>
          <w:sz w:val="24"/>
        </w:rPr>
        <w:t>after</w:t>
      </w:r>
      <w:r>
        <w:rPr>
          <w:b/>
          <w:spacing w:val="-2"/>
          <w:sz w:val="24"/>
        </w:rPr>
        <w:t> </w:t>
      </w:r>
      <w:r>
        <w:rPr>
          <w:b/>
          <w:sz w:val="24"/>
        </w:rPr>
        <w:t>the</w:t>
      </w:r>
      <w:r>
        <w:rPr>
          <w:b/>
          <w:spacing w:val="-2"/>
          <w:sz w:val="24"/>
        </w:rPr>
        <w:t> </w:t>
      </w:r>
      <w:r>
        <w:rPr>
          <w:b/>
          <w:sz w:val="24"/>
        </w:rPr>
        <w:t>end</w:t>
      </w:r>
      <w:r>
        <w:rPr>
          <w:b/>
          <w:spacing w:val="-4"/>
          <w:sz w:val="24"/>
        </w:rPr>
        <w:t> </w:t>
      </w:r>
      <w:r>
        <w:rPr>
          <w:b/>
          <w:sz w:val="24"/>
        </w:rPr>
        <w:t>of</w:t>
      </w:r>
      <w:r>
        <w:rPr>
          <w:b/>
          <w:spacing w:val="-3"/>
          <w:sz w:val="24"/>
        </w:rPr>
        <w:t> </w:t>
      </w:r>
      <w:r>
        <w:rPr>
          <w:b/>
          <w:sz w:val="24"/>
        </w:rPr>
        <w:t>the</w:t>
      </w:r>
      <w:r>
        <w:rPr>
          <w:b/>
          <w:spacing w:val="-1"/>
          <w:sz w:val="24"/>
        </w:rPr>
        <w:t> </w:t>
      </w:r>
      <w:r>
        <w:rPr>
          <w:b/>
          <w:sz w:val="24"/>
        </w:rPr>
        <w:t>reporting</w:t>
      </w:r>
      <w:r>
        <w:rPr>
          <w:b/>
          <w:spacing w:val="-2"/>
          <w:sz w:val="24"/>
        </w:rPr>
        <w:t> period</w:t>
      </w:r>
    </w:p>
    <w:p>
      <w:pPr>
        <w:pStyle w:val="BodyText"/>
        <w:spacing w:before="230"/>
        <w:ind w:left="852"/>
        <w:jc w:val="both"/>
      </w:pPr>
      <w:r>
        <w:rPr/>
        <w:t>Following</w:t>
      </w:r>
      <w:r>
        <w:rPr>
          <w:spacing w:val="-7"/>
        </w:rPr>
        <w:t> </w:t>
      </w:r>
      <w:r>
        <w:rPr/>
        <w:t>the</w:t>
      </w:r>
      <w:r>
        <w:rPr>
          <w:spacing w:val="-4"/>
        </w:rPr>
        <w:t> </w:t>
      </w:r>
      <w:r>
        <w:rPr/>
        <w:t>end</w:t>
      </w:r>
      <w:r>
        <w:rPr>
          <w:spacing w:val="-5"/>
        </w:rPr>
        <w:t> </w:t>
      </w:r>
      <w:r>
        <w:rPr/>
        <w:t>of</w:t>
      </w:r>
      <w:r>
        <w:rPr>
          <w:spacing w:val="-6"/>
        </w:rPr>
        <w:t> </w:t>
      </w:r>
      <w:r>
        <w:rPr/>
        <w:t>the</w:t>
      </w:r>
      <w:r>
        <w:rPr>
          <w:spacing w:val="-6"/>
        </w:rPr>
        <w:t> </w:t>
      </w:r>
      <w:r>
        <w:rPr/>
        <w:t>Financial</w:t>
      </w:r>
      <w:r>
        <w:rPr>
          <w:spacing w:val="-5"/>
        </w:rPr>
        <w:t> </w:t>
      </w:r>
      <w:r>
        <w:rPr/>
        <w:t>Year</w:t>
      </w:r>
      <w:r>
        <w:rPr>
          <w:spacing w:val="-6"/>
        </w:rPr>
        <w:t> </w:t>
      </w:r>
      <w:r>
        <w:rPr/>
        <w:t>in</w:t>
      </w:r>
      <w:r>
        <w:rPr>
          <w:spacing w:val="-6"/>
        </w:rPr>
        <w:t> </w:t>
      </w:r>
      <w:r>
        <w:rPr/>
        <w:t>July</w:t>
      </w:r>
      <w:r>
        <w:rPr>
          <w:spacing w:val="-5"/>
        </w:rPr>
        <w:t> </w:t>
      </w:r>
      <w:r>
        <w:rPr/>
        <w:t>2023,</w:t>
      </w:r>
      <w:r>
        <w:rPr>
          <w:spacing w:val="-5"/>
        </w:rPr>
        <w:t> </w:t>
      </w:r>
      <w:r>
        <w:rPr/>
        <w:t>the</w:t>
      </w:r>
      <w:r>
        <w:rPr>
          <w:spacing w:val="-6"/>
        </w:rPr>
        <w:t> </w:t>
      </w:r>
      <w:r>
        <w:rPr/>
        <w:t>following</w:t>
      </w:r>
      <w:r>
        <w:rPr>
          <w:spacing w:val="-6"/>
        </w:rPr>
        <w:t> </w:t>
      </w:r>
      <w:r>
        <w:rPr/>
        <w:t>reportable</w:t>
      </w:r>
      <w:r>
        <w:rPr>
          <w:spacing w:val="-6"/>
        </w:rPr>
        <w:t> </w:t>
      </w:r>
      <w:r>
        <w:rPr/>
        <w:t>events</w:t>
      </w:r>
      <w:r>
        <w:rPr>
          <w:spacing w:val="-6"/>
        </w:rPr>
        <w:t> </w:t>
      </w:r>
      <w:r>
        <w:rPr/>
        <w:t>took</w:t>
      </w:r>
      <w:r>
        <w:rPr>
          <w:spacing w:val="-5"/>
        </w:rPr>
        <w:t> </w:t>
      </w:r>
      <w:r>
        <w:rPr>
          <w:spacing w:val="-2"/>
        </w:rPr>
        <w:t>place:</w:t>
      </w:r>
    </w:p>
    <w:p>
      <w:pPr>
        <w:pStyle w:val="BodyText"/>
        <w:spacing w:before="1"/>
      </w:pPr>
    </w:p>
    <w:p>
      <w:pPr>
        <w:pStyle w:val="BodyText"/>
        <w:ind w:left="852" w:right="1087"/>
        <w:jc w:val="both"/>
      </w:pPr>
      <w:r>
        <w:rPr/>
        <w:t>On</w:t>
      </w:r>
      <w:r>
        <w:rPr>
          <w:spacing w:val="-11"/>
        </w:rPr>
        <w:t> </w:t>
      </w:r>
      <w:r>
        <w:rPr/>
        <w:t>22</w:t>
      </w:r>
      <w:r>
        <w:rPr>
          <w:position w:val="6"/>
          <w:sz w:val="13"/>
        </w:rPr>
        <w:t>nd</w:t>
      </w:r>
      <w:r>
        <w:rPr>
          <w:spacing w:val="11"/>
          <w:position w:val="6"/>
          <w:sz w:val="13"/>
        </w:rPr>
        <w:t> </w:t>
      </w:r>
      <w:r>
        <w:rPr/>
        <w:t>December</w:t>
      </w:r>
      <w:r>
        <w:rPr>
          <w:spacing w:val="-8"/>
        </w:rPr>
        <w:t> </w:t>
      </w:r>
      <w:r>
        <w:rPr/>
        <w:t>2023</w:t>
      </w:r>
      <w:r>
        <w:rPr>
          <w:spacing w:val="-11"/>
        </w:rPr>
        <w:t> </w:t>
      </w:r>
      <w:r>
        <w:rPr/>
        <w:t>the</w:t>
      </w:r>
      <w:r>
        <w:rPr>
          <w:spacing w:val="-11"/>
        </w:rPr>
        <w:t> </w:t>
      </w:r>
      <w:r>
        <w:rPr/>
        <w:t>College</w:t>
      </w:r>
      <w:r>
        <w:rPr>
          <w:spacing w:val="-9"/>
        </w:rPr>
        <w:t> </w:t>
      </w:r>
      <w:r>
        <w:rPr/>
        <w:t>received</w:t>
      </w:r>
      <w:r>
        <w:rPr>
          <w:spacing w:val="-11"/>
        </w:rPr>
        <w:t> </w:t>
      </w:r>
      <w:r>
        <w:rPr/>
        <w:t>confirmation</w:t>
      </w:r>
      <w:r>
        <w:rPr>
          <w:spacing w:val="-11"/>
        </w:rPr>
        <w:t> </w:t>
      </w:r>
      <w:r>
        <w:rPr/>
        <w:t>that</w:t>
      </w:r>
      <w:r>
        <w:rPr>
          <w:spacing w:val="-9"/>
        </w:rPr>
        <w:t> </w:t>
      </w:r>
      <w:r>
        <w:rPr/>
        <w:t>they</w:t>
      </w:r>
      <w:r>
        <w:rPr>
          <w:spacing w:val="-7"/>
        </w:rPr>
        <w:t> </w:t>
      </w:r>
      <w:r>
        <w:rPr/>
        <w:t>are</w:t>
      </w:r>
      <w:r>
        <w:rPr>
          <w:spacing w:val="-11"/>
        </w:rPr>
        <w:t> </w:t>
      </w:r>
      <w:r>
        <w:rPr/>
        <w:t>no</w:t>
      </w:r>
      <w:r>
        <w:rPr>
          <w:spacing w:val="-11"/>
        </w:rPr>
        <w:t> </w:t>
      </w:r>
      <w:r>
        <w:rPr/>
        <w:t>longer</w:t>
      </w:r>
      <w:r>
        <w:rPr>
          <w:spacing w:val="-10"/>
        </w:rPr>
        <w:t> </w:t>
      </w:r>
      <w:r>
        <w:rPr/>
        <w:t>classed</w:t>
      </w:r>
      <w:r>
        <w:rPr>
          <w:spacing w:val="-11"/>
        </w:rPr>
        <w:t> </w:t>
      </w:r>
      <w:r>
        <w:rPr/>
        <w:t>as</w:t>
      </w:r>
      <w:r>
        <w:rPr>
          <w:spacing w:val="-7"/>
        </w:rPr>
        <w:t> </w:t>
      </w:r>
      <w:r>
        <w:rPr/>
        <w:t>being in Intervention, and therefore able to access more targeted funds and development opportunities that</w:t>
      </w:r>
      <w:r>
        <w:rPr>
          <w:spacing w:val="-9"/>
        </w:rPr>
        <w:t> </w:t>
      </w:r>
      <w:r>
        <w:rPr/>
        <w:t>were</w:t>
      </w:r>
      <w:r>
        <w:rPr>
          <w:spacing w:val="-9"/>
        </w:rPr>
        <w:t> </w:t>
      </w:r>
      <w:r>
        <w:rPr/>
        <w:t>previously</w:t>
      </w:r>
      <w:r>
        <w:rPr>
          <w:spacing w:val="-10"/>
        </w:rPr>
        <w:t> </w:t>
      </w:r>
      <w:r>
        <w:rPr/>
        <w:t>restricted</w:t>
      </w:r>
      <w:r>
        <w:rPr>
          <w:spacing w:val="-9"/>
        </w:rPr>
        <w:t> </w:t>
      </w:r>
      <w:r>
        <w:rPr/>
        <w:t>due</w:t>
      </w:r>
      <w:r>
        <w:rPr>
          <w:spacing w:val="-9"/>
        </w:rPr>
        <w:t> </w:t>
      </w:r>
      <w:r>
        <w:rPr/>
        <w:t>to</w:t>
      </w:r>
      <w:r>
        <w:rPr>
          <w:spacing w:val="-9"/>
        </w:rPr>
        <w:t> </w:t>
      </w:r>
      <w:r>
        <w:rPr/>
        <w:t>your</w:t>
      </w:r>
      <w:r>
        <w:rPr>
          <w:spacing w:val="-10"/>
        </w:rPr>
        <w:t> </w:t>
      </w:r>
      <w:r>
        <w:rPr/>
        <w:t>Intervention</w:t>
      </w:r>
      <w:r>
        <w:rPr>
          <w:spacing w:val="-9"/>
        </w:rPr>
        <w:t> </w:t>
      </w:r>
      <w:r>
        <w:rPr/>
        <w:t>status.</w:t>
      </w:r>
      <w:r>
        <w:rPr>
          <w:spacing w:val="-11"/>
        </w:rPr>
        <w:t> </w:t>
      </w:r>
      <w:r>
        <w:rPr/>
        <w:t>The</w:t>
      </w:r>
      <w:r>
        <w:rPr>
          <w:spacing w:val="-11"/>
        </w:rPr>
        <w:t> </w:t>
      </w:r>
      <w:r>
        <w:rPr/>
        <w:t>College’s</w:t>
      </w:r>
      <w:r>
        <w:rPr>
          <w:spacing w:val="-7"/>
        </w:rPr>
        <w:t> </w:t>
      </w:r>
      <w:r>
        <w:rPr/>
        <w:t>published</w:t>
      </w:r>
      <w:r>
        <w:rPr>
          <w:spacing w:val="-9"/>
        </w:rPr>
        <w:t> </w:t>
      </w:r>
      <w:r>
        <w:rPr/>
        <w:t>NTI</w:t>
      </w:r>
      <w:r>
        <w:rPr>
          <w:spacing w:val="-11"/>
        </w:rPr>
        <w:t> </w:t>
      </w:r>
      <w:r>
        <w:rPr/>
        <w:t>will</w:t>
      </w:r>
      <w:r>
        <w:rPr>
          <w:spacing w:val="-10"/>
        </w:rPr>
        <w:t> </w:t>
      </w:r>
      <w:r>
        <w:rPr/>
        <w:t>also be marked as closed on gov.uk.</w:t>
      </w:r>
    </w:p>
    <w:p>
      <w:pPr>
        <w:pStyle w:val="BodyText"/>
      </w:pPr>
    </w:p>
    <w:p>
      <w:pPr>
        <w:pStyle w:val="BodyText"/>
        <w:ind w:left="852" w:right="1087"/>
        <w:jc w:val="both"/>
      </w:pPr>
      <w:r>
        <w:rPr/>
        <w:t>Hull</w:t>
      </w:r>
      <w:r>
        <w:rPr>
          <w:spacing w:val="-2"/>
        </w:rPr>
        <w:t> </w:t>
      </w:r>
      <w:r>
        <w:rPr/>
        <w:t>College</w:t>
      </w:r>
      <w:r>
        <w:rPr>
          <w:spacing w:val="-1"/>
        </w:rPr>
        <w:t> </w:t>
      </w:r>
      <w:r>
        <w:rPr/>
        <w:t>was Ofsted</w:t>
      </w:r>
      <w:r>
        <w:rPr>
          <w:spacing w:val="-1"/>
        </w:rPr>
        <w:t> </w:t>
      </w:r>
      <w:r>
        <w:rPr/>
        <w:t>inspected</w:t>
      </w:r>
      <w:r>
        <w:rPr>
          <w:spacing w:val="-1"/>
        </w:rPr>
        <w:t> </w:t>
      </w:r>
      <w:r>
        <w:rPr/>
        <w:t>from</w:t>
      </w:r>
      <w:r>
        <w:rPr>
          <w:spacing w:val="-1"/>
        </w:rPr>
        <w:t> </w:t>
      </w:r>
      <w:r>
        <w:rPr/>
        <w:t>the</w:t>
      </w:r>
      <w:r>
        <w:rPr>
          <w:spacing w:val="-1"/>
        </w:rPr>
        <w:t> </w:t>
      </w:r>
      <w:r>
        <w:rPr/>
        <w:t>24th</w:t>
      </w:r>
      <w:r>
        <w:rPr>
          <w:spacing w:val="-1"/>
        </w:rPr>
        <w:t> </w:t>
      </w:r>
      <w:r>
        <w:rPr/>
        <w:t>to</w:t>
      </w:r>
      <w:r>
        <w:rPr>
          <w:spacing w:val="-1"/>
        </w:rPr>
        <w:t> </w:t>
      </w:r>
      <w:r>
        <w:rPr/>
        <w:t>the</w:t>
      </w:r>
      <w:r>
        <w:rPr>
          <w:spacing w:val="-1"/>
        </w:rPr>
        <w:t> </w:t>
      </w:r>
      <w:r>
        <w:rPr/>
        <w:t>27th</w:t>
      </w:r>
      <w:r>
        <w:rPr>
          <w:spacing w:val="-1"/>
        </w:rPr>
        <w:t> </w:t>
      </w:r>
      <w:r>
        <w:rPr/>
        <w:t>of</w:t>
      </w:r>
      <w:r>
        <w:rPr>
          <w:spacing w:val="-1"/>
        </w:rPr>
        <w:t> </w:t>
      </w:r>
      <w:r>
        <w:rPr/>
        <w:t>October.</w:t>
      </w:r>
      <w:r>
        <w:rPr>
          <w:spacing w:val="-1"/>
        </w:rPr>
        <w:t> </w:t>
      </w:r>
      <w:r>
        <w:rPr/>
        <w:t>The</w:t>
      </w:r>
      <w:r>
        <w:rPr>
          <w:spacing w:val="-1"/>
        </w:rPr>
        <w:t> </w:t>
      </w:r>
      <w:r>
        <w:rPr/>
        <w:t>College</w:t>
      </w:r>
      <w:r>
        <w:rPr>
          <w:spacing w:val="-1"/>
        </w:rPr>
        <w:t> </w:t>
      </w:r>
      <w:r>
        <w:rPr/>
        <w:t>went</w:t>
      </w:r>
      <w:r>
        <w:rPr>
          <w:spacing w:val="-1"/>
        </w:rPr>
        <w:t> </w:t>
      </w:r>
      <w:r>
        <w:rPr/>
        <w:t>through a full enhanced inspection. The College received an overall grade ‘Good’ (2) Ofsted inspection rating from the previous ‘Requires Improvements’ rating held for at least the last 6 years. The key points from the inspection are outlined below:</w:t>
      </w:r>
    </w:p>
    <w:p>
      <w:pPr>
        <w:pStyle w:val="BodyText"/>
      </w:pPr>
    </w:p>
    <w:p>
      <w:pPr>
        <w:pStyle w:val="BodyText"/>
        <w:ind w:left="852"/>
      </w:pPr>
      <w:r>
        <w:rPr/>
        <w:t>The</w:t>
      </w:r>
      <w:r>
        <w:rPr>
          <w:spacing w:val="-9"/>
        </w:rPr>
        <w:t> </w:t>
      </w:r>
      <w:r>
        <w:rPr/>
        <w:t>College</w:t>
      </w:r>
      <w:r>
        <w:rPr>
          <w:spacing w:val="-6"/>
        </w:rPr>
        <w:t> </w:t>
      </w:r>
      <w:r>
        <w:rPr/>
        <w:t>has</w:t>
      </w:r>
      <w:r>
        <w:rPr>
          <w:spacing w:val="-8"/>
        </w:rPr>
        <w:t> </w:t>
      </w:r>
      <w:r>
        <w:rPr/>
        <w:t>successfully</w:t>
      </w:r>
      <w:r>
        <w:rPr>
          <w:spacing w:val="-7"/>
        </w:rPr>
        <w:t> </w:t>
      </w:r>
      <w:r>
        <w:rPr/>
        <w:t>improved</w:t>
      </w:r>
      <w:r>
        <w:rPr>
          <w:spacing w:val="-8"/>
        </w:rPr>
        <w:t> </w:t>
      </w:r>
      <w:r>
        <w:rPr/>
        <w:t>their</w:t>
      </w:r>
      <w:r>
        <w:rPr>
          <w:spacing w:val="-8"/>
        </w:rPr>
        <w:t> </w:t>
      </w:r>
      <w:r>
        <w:rPr/>
        <w:t>performance</w:t>
      </w:r>
      <w:r>
        <w:rPr>
          <w:spacing w:val="-8"/>
        </w:rPr>
        <w:t> </w:t>
      </w:r>
      <w:r>
        <w:rPr/>
        <w:t>across</w:t>
      </w:r>
      <w:r>
        <w:rPr>
          <w:spacing w:val="-7"/>
        </w:rPr>
        <w:t> </w:t>
      </w:r>
      <w:r>
        <w:rPr/>
        <w:t>all</w:t>
      </w:r>
      <w:r>
        <w:rPr>
          <w:spacing w:val="-8"/>
        </w:rPr>
        <w:t> </w:t>
      </w:r>
      <w:r>
        <w:rPr/>
        <w:t>provision</w:t>
      </w:r>
      <w:r>
        <w:rPr>
          <w:spacing w:val="-8"/>
        </w:rPr>
        <w:t> </w:t>
      </w:r>
      <w:r>
        <w:rPr>
          <w:spacing w:val="-2"/>
        </w:rPr>
        <w:t>types.</w:t>
      </w:r>
    </w:p>
    <w:p>
      <w:pPr>
        <w:pStyle w:val="ListParagraph"/>
        <w:numPr>
          <w:ilvl w:val="0"/>
          <w:numId w:val="2"/>
        </w:numPr>
        <w:tabs>
          <w:tab w:pos="1134" w:val="left" w:leader="none"/>
        </w:tabs>
        <w:spacing w:line="240" w:lineRule="auto" w:before="1" w:after="0"/>
        <w:ind w:left="1134" w:right="0" w:hanging="282"/>
        <w:jc w:val="left"/>
        <w:rPr>
          <w:rFonts w:ascii="Symbol" w:hAnsi="Symbol"/>
          <w:sz w:val="20"/>
        </w:rPr>
      </w:pPr>
      <w:r>
        <w:rPr>
          <w:sz w:val="20"/>
        </w:rPr>
        <w:t>Education</w:t>
      </w:r>
      <w:r>
        <w:rPr>
          <w:spacing w:val="-7"/>
          <w:sz w:val="20"/>
        </w:rPr>
        <w:t> </w:t>
      </w:r>
      <w:r>
        <w:rPr>
          <w:sz w:val="20"/>
        </w:rPr>
        <w:t>Programmes</w:t>
      </w:r>
      <w:r>
        <w:rPr>
          <w:spacing w:val="-6"/>
          <w:sz w:val="20"/>
        </w:rPr>
        <w:t> </w:t>
      </w:r>
      <w:r>
        <w:rPr>
          <w:sz w:val="20"/>
        </w:rPr>
        <w:t>for</w:t>
      </w:r>
      <w:r>
        <w:rPr>
          <w:spacing w:val="-4"/>
          <w:sz w:val="20"/>
        </w:rPr>
        <w:t> </w:t>
      </w:r>
      <w:r>
        <w:rPr>
          <w:sz w:val="20"/>
        </w:rPr>
        <w:t>Young</w:t>
      </w:r>
      <w:r>
        <w:rPr>
          <w:spacing w:val="-5"/>
          <w:sz w:val="20"/>
        </w:rPr>
        <w:t> </w:t>
      </w:r>
      <w:r>
        <w:rPr>
          <w:sz w:val="20"/>
        </w:rPr>
        <w:t>People</w:t>
      </w:r>
      <w:r>
        <w:rPr>
          <w:spacing w:val="-7"/>
          <w:sz w:val="20"/>
        </w:rPr>
        <w:t> </w:t>
      </w:r>
      <w:r>
        <w:rPr>
          <w:sz w:val="20"/>
        </w:rPr>
        <w:t>improved</w:t>
      </w:r>
      <w:r>
        <w:rPr>
          <w:spacing w:val="-7"/>
          <w:sz w:val="20"/>
        </w:rPr>
        <w:t> </w:t>
      </w:r>
      <w:r>
        <w:rPr>
          <w:sz w:val="20"/>
        </w:rPr>
        <w:t>by</w:t>
      </w:r>
      <w:r>
        <w:rPr>
          <w:spacing w:val="-3"/>
          <w:sz w:val="20"/>
        </w:rPr>
        <w:t> </w:t>
      </w:r>
      <w:r>
        <w:rPr>
          <w:sz w:val="20"/>
        </w:rPr>
        <w:t>6%</w:t>
      </w:r>
      <w:r>
        <w:rPr>
          <w:spacing w:val="-6"/>
          <w:sz w:val="20"/>
        </w:rPr>
        <w:t> </w:t>
      </w:r>
      <w:r>
        <w:rPr>
          <w:sz w:val="20"/>
        </w:rPr>
        <w:t>and</w:t>
      </w:r>
      <w:r>
        <w:rPr>
          <w:spacing w:val="-7"/>
          <w:sz w:val="20"/>
        </w:rPr>
        <w:t> </w:t>
      </w:r>
      <w:r>
        <w:rPr>
          <w:sz w:val="20"/>
        </w:rPr>
        <w:t>are</w:t>
      </w:r>
      <w:r>
        <w:rPr>
          <w:spacing w:val="-5"/>
          <w:sz w:val="20"/>
        </w:rPr>
        <w:t> </w:t>
      </w:r>
      <w:r>
        <w:rPr>
          <w:sz w:val="20"/>
        </w:rPr>
        <w:t>now</w:t>
      </w:r>
      <w:r>
        <w:rPr>
          <w:spacing w:val="-4"/>
          <w:sz w:val="20"/>
        </w:rPr>
        <w:t> </w:t>
      </w:r>
      <w:r>
        <w:rPr>
          <w:spacing w:val="-2"/>
          <w:sz w:val="20"/>
        </w:rPr>
        <w:t>79.4%.</w:t>
      </w:r>
    </w:p>
    <w:p>
      <w:pPr>
        <w:pStyle w:val="ListParagraph"/>
        <w:numPr>
          <w:ilvl w:val="0"/>
          <w:numId w:val="2"/>
        </w:numPr>
        <w:tabs>
          <w:tab w:pos="1134" w:val="left" w:leader="none"/>
        </w:tabs>
        <w:spacing w:line="240" w:lineRule="auto" w:before="34" w:after="0"/>
        <w:ind w:left="1134" w:right="0" w:hanging="282"/>
        <w:jc w:val="left"/>
        <w:rPr>
          <w:rFonts w:ascii="Symbol" w:hAnsi="Symbol"/>
          <w:sz w:val="20"/>
        </w:rPr>
      </w:pPr>
      <w:r>
        <w:rPr>
          <w:sz w:val="20"/>
        </w:rPr>
        <w:t>Pass</w:t>
      </w:r>
      <w:r>
        <w:rPr>
          <w:spacing w:val="-6"/>
          <w:sz w:val="20"/>
        </w:rPr>
        <w:t> </w:t>
      </w:r>
      <w:r>
        <w:rPr>
          <w:sz w:val="20"/>
        </w:rPr>
        <w:t>rates</w:t>
      </w:r>
      <w:r>
        <w:rPr>
          <w:spacing w:val="-5"/>
          <w:sz w:val="20"/>
        </w:rPr>
        <w:t> </w:t>
      </w:r>
      <w:r>
        <w:rPr>
          <w:sz w:val="20"/>
        </w:rPr>
        <w:t>for</w:t>
      </w:r>
      <w:r>
        <w:rPr>
          <w:spacing w:val="-3"/>
          <w:sz w:val="20"/>
        </w:rPr>
        <w:t> </w:t>
      </w:r>
      <w:r>
        <w:rPr>
          <w:sz w:val="20"/>
        </w:rPr>
        <w:t>14-16</w:t>
      </w:r>
      <w:r>
        <w:rPr>
          <w:spacing w:val="-4"/>
          <w:sz w:val="20"/>
        </w:rPr>
        <w:t> </w:t>
      </w:r>
      <w:r>
        <w:rPr>
          <w:sz w:val="20"/>
        </w:rPr>
        <w:t>are</w:t>
      </w:r>
      <w:r>
        <w:rPr>
          <w:spacing w:val="-4"/>
          <w:sz w:val="20"/>
        </w:rPr>
        <w:t> </w:t>
      </w:r>
      <w:r>
        <w:rPr>
          <w:sz w:val="20"/>
        </w:rPr>
        <w:t>high</w:t>
      </w:r>
      <w:r>
        <w:rPr>
          <w:spacing w:val="-6"/>
          <w:sz w:val="20"/>
        </w:rPr>
        <w:t> </w:t>
      </w:r>
      <w:r>
        <w:rPr>
          <w:sz w:val="20"/>
        </w:rPr>
        <w:t>at</w:t>
      </w:r>
      <w:r>
        <w:rPr>
          <w:spacing w:val="-4"/>
          <w:sz w:val="20"/>
        </w:rPr>
        <w:t> 88%.</w:t>
      </w:r>
    </w:p>
    <w:p>
      <w:pPr>
        <w:pStyle w:val="ListParagraph"/>
        <w:numPr>
          <w:ilvl w:val="0"/>
          <w:numId w:val="2"/>
        </w:numPr>
        <w:tabs>
          <w:tab w:pos="1134" w:val="left" w:leader="none"/>
        </w:tabs>
        <w:spacing w:line="240" w:lineRule="auto" w:before="31" w:after="0"/>
        <w:ind w:left="1134" w:right="0" w:hanging="282"/>
        <w:jc w:val="left"/>
        <w:rPr>
          <w:rFonts w:ascii="Symbol" w:hAnsi="Symbol"/>
          <w:sz w:val="20"/>
        </w:rPr>
      </w:pPr>
      <w:r>
        <w:rPr>
          <w:sz w:val="20"/>
        </w:rPr>
        <w:t>Adult</w:t>
      </w:r>
      <w:r>
        <w:rPr>
          <w:spacing w:val="-7"/>
          <w:sz w:val="20"/>
        </w:rPr>
        <w:t> </w:t>
      </w:r>
      <w:r>
        <w:rPr>
          <w:sz w:val="20"/>
        </w:rPr>
        <w:t>achievement</w:t>
      </w:r>
      <w:r>
        <w:rPr>
          <w:spacing w:val="-7"/>
          <w:sz w:val="20"/>
        </w:rPr>
        <w:t> </w:t>
      </w:r>
      <w:r>
        <w:rPr>
          <w:sz w:val="20"/>
        </w:rPr>
        <w:t>is</w:t>
      </w:r>
      <w:r>
        <w:rPr>
          <w:spacing w:val="-6"/>
          <w:sz w:val="20"/>
        </w:rPr>
        <w:t> </w:t>
      </w:r>
      <w:r>
        <w:rPr>
          <w:sz w:val="20"/>
        </w:rPr>
        <w:t>91%</w:t>
      </w:r>
      <w:r>
        <w:rPr>
          <w:spacing w:val="-4"/>
          <w:sz w:val="20"/>
        </w:rPr>
        <w:t> </w:t>
      </w:r>
      <w:r>
        <w:rPr>
          <w:sz w:val="20"/>
        </w:rPr>
        <w:t>and</w:t>
      </w:r>
      <w:r>
        <w:rPr>
          <w:spacing w:val="-6"/>
          <w:sz w:val="20"/>
        </w:rPr>
        <w:t> </w:t>
      </w:r>
      <w:r>
        <w:rPr>
          <w:sz w:val="20"/>
        </w:rPr>
        <w:t>forms</w:t>
      </w:r>
      <w:r>
        <w:rPr>
          <w:spacing w:val="-6"/>
          <w:sz w:val="20"/>
        </w:rPr>
        <w:t> </w:t>
      </w:r>
      <w:r>
        <w:rPr>
          <w:sz w:val="20"/>
        </w:rPr>
        <w:t>the</w:t>
      </w:r>
      <w:r>
        <w:rPr>
          <w:spacing w:val="-7"/>
          <w:sz w:val="20"/>
        </w:rPr>
        <w:t> </w:t>
      </w:r>
      <w:r>
        <w:rPr>
          <w:sz w:val="20"/>
        </w:rPr>
        <w:t>highest</w:t>
      </w:r>
      <w:r>
        <w:rPr>
          <w:spacing w:val="-6"/>
          <w:sz w:val="20"/>
        </w:rPr>
        <w:t> </w:t>
      </w:r>
      <w:r>
        <w:rPr>
          <w:sz w:val="20"/>
        </w:rPr>
        <w:t>proportion</w:t>
      </w:r>
      <w:r>
        <w:rPr>
          <w:spacing w:val="-5"/>
          <w:sz w:val="20"/>
        </w:rPr>
        <w:t> </w:t>
      </w:r>
      <w:r>
        <w:rPr>
          <w:sz w:val="20"/>
        </w:rPr>
        <w:t>of</w:t>
      </w:r>
      <w:r>
        <w:rPr>
          <w:spacing w:val="-5"/>
          <w:sz w:val="20"/>
        </w:rPr>
        <w:t> </w:t>
      </w:r>
      <w:r>
        <w:rPr>
          <w:sz w:val="20"/>
        </w:rPr>
        <w:t>our</w:t>
      </w:r>
      <w:r>
        <w:rPr>
          <w:spacing w:val="-6"/>
          <w:sz w:val="20"/>
        </w:rPr>
        <w:t> </w:t>
      </w:r>
      <w:r>
        <w:rPr>
          <w:sz w:val="20"/>
        </w:rPr>
        <w:t>student</w:t>
      </w:r>
      <w:r>
        <w:rPr>
          <w:spacing w:val="-5"/>
          <w:sz w:val="20"/>
        </w:rPr>
        <w:t> </w:t>
      </w:r>
      <w:r>
        <w:rPr>
          <w:spacing w:val="-2"/>
          <w:sz w:val="20"/>
        </w:rPr>
        <w:t>numbers.</w:t>
      </w:r>
    </w:p>
    <w:p>
      <w:pPr>
        <w:pStyle w:val="ListParagraph"/>
        <w:numPr>
          <w:ilvl w:val="0"/>
          <w:numId w:val="2"/>
        </w:numPr>
        <w:tabs>
          <w:tab w:pos="1134" w:val="left" w:leader="none"/>
        </w:tabs>
        <w:spacing w:line="240" w:lineRule="auto" w:before="33" w:after="0"/>
        <w:ind w:left="1134" w:right="0" w:hanging="282"/>
        <w:jc w:val="left"/>
        <w:rPr>
          <w:rFonts w:ascii="Symbol" w:hAnsi="Symbol"/>
          <w:sz w:val="20"/>
        </w:rPr>
      </w:pPr>
      <w:r>
        <w:rPr>
          <w:sz w:val="20"/>
        </w:rPr>
        <w:t>Apprenticeship</w:t>
      </w:r>
      <w:r>
        <w:rPr>
          <w:spacing w:val="-7"/>
          <w:sz w:val="20"/>
        </w:rPr>
        <w:t> </w:t>
      </w:r>
      <w:r>
        <w:rPr>
          <w:sz w:val="20"/>
        </w:rPr>
        <w:t>achievement</w:t>
      </w:r>
      <w:r>
        <w:rPr>
          <w:spacing w:val="-9"/>
          <w:sz w:val="20"/>
        </w:rPr>
        <w:t> </w:t>
      </w:r>
      <w:r>
        <w:rPr>
          <w:sz w:val="20"/>
        </w:rPr>
        <w:t>has</w:t>
      </w:r>
      <w:r>
        <w:rPr>
          <w:spacing w:val="-5"/>
          <w:sz w:val="20"/>
        </w:rPr>
        <w:t> </w:t>
      </w:r>
      <w:r>
        <w:rPr>
          <w:sz w:val="20"/>
        </w:rPr>
        <w:t>improved</w:t>
      </w:r>
      <w:r>
        <w:rPr>
          <w:spacing w:val="-9"/>
          <w:sz w:val="20"/>
        </w:rPr>
        <w:t> </w:t>
      </w:r>
      <w:r>
        <w:rPr>
          <w:sz w:val="20"/>
        </w:rPr>
        <w:t>by</w:t>
      </w:r>
      <w:r>
        <w:rPr>
          <w:spacing w:val="-5"/>
          <w:sz w:val="20"/>
        </w:rPr>
        <w:t> </w:t>
      </w:r>
      <w:r>
        <w:rPr>
          <w:sz w:val="20"/>
        </w:rPr>
        <w:t>10.4%</w:t>
      </w:r>
      <w:r>
        <w:rPr>
          <w:spacing w:val="-7"/>
          <w:sz w:val="20"/>
        </w:rPr>
        <w:t> </w:t>
      </w:r>
      <w:r>
        <w:rPr>
          <w:sz w:val="20"/>
        </w:rPr>
        <w:t>to</w:t>
      </w:r>
      <w:r>
        <w:rPr>
          <w:spacing w:val="-9"/>
          <w:sz w:val="20"/>
        </w:rPr>
        <w:t> </w:t>
      </w:r>
      <w:r>
        <w:rPr>
          <w:spacing w:val="-2"/>
          <w:sz w:val="20"/>
        </w:rPr>
        <w:t>50.3%.</w:t>
      </w:r>
    </w:p>
    <w:p>
      <w:pPr>
        <w:pStyle w:val="ListParagraph"/>
        <w:numPr>
          <w:ilvl w:val="0"/>
          <w:numId w:val="2"/>
        </w:numPr>
        <w:tabs>
          <w:tab w:pos="1133" w:val="left" w:leader="none"/>
          <w:tab w:pos="1135" w:val="left" w:leader="none"/>
        </w:tabs>
        <w:spacing w:line="273" w:lineRule="auto" w:before="34" w:after="0"/>
        <w:ind w:left="1135" w:right="1088" w:hanging="284"/>
        <w:jc w:val="both"/>
        <w:rPr>
          <w:rFonts w:ascii="Symbol" w:hAnsi="Symbol"/>
          <w:sz w:val="20"/>
        </w:rPr>
      </w:pPr>
      <w:r>
        <w:rPr>
          <w:sz w:val="20"/>
        </w:rPr>
        <w:t>Based</w:t>
      </w:r>
      <w:r>
        <w:rPr>
          <w:spacing w:val="-7"/>
          <w:sz w:val="20"/>
        </w:rPr>
        <w:t> </w:t>
      </w:r>
      <w:r>
        <w:rPr>
          <w:sz w:val="20"/>
        </w:rPr>
        <w:t>on</w:t>
      </w:r>
      <w:r>
        <w:rPr>
          <w:spacing w:val="-7"/>
          <w:sz w:val="20"/>
        </w:rPr>
        <w:t> </w:t>
      </w:r>
      <w:r>
        <w:rPr>
          <w:sz w:val="20"/>
        </w:rPr>
        <w:t>2021-2022</w:t>
      </w:r>
      <w:r>
        <w:rPr>
          <w:spacing w:val="-7"/>
          <w:sz w:val="20"/>
        </w:rPr>
        <w:t> </w:t>
      </w:r>
      <w:r>
        <w:rPr>
          <w:sz w:val="20"/>
        </w:rPr>
        <w:t>national</w:t>
      </w:r>
      <w:r>
        <w:rPr>
          <w:spacing w:val="-7"/>
          <w:sz w:val="20"/>
        </w:rPr>
        <w:t> </w:t>
      </w:r>
      <w:r>
        <w:rPr>
          <w:sz w:val="20"/>
        </w:rPr>
        <w:t>averages</w:t>
      </w:r>
      <w:r>
        <w:rPr>
          <w:spacing w:val="-6"/>
          <w:sz w:val="20"/>
        </w:rPr>
        <w:t> </w:t>
      </w:r>
      <w:r>
        <w:rPr>
          <w:sz w:val="20"/>
        </w:rPr>
        <w:t>for</w:t>
      </w:r>
      <w:r>
        <w:rPr>
          <w:spacing w:val="-6"/>
          <w:sz w:val="20"/>
        </w:rPr>
        <w:t> </w:t>
      </w:r>
      <w:r>
        <w:rPr>
          <w:sz w:val="20"/>
        </w:rPr>
        <w:t>achievement,</w:t>
      </w:r>
      <w:r>
        <w:rPr>
          <w:spacing w:val="-7"/>
          <w:sz w:val="20"/>
        </w:rPr>
        <w:t> </w:t>
      </w:r>
      <w:r>
        <w:rPr>
          <w:sz w:val="20"/>
        </w:rPr>
        <w:t>our</w:t>
      </w:r>
      <w:r>
        <w:rPr>
          <w:spacing w:val="-6"/>
          <w:sz w:val="20"/>
        </w:rPr>
        <w:t> </w:t>
      </w:r>
      <w:r>
        <w:rPr>
          <w:sz w:val="20"/>
        </w:rPr>
        <w:t>overall</w:t>
      </w:r>
      <w:r>
        <w:rPr>
          <w:spacing w:val="-7"/>
          <w:sz w:val="20"/>
        </w:rPr>
        <w:t> </w:t>
      </w:r>
      <w:r>
        <w:rPr>
          <w:sz w:val="20"/>
        </w:rPr>
        <w:t>achievement</w:t>
      </w:r>
      <w:r>
        <w:rPr>
          <w:spacing w:val="-7"/>
          <w:sz w:val="20"/>
        </w:rPr>
        <w:t> </w:t>
      </w:r>
      <w:r>
        <w:rPr>
          <w:sz w:val="20"/>
        </w:rPr>
        <w:t>rate</w:t>
      </w:r>
      <w:r>
        <w:rPr>
          <w:spacing w:val="-7"/>
          <w:sz w:val="20"/>
        </w:rPr>
        <w:t> </w:t>
      </w:r>
      <w:r>
        <w:rPr>
          <w:sz w:val="20"/>
        </w:rPr>
        <w:t>of</w:t>
      </w:r>
      <w:r>
        <w:rPr>
          <w:spacing w:val="-7"/>
          <w:sz w:val="20"/>
        </w:rPr>
        <w:t> </w:t>
      </w:r>
      <w:r>
        <w:rPr>
          <w:sz w:val="20"/>
        </w:rPr>
        <w:t>86.4% would place us in the top 25% of colleges nationally, and in the top 5 regionally. We are above the national rate and improving.</w:t>
      </w:r>
    </w:p>
    <w:p>
      <w:pPr>
        <w:pStyle w:val="BodyText"/>
        <w:spacing w:before="1"/>
      </w:pPr>
    </w:p>
    <w:p>
      <w:pPr>
        <w:pStyle w:val="Heading3"/>
        <w:spacing w:before="1"/>
      </w:pPr>
      <w:r>
        <w:rPr/>
        <w:t>Current</w:t>
      </w:r>
      <w:r>
        <w:rPr>
          <w:spacing w:val="-4"/>
        </w:rPr>
        <w:t> </w:t>
      </w:r>
      <w:r>
        <w:rPr/>
        <w:t>and</w:t>
      </w:r>
      <w:r>
        <w:rPr>
          <w:spacing w:val="-3"/>
        </w:rPr>
        <w:t> </w:t>
      </w:r>
      <w:r>
        <w:rPr/>
        <w:t>future</w:t>
      </w:r>
      <w:r>
        <w:rPr>
          <w:spacing w:val="-3"/>
        </w:rPr>
        <w:t> </w:t>
      </w:r>
      <w:r>
        <w:rPr/>
        <w:t>developments</w:t>
      </w:r>
      <w:r>
        <w:rPr>
          <w:spacing w:val="-3"/>
        </w:rPr>
        <w:t> </w:t>
      </w:r>
      <w:r>
        <w:rPr/>
        <w:t>and</w:t>
      </w:r>
      <w:r>
        <w:rPr>
          <w:spacing w:val="-3"/>
        </w:rPr>
        <w:t> </w:t>
      </w:r>
      <w:r>
        <w:rPr>
          <w:spacing w:val="-2"/>
        </w:rPr>
        <w:t>performance</w:t>
      </w:r>
    </w:p>
    <w:p>
      <w:pPr>
        <w:pStyle w:val="BodyText"/>
        <w:spacing w:before="229"/>
        <w:ind w:left="852"/>
      </w:pPr>
      <w:r>
        <w:rPr/>
        <w:t>Hull</w:t>
      </w:r>
      <w:r>
        <w:rPr>
          <w:spacing w:val="-8"/>
        </w:rPr>
        <w:t> </w:t>
      </w:r>
      <w:r>
        <w:rPr/>
        <w:t>College</w:t>
      </w:r>
      <w:r>
        <w:rPr>
          <w:spacing w:val="-4"/>
        </w:rPr>
        <w:t> </w:t>
      </w:r>
      <w:r>
        <w:rPr/>
        <w:t>makes</w:t>
      </w:r>
      <w:r>
        <w:rPr>
          <w:spacing w:val="-6"/>
        </w:rPr>
        <w:t> </w:t>
      </w:r>
      <w:r>
        <w:rPr/>
        <w:t>a</w:t>
      </w:r>
      <w:r>
        <w:rPr>
          <w:spacing w:val="-4"/>
        </w:rPr>
        <w:t> </w:t>
      </w:r>
      <w:r>
        <w:rPr/>
        <w:t>strong</w:t>
      </w:r>
      <w:r>
        <w:rPr>
          <w:spacing w:val="-7"/>
        </w:rPr>
        <w:t> </w:t>
      </w:r>
      <w:r>
        <w:rPr/>
        <w:t>contribution</w:t>
      </w:r>
      <w:r>
        <w:rPr>
          <w:spacing w:val="-4"/>
        </w:rPr>
        <w:t> </w:t>
      </w:r>
      <w:r>
        <w:rPr/>
        <w:t>to</w:t>
      </w:r>
      <w:r>
        <w:rPr>
          <w:spacing w:val="-6"/>
        </w:rPr>
        <w:t> </w:t>
      </w:r>
      <w:r>
        <w:rPr/>
        <w:t>skills</w:t>
      </w:r>
      <w:r>
        <w:rPr>
          <w:spacing w:val="-6"/>
        </w:rPr>
        <w:t> </w:t>
      </w:r>
      <w:r>
        <w:rPr/>
        <w:t>which</w:t>
      </w:r>
      <w:r>
        <w:rPr>
          <w:spacing w:val="-6"/>
        </w:rPr>
        <w:t> </w:t>
      </w:r>
      <w:r>
        <w:rPr/>
        <w:t>was</w:t>
      </w:r>
      <w:r>
        <w:rPr>
          <w:spacing w:val="-6"/>
        </w:rPr>
        <w:t> </w:t>
      </w:r>
      <w:r>
        <w:rPr/>
        <w:t>validated</w:t>
      </w:r>
      <w:r>
        <w:rPr>
          <w:spacing w:val="-4"/>
        </w:rPr>
        <w:t> </w:t>
      </w:r>
      <w:r>
        <w:rPr/>
        <w:t>at</w:t>
      </w:r>
      <w:r>
        <w:rPr>
          <w:spacing w:val="-5"/>
        </w:rPr>
        <w:t> </w:t>
      </w:r>
      <w:r>
        <w:rPr/>
        <w:t>our</w:t>
      </w:r>
      <w:r>
        <w:rPr>
          <w:spacing w:val="-5"/>
        </w:rPr>
        <w:t> </w:t>
      </w:r>
      <w:r>
        <w:rPr/>
        <w:t>recent</w:t>
      </w:r>
      <w:r>
        <w:rPr>
          <w:spacing w:val="-6"/>
        </w:rPr>
        <w:t> </w:t>
      </w:r>
      <w:r>
        <w:rPr>
          <w:spacing w:val="-2"/>
        </w:rPr>
        <w:t>inspection.</w:t>
      </w:r>
    </w:p>
    <w:p>
      <w:pPr>
        <w:pStyle w:val="BodyText"/>
        <w:spacing w:before="229"/>
        <w:ind w:left="852" w:right="1089"/>
        <w:jc w:val="both"/>
      </w:pPr>
      <w:r>
        <w:rPr/>
        <w:t>We have cultivated an expansive network of over c.900 employers, civic organisations and stakeholders. This spans major firms like KCOM, local bodies like Hull City Council, and sector representatives including the CBI, Humber LEP and NHS.</w:t>
      </w:r>
    </w:p>
    <w:p>
      <w:pPr>
        <w:pStyle w:val="BodyText"/>
        <w:spacing w:before="2"/>
      </w:pPr>
    </w:p>
    <w:p>
      <w:pPr>
        <w:pStyle w:val="BodyText"/>
        <w:ind w:left="852" w:right="1085"/>
        <w:jc w:val="both"/>
      </w:pPr>
      <w:r>
        <w:rPr/>
        <w:t>The</w:t>
      </w:r>
      <w:r>
        <w:rPr>
          <w:spacing w:val="-12"/>
        </w:rPr>
        <w:t> </w:t>
      </w:r>
      <w:r>
        <w:rPr/>
        <w:t>college's</w:t>
      </w:r>
      <w:r>
        <w:rPr>
          <w:spacing w:val="-11"/>
        </w:rPr>
        <w:t> </w:t>
      </w:r>
      <w:r>
        <w:rPr/>
        <w:t>wide-ranging</w:t>
      </w:r>
      <w:r>
        <w:rPr>
          <w:spacing w:val="-8"/>
        </w:rPr>
        <w:t> </w:t>
      </w:r>
      <w:r>
        <w:rPr/>
        <w:t>partnerships</w:t>
      </w:r>
      <w:r>
        <w:rPr>
          <w:spacing w:val="-11"/>
        </w:rPr>
        <w:t> </w:t>
      </w:r>
      <w:r>
        <w:rPr/>
        <w:t>are</w:t>
      </w:r>
      <w:r>
        <w:rPr>
          <w:spacing w:val="-10"/>
        </w:rPr>
        <w:t> </w:t>
      </w:r>
      <w:r>
        <w:rPr/>
        <w:t>underpinned</w:t>
      </w:r>
      <w:r>
        <w:rPr>
          <w:spacing w:val="-12"/>
        </w:rPr>
        <w:t> </w:t>
      </w:r>
      <w:r>
        <w:rPr/>
        <w:t>by</w:t>
      </w:r>
      <w:r>
        <w:rPr>
          <w:spacing w:val="-8"/>
        </w:rPr>
        <w:t> </w:t>
      </w:r>
      <w:r>
        <w:rPr/>
        <w:t>meticulous</w:t>
      </w:r>
      <w:r>
        <w:rPr>
          <w:spacing w:val="-8"/>
        </w:rPr>
        <w:t> </w:t>
      </w:r>
      <w:r>
        <w:rPr/>
        <w:t>labour</w:t>
      </w:r>
      <w:r>
        <w:rPr>
          <w:spacing w:val="-9"/>
        </w:rPr>
        <w:t> </w:t>
      </w:r>
      <w:r>
        <w:rPr/>
        <w:t>market</w:t>
      </w:r>
      <w:r>
        <w:rPr>
          <w:spacing w:val="-12"/>
        </w:rPr>
        <w:t> </w:t>
      </w:r>
      <w:r>
        <w:rPr/>
        <w:t>analysis</w:t>
      </w:r>
      <w:r>
        <w:rPr>
          <w:spacing w:val="-11"/>
        </w:rPr>
        <w:t> </w:t>
      </w:r>
      <w:r>
        <w:rPr/>
        <w:t>and curriculum</w:t>
      </w:r>
      <w:r>
        <w:rPr>
          <w:spacing w:val="-10"/>
        </w:rPr>
        <w:t> </w:t>
      </w:r>
      <w:r>
        <w:rPr/>
        <w:t>planning.</w:t>
      </w:r>
      <w:r>
        <w:rPr>
          <w:spacing w:val="-10"/>
        </w:rPr>
        <w:t> </w:t>
      </w:r>
      <w:r>
        <w:rPr/>
        <w:t>Employer</w:t>
      </w:r>
      <w:r>
        <w:rPr>
          <w:spacing w:val="-11"/>
        </w:rPr>
        <w:t> </w:t>
      </w:r>
      <w:r>
        <w:rPr/>
        <w:t>collaboration</w:t>
      </w:r>
      <w:r>
        <w:rPr>
          <w:spacing w:val="-12"/>
        </w:rPr>
        <w:t> </w:t>
      </w:r>
      <w:r>
        <w:rPr/>
        <w:t>is</w:t>
      </w:r>
      <w:r>
        <w:rPr>
          <w:spacing w:val="-8"/>
        </w:rPr>
        <w:t> </w:t>
      </w:r>
      <w:r>
        <w:rPr/>
        <w:t>integral</w:t>
      </w:r>
      <w:r>
        <w:rPr>
          <w:spacing w:val="-8"/>
        </w:rPr>
        <w:t> </w:t>
      </w:r>
      <w:r>
        <w:rPr/>
        <w:t>to</w:t>
      </w:r>
      <w:r>
        <w:rPr>
          <w:spacing w:val="-12"/>
        </w:rPr>
        <w:t> </w:t>
      </w:r>
      <w:r>
        <w:rPr/>
        <w:t>technical</w:t>
      </w:r>
      <w:r>
        <w:rPr>
          <w:spacing w:val="-13"/>
        </w:rPr>
        <w:t> </w:t>
      </w:r>
      <w:r>
        <w:rPr/>
        <w:t>curriculum</w:t>
      </w:r>
      <w:r>
        <w:rPr>
          <w:spacing w:val="-10"/>
        </w:rPr>
        <w:t> </w:t>
      </w:r>
      <w:r>
        <w:rPr/>
        <w:t>delivery.</w:t>
      </w:r>
      <w:r>
        <w:rPr>
          <w:spacing w:val="-12"/>
        </w:rPr>
        <w:t> </w:t>
      </w:r>
      <w:r>
        <w:rPr/>
        <w:t>The</w:t>
      </w:r>
      <w:r>
        <w:rPr>
          <w:spacing w:val="-12"/>
        </w:rPr>
        <w:t> </w:t>
      </w:r>
      <w:r>
        <w:rPr/>
        <w:t>College hosts expert panels in all subject areas allowing industry specialists to advise on emerging skills needs.</w:t>
      </w:r>
      <w:r>
        <w:rPr>
          <w:spacing w:val="-6"/>
        </w:rPr>
        <w:t> </w:t>
      </w:r>
      <w:r>
        <w:rPr/>
        <w:t>Insights</w:t>
      </w:r>
      <w:r>
        <w:rPr>
          <w:spacing w:val="-5"/>
        </w:rPr>
        <w:t> </w:t>
      </w:r>
      <w:r>
        <w:rPr/>
        <w:t>from</w:t>
      </w:r>
      <w:r>
        <w:rPr>
          <w:spacing w:val="-7"/>
        </w:rPr>
        <w:t> </w:t>
      </w:r>
      <w:r>
        <w:rPr/>
        <w:t>employers</w:t>
      </w:r>
      <w:r>
        <w:rPr>
          <w:spacing w:val="-5"/>
        </w:rPr>
        <w:t> </w:t>
      </w:r>
      <w:r>
        <w:rPr/>
        <w:t>and</w:t>
      </w:r>
      <w:r>
        <w:rPr>
          <w:spacing w:val="-7"/>
        </w:rPr>
        <w:t> </w:t>
      </w:r>
      <w:r>
        <w:rPr/>
        <w:t>stakeholders</w:t>
      </w:r>
      <w:r>
        <w:rPr>
          <w:spacing w:val="-5"/>
        </w:rPr>
        <w:t> </w:t>
      </w:r>
      <w:r>
        <w:rPr/>
        <w:t>inform</w:t>
      </w:r>
      <w:r>
        <w:rPr>
          <w:spacing w:val="-7"/>
        </w:rPr>
        <w:t> </w:t>
      </w:r>
      <w:r>
        <w:rPr/>
        <w:t>curriculum</w:t>
      </w:r>
      <w:r>
        <w:rPr>
          <w:spacing w:val="-7"/>
        </w:rPr>
        <w:t> </w:t>
      </w:r>
      <w:r>
        <w:rPr/>
        <w:t>design</w:t>
      </w:r>
      <w:r>
        <w:rPr>
          <w:spacing w:val="-7"/>
        </w:rPr>
        <w:t> </w:t>
      </w:r>
      <w:r>
        <w:rPr/>
        <w:t>across</w:t>
      </w:r>
      <w:r>
        <w:rPr>
          <w:spacing w:val="-5"/>
        </w:rPr>
        <w:t> </w:t>
      </w:r>
      <w:r>
        <w:rPr/>
        <w:t>all</w:t>
      </w:r>
      <w:r>
        <w:rPr>
          <w:spacing w:val="-7"/>
        </w:rPr>
        <w:t> </w:t>
      </w:r>
      <w:r>
        <w:rPr/>
        <w:t>programmes, for example.</w:t>
      </w:r>
    </w:p>
    <w:p>
      <w:pPr>
        <w:pStyle w:val="BodyText"/>
        <w:spacing w:before="1"/>
      </w:pPr>
    </w:p>
    <w:p>
      <w:pPr>
        <w:pStyle w:val="ListParagraph"/>
        <w:numPr>
          <w:ilvl w:val="0"/>
          <w:numId w:val="2"/>
        </w:numPr>
        <w:tabs>
          <w:tab w:pos="1133" w:val="left" w:leader="none"/>
          <w:tab w:pos="1135" w:val="left" w:leader="none"/>
        </w:tabs>
        <w:spacing w:line="271" w:lineRule="auto" w:before="0" w:after="0"/>
        <w:ind w:left="1135" w:right="1090" w:hanging="284"/>
        <w:jc w:val="left"/>
        <w:rPr>
          <w:rFonts w:ascii="Symbol" w:hAnsi="Symbol"/>
          <w:sz w:val="20"/>
        </w:rPr>
      </w:pPr>
      <w:r>
        <w:rPr>
          <w:sz w:val="20"/>
        </w:rPr>
        <w:t>Links</w:t>
      </w:r>
      <w:r>
        <w:rPr>
          <w:spacing w:val="-5"/>
          <w:sz w:val="20"/>
        </w:rPr>
        <w:t> </w:t>
      </w:r>
      <w:r>
        <w:rPr>
          <w:sz w:val="20"/>
        </w:rPr>
        <w:t>with</w:t>
      </w:r>
      <w:r>
        <w:rPr>
          <w:spacing w:val="-4"/>
          <w:sz w:val="20"/>
        </w:rPr>
        <w:t> </w:t>
      </w:r>
      <w:r>
        <w:rPr>
          <w:sz w:val="20"/>
        </w:rPr>
        <w:t>the</w:t>
      </w:r>
      <w:r>
        <w:rPr>
          <w:spacing w:val="-4"/>
          <w:sz w:val="20"/>
        </w:rPr>
        <w:t> </w:t>
      </w:r>
      <w:r>
        <w:rPr>
          <w:sz w:val="20"/>
        </w:rPr>
        <w:t>renewable</w:t>
      </w:r>
      <w:r>
        <w:rPr>
          <w:spacing w:val="-4"/>
          <w:sz w:val="20"/>
        </w:rPr>
        <w:t> </w:t>
      </w:r>
      <w:r>
        <w:rPr>
          <w:sz w:val="20"/>
        </w:rPr>
        <w:t>energy</w:t>
      </w:r>
      <w:r>
        <w:rPr>
          <w:spacing w:val="-5"/>
          <w:sz w:val="20"/>
        </w:rPr>
        <w:t> </w:t>
      </w:r>
      <w:r>
        <w:rPr>
          <w:sz w:val="20"/>
        </w:rPr>
        <w:t>sector</w:t>
      </w:r>
      <w:r>
        <w:rPr>
          <w:spacing w:val="-4"/>
          <w:sz w:val="20"/>
        </w:rPr>
        <w:t> </w:t>
      </w:r>
      <w:r>
        <w:rPr>
          <w:sz w:val="20"/>
        </w:rPr>
        <w:t>directly</w:t>
      </w:r>
      <w:r>
        <w:rPr>
          <w:spacing w:val="-5"/>
          <w:sz w:val="20"/>
        </w:rPr>
        <w:t> </w:t>
      </w:r>
      <w:r>
        <w:rPr>
          <w:sz w:val="20"/>
        </w:rPr>
        <w:t>shape</w:t>
      </w:r>
      <w:r>
        <w:rPr>
          <w:spacing w:val="-4"/>
          <w:sz w:val="20"/>
        </w:rPr>
        <w:t> </w:t>
      </w:r>
      <w:r>
        <w:rPr>
          <w:sz w:val="20"/>
        </w:rPr>
        <w:t>the</w:t>
      </w:r>
      <w:r>
        <w:rPr>
          <w:spacing w:val="-7"/>
          <w:sz w:val="20"/>
        </w:rPr>
        <w:t> </w:t>
      </w:r>
      <w:r>
        <w:rPr>
          <w:sz w:val="20"/>
        </w:rPr>
        <w:t>College's</w:t>
      </w:r>
      <w:r>
        <w:rPr>
          <w:spacing w:val="-5"/>
          <w:sz w:val="20"/>
        </w:rPr>
        <w:t> </w:t>
      </w:r>
      <w:r>
        <w:rPr>
          <w:sz w:val="20"/>
        </w:rPr>
        <w:t>focus</w:t>
      </w:r>
      <w:r>
        <w:rPr>
          <w:spacing w:val="-4"/>
          <w:sz w:val="20"/>
        </w:rPr>
        <w:t> </w:t>
      </w:r>
      <w:r>
        <w:rPr>
          <w:sz w:val="20"/>
        </w:rPr>
        <w:t>on</w:t>
      </w:r>
      <w:r>
        <w:rPr>
          <w:spacing w:val="-4"/>
          <w:sz w:val="20"/>
        </w:rPr>
        <w:t> </w:t>
      </w:r>
      <w:r>
        <w:rPr>
          <w:sz w:val="20"/>
        </w:rPr>
        <w:t>technician</w:t>
      </w:r>
      <w:r>
        <w:rPr>
          <w:spacing w:val="-7"/>
          <w:sz w:val="20"/>
        </w:rPr>
        <w:t> </w:t>
      </w:r>
      <w:r>
        <w:rPr>
          <w:sz w:val="20"/>
        </w:rPr>
        <w:t>training to meet demands for major projects like the decarbonisation of the Humber Region.</w:t>
      </w:r>
    </w:p>
    <w:p>
      <w:pPr>
        <w:pStyle w:val="ListParagraph"/>
        <w:numPr>
          <w:ilvl w:val="0"/>
          <w:numId w:val="2"/>
        </w:numPr>
        <w:tabs>
          <w:tab w:pos="1134" w:val="left" w:leader="none"/>
        </w:tabs>
        <w:spacing w:line="240" w:lineRule="auto" w:before="6" w:after="0"/>
        <w:ind w:left="1134" w:right="0" w:hanging="282"/>
        <w:jc w:val="left"/>
        <w:rPr>
          <w:rFonts w:ascii="Symbol" w:hAnsi="Symbol"/>
          <w:sz w:val="20"/>
        </w:rPr>
      </w:pPr>
      <w:r>
        <w:rPr>
          <w:sz w:val="20"/>
        </w:rPr>
        <w:t>Hobson</w:t>
      </w:r>
      <w:r>
        <w:rPr>
          <w:spacing w:val="-6"/>
          <w:sz w:val="20"/>
        </w:rPr>
        <w:t> </w:t>
      </w:r>
      <w:r>
        <w:rPr>
          <w:sz w:val="20"/>
        </w:rPr>
        <w:t>&amp;</w:t>
      </w:r>
      <w:r>
        <w:rPr>
          <w:spacing w:val="-6"/>
          <w:sz w:val="20"/>
        </w:rPr>
        <w:t> </w:t>
      </w:r>
      <w:r>
        <w:rPr>
          <w:sz w:val="20"/>
        </w:rPr>
        <w:t>Porter</w:t>
      </w:r>
      <w:r>
        <w:rPr>
          <w:spacing w:val="-7"/>
          <w:sz w:val="20"/>
        </w:rPr>
        <w:t> </w:t>
      </w:r>
      <w:r>
        <w:rPr>
          <w:sz w:val="20"/>
        </w:rPr>
        <w:t>steer</w:t>
      </w:r>
      <w:r>
        <w:rPr>
          <w:spacing w:val="-7"/>
          <w:sz w:val="20"/>
        </w:rPr>
        <w:t> </w:t>
      </w:r>
      <w:r>
        <w:rPr>
          <w:sz w:val="20"/>
        </w:rPr>
        <w:t>provision</w:t>
      </w:r>
      <w:r>
        <w:rPr>
          <w:spacing w:val="-5"/>
          <w:sz w:val="20"/>
        </w:rPr>
        <w:t> </w:t>
      </w:r>
      <w:r>
        <w:rPr>
          <w:sz w:val="20"/>
        </w:rPr>
        <w:t>in</w:t>
      </w:r>
      <w:r>
        <w:rPr>
          <w:spacing w:val="-6"/>
          <w:sz w:val="20"/>
        </w:rPr>
        <w:t> </w:t>
      </w:r>
      <w:r>
        <w:rPr>
          <w:sz w:val="20"/>
        </w:rPr>
        <w:t>Construction</w:t>
      </w:r>
      <w:r>
        <w:rPr>
          <w:spacing w:val="-6"/>
          <w:sz w:val="20"/>
        </w:rPr>
        <w:t> </w:t>
      </w:r>
      <w:r>
        <w:rPr>
          <w:sz w:val="20"/>
        </w:rPr>
        <w:t>and</w:t>
      </w:r>
      <w:r>
        <w:rPr>
          <w:spacing w:val="-8"/>
          <w:sz w:val="20"/>
        </w:rPr>
        <w:t> </w:t>
      </w:r>
      <w:r>
        <w:rPr>
          <w:spacing w:val="-2"/>
          <w:sz w:val="20"/>
        </w:rPr>
        <w:t>Engineering.</w:t>
      </w:r>
    </w:p>
    <w:p>
      <w:pPr>
        <w:pStyle w:val="ListParagraph"/>
        <w:numPr>
          <w:ilvl w:val="0"/>
          <w:numId w:val="2"/>
        </w:numPr>
        <w:tabs>
          <w:tab w:pos="1134" w:val="left" w:leader="none"/>
        </w:tabs>
        <w:spacing w:line="240" w:lineRule="auto" w:before="33" w:after="0"/>
        <w:ind w:left="1134" w:right="0" w:hanging="282"/>
        <w:jc w:val="left"/>
        <w:rPr>
          <w:rFonts w:ascii="Symbol" w:hAnsi="Symbol"/>
          <w:sz w:val="20"/>
        </w:rPr>
      </w:pPr>
      <w:r>
        <w:rPr>
          <w:sz w:val="20"/>
        </w:rPr>
        <w:t>Humberside</w:t>
      </w:r>
      <w:r>
        <w:rPr>
          <w:spacing w:val="-9"/>
          <w:sz w:val="20"/>
        </w:rPr>
        <w:t> </w:t>
      </w:r>
      <w:r>
        <w:rPr>
          <w:sz w:val="20"/>
        </w:rPr>
        <w:t>Police</w:t>
      </w:r>
      <w:r>
        <w:rPr>
          <w:spacing w:val="-8"/>
          <w:sz w:val="20"/>
        </w:rPr>
        <w:t> </w:t>
      </w:r>
      <w:r>
        <w:rPr>
          <w:sz w:val="20"/>
        </w:rPr>
        <w:t>influence</w:t>
      </w:r>
      <w:r>
        <w:rPr>
          <w:spacing w:val="-9"/>
          <w:sz w:val="20"/>
        </w:rPr>
        <w:t> </w:t>
      </w:r>
      <w:r>
        <w:rPr>
          <w:sz w:val="20"/>
        </w:rPr>
        <w:t>our</w:t>
      </w:r>
      <w:r>
        <w:rPr>
          <w:spacing w:val="-7"/>
          <w:sz w:val="20"/>
        </w:rPr>
        <w:t> </w:t>
      </w:r>
      <w:r>
        <w:rPr>
          <w:sz w:val="20"/>
        </w:rPr>
        <w:t>Public</w:t>
      </w:r>
      <w:r>
        <w:rPr>
          <w:spacing w:val="-7"/>
          <w:sz w:val="20"/>
        </w:rPr>
        <w:t> </w:t>
      </w:r>
      <w:r>
        <w:rPr>
          <w:sz w:val="20"/>
        </w:rPr>
        <w:t>Services</w:t>
      </w:r>
      <w:r>
        <w:rPr>
          <w:spacing w:val="-9"/>
          <w:sz w:val="20"/>
        </w:rPr>
        <w:t> </w:t>
      </w:r>
      <w:r>
        <w:rPr>
          <w:sz w:val="20"/>
        </w:rPr>
        <w:t>and</w:t>
      </w:r>
      <w:r>
        <w:rPr>
          <w:spacing w:val="-8"/>
          <w:sz w:val="20"/>
        </w:rPr>
        <w:t> </w:t>
      </w:r>
      <w:r>
        <w:rPr>
          <w:sz w:val="20"/>
        </w:rPr>
        <w:t>Criminology</w:t>
      </w:r>
      <w:r>
        <w:rPr>
          <w:spacing w:val="-9"/>
          <w:sz w:val="20"/>
        </w:rPr>
        <w:t> </w:t>
      </w:r>
      <w:r>
        <w:rPr>
          <w:spacing w:val="-2"/>
          <w:sz w:val="20"/>
        </w:rPr>
        <w:t>curriculum.</w:t>
      </w:r>
    </w:p>
    <w:p>
      <w:pPr>
        <w:pStyle w:val="ListParagraph"/>
        <w:numPr>
          <w:ilvl w:val="0"/>
          <w:numId w:val="2"/>
        </w:numPr>
        <w:tabs>
          <w:tab w:pos="1133" w:val="left" w:leader="none"/>
          <w:tab w:pos="1135" w:val="left" w:leader="none"/>
        </w:tabs>
        <w:spacing w:line="271" w:lineRule="auto" w:before="31" w:after="0"/>
        <w:ind w:left="1135" w:right="1090" w:hanging="284"/>
        <w:jc w:val="left"/>
        <w:rPr>
          <w:rFonts w:ascii="Symbol" w:hAnsi="Symbol"/>
          <w:sz w:val="20"/>
        </w:rPr>
      </w:pPr>
      <w:r>
        <w:rPr>
          <w:sz w:val="20"/>
        </w:rPr>
        <w:t>DWP</w:t>
      </w:r>
      <w:r>
        <w:rPr>
          <w:spacing w:val="-3"/>
          <w:sz w:val="20"/>
        </w:rPr>
        <w:t> </w:t>
      </w:r>
      <w:r>
        <w:rPr>
          <w:sz w:val="20"/>
        </w:rPr>
        <w:t>has</w:t>
      </w:r>
      <w:r>
        <w:rPr>
          <w:spacing w:val="-1"/>
          <w:sz w:val="20"/>
        </w:rPr>
        <w:t> </w:t>
      </w:r>
      <w:r>
        <w:rPr>
          <w:sz w:val="20"/>
        </w:rPr>
        <w:t>collaborated</w:t>
      </w:r>
      <w:r>
        <w:rPr>
          <w:spacing w:val="-3"/>
          <w:sz w:val="20"/>
        </w:rPr>
        <w:t> </w:t>
      </w:r>
      <w:r>
        <w:rPr>
          <w:sz w:val="20"/>
        </w:rPr>
        <w:t>with the</w:t>
      </w:r>
      <w:r>
        <w:rPr>
          <w:spacing w:val="-3"/>
          <w:sz w:val="20"/>
        </w:rPr>
        <w:t> </w:t>
      </w:r>
      <w:r>
        <w:rPr>
          <w:sz w:val="20"/>
        </w:rPr>
        <w:t>college</w:t>
      </w:r>
      <w:r>
        <w:rPr>
          <w:spacing w:val="-3"/>
          <w:sz w:val="20"/>
        </w:rPr>
        <w:t> </w:t>
      </w:r>
      <w:r>
        <w:rPr>
          <w:sz w:val="20"/>
        </w:rPr>
        <w:t>to</w:t>
      </w:r>
      <w:r>
        <w:rPr>
          <w:spacing w:val="-3"/>
          <w:sz w:val="20"/>
        </w:rPr>
        <w:t> </w:t>
      </w:r>
      <w:r>
        <w:rPr>
          <w:sz w:val="20"/>
        </w:rPr>
        <w:t>design</w:t>
      </w:r>
      <w:r>
        <w:rPr>
          <w:spacing w:val="-3"/>
          <w:sz w:val="20"/>
        </w:rPr>
        <w:t> </w:t>
      </w:r>
      <w:r>
        <w:rPr>
          <w:sz w:val="20"/>
        </w:rPr>
        <w:t>programmes</w:t>
      </w:r>
      <w:r>
        <w:rPr>
          <w:spacing w:val="-1"/>
          <w:sz w:val="20"/>
        </w:rPr>
        <w:t> </w:t>
      </w:r>
      <w:r>
        <w:rPr>
          <w:sz w:val="20"/>
        </w:rPr>
        <w:t>preparing</w:t>
      </w:r>
      <w:r>
        <w:rPr>
          <w:spacing w:val="-3"/>
          <w:sz w:val="20"/>
        </w:rPr>
        <w:t> </w:t>
      </w:r>
      <w:r>
        <w:rPr>
          <w:sz w:val="20"/>
        </w:rPr>
        <w:t>unemployed</w:t>
      </w:r>
      <w:r>
        <w:rPr>
          <w:spacing w:val="-3"/>
          <w:sz w:val="20"/>
        </w:rPr>
        <w:t> </w:t>
      </w:r>
      <w:r>
        <w:rPr>
          <w:sz w:val="20"/>
        </w:rPr>
        <w:t>adults</w:t>
      </w:r>
      <w:r>
        <w:rPr>
          <w:spacing w:val="-1"/>
          <w:sz w:val="20"/>
        </w:rPr>
        <w:t> </w:t>
      </w:r>
      <w:r>
        <w:rPr>
          <w:sz w:val="20"/>
        </w:rPr>
        <w:t>for </w:t>
      </w:r>
      <w:r>
        <w:rPr>
          <w:spacing w:val="-2"/>
          <w:sz w:val="20"/>
        </w:rPr>
        <w:t>work.</w:t>
      </w:r>
    </w:p>
    <w:p>
      <w:pPr>
        <w:pStyle w:val="ListParagraph"/>
        <w:numPr>
          <w:ilvl w:val="0"/>
          <w:numId w:val="2"/>
        </w:numPr>
        <w:tabs>
          <w:tab w:pos="1134" w:val="left" w:leader="none"/>
        </w:tabs>
        <w:spacing w:line="240" w:lineRule="auto" w:before="6" w:after="0"/>
        <w:ind w:left="1134" w:right="0" w:hanging="282"/>
        <w:jc w:val="left"/>
        <w:rPr>
          <w:rFonts w:ascii="Symbol" w:hAnsi="Symbol"/>
          <w:sz w:val="20"/>
        </w:rPr>
      </w:pPr>
      <w:r>
        <w:rPr>
          <w:sz w:val="20"/>
        </w:rPr>
        <w:t>The</w:t>
      </w:r>
      <w:r>
        <w:rPr>
          <w:spacing w:val="-8"/>
          <w:sz w:val="20"/>
        </w:rPr>
        <w:t> </w:t>
      </w:r>
      <w:r>
        <w:rPr>
          <w:sz w:val="20"/>
        </w:rPr>
        <w:t>NHS</w:t>
      </w:r>
      <w:r>
        <w:rPr>
          <w:spacing w:val="-9"/>
          <w:sz w:val="20"/>
        </w:rPr>
        <w:t> </w:t>
      </w:r>
      <w:r>
        <w:rPr>
          <w:sz w:val="20"/>
        </w:rPr>
        <w:t>co-design</w:t>
      </w:r>
      <w:r>
        <w:rPr>
          <w:spacing w:val="-6"/>
          <w:sz w:val="20"/>
        </w:rPr>
        <w:t> </w:t>
      </w:r>
      <w:r>
        <w:rPr>
          <w:sz w:val="20"/>
        </w:rPr>
        <w:t>our</w:t>
      </w:r>
      <w:r>
        <w:rPr>
          <w:spacing w:val="-5"/>
          <w:sz w:val="20"/>
        </w:rPr>
        <w:t> </w:t>
      </w:r>
      <w:r>
        <w:rPr>
          <w:sz w:val="20"/>
        </w:rPr>
        <w:t>Senior</w:t>
      </w:r>
      <w:r>
        <w:rPr>
          <w:spacing w:val="-6"/>
          <w:sz w:val="20"/>
        </w:rPr>
        <w:t> </w:t>
      </w:r>
      <w:r>
        <w:rPr>
          <w:sz w:val="20"/>
        </w:rPr>
        <w:t>Healthcare</w:t>
      </w:r>
      <w:r>
        <w:rPr>
          <w:spacing w:val="-6"/>
          <w:sz w:val="20"/>
        </w:rPr>
        <w:t> </w:t>
      </w:r>
      <w:r>
        <w:rPr>
          <w:spacing w:val="-2"/>
          <w:sz w:val="20"/>
        </w:rPr>
        <w:t>Programme.</w:t>
      </w:r>
    </w:p>
    <w:p>
      <w:pPr>
        <w:pStyle w:val="ListParagraph"/>
        <w:numPr>
          <w:ilvl w:val="0"/>
          <w:numId w:val="2"/>
        </w:numPr>
        <w:tabs>
          <w:tab w:pos="1134" w:val="left" w:leader="none"/>
        </w:tabs>
        <w:spacing w:line="240" w:lineRule="auto" w:before="34" w:after="0"/>
        <w:ind w:left="1134" w:right="0" w:hanging="282"/>
        <w:jc w:val="left"/>
        <w:rPr>
          <w:rFonts w:ascii="Symbol" w:hAnsi="Symbol"/>
          <w:sz w:val="20"/>
        </w:rPr>
      </w:pPr>
      <w:r>
        <w:rPr>
          <w:sz w:val="20"/>
        </w:rPr>
        <w:t>Toyota</w:t>
      </w:r>
      <w:r>
        <w:rPr>
          <w:spacing w:val="-8"/>
          <w:sz w:val="20"/>
        </w:rPr>
        <w:t> </w:t>
      </w:r>
      <w:r>
        <w:rPr>
          <w:sz w:val="20"/>
        </w:rPr>
        <w:t>support</w:t>
      </w:r>
      <w:r>
        <w:rPr>
          <w:spacing w:val="-7"/>
          <w:sz w:val="20"/>
        </w:rPr>
        <w:t> </w:t>
      </w:r>
      <w:r>
        <w:rPr>
          <w:sz w:val="20"/>
        </w:rPr>
        <w:t>co-design</w:t>
      </w:r>
      <w:r>
        <w:rPr>
          <w:spacing w:val="-5"/>
          <w:sz w:val="20"/>
        </w:rPr>
        <w:t> </w:t>
      </w:r>
      <w:r>
        <w:rPr>
          <w:sz w:val="20"/>
        </w:rPr>
        <w:t>on</w:t>
      </w:r>
      <w:r>
        <w:rPr>
          <w:spacing w:val="-8"/>
          <w:sz w:val="20"/>
        </w:rPr>
        <w:t> </w:t>
      </w:r>
      <w:r>
        <w:rPr>
          <w:sz w:val="20"/>
        </w:rPr>
        <w:t>motor</w:t>
      </w:r>
      <w:r>
        <w:rPr>
          <w:spacing w:val="-6"/>
          <w:sz w:val="20"/>
        </w:rPr>
        <w:t> </w:t>
      </w:r>
      <w:r>
        <w:rPr>
          <w:sz w:val="20"/>
        </w:rPr>
        <w:t>vehicle</w:t>
      </w:r>
      <w:r>
        <w:rPr>
          <w:spacing w:val="-6"/>
          <w:sz w:val="20"/>
        </w:rPr>
        <w:t> </w:t>
      </w:r>
      <w:r>
        <w:rPr>
          <w:spacing w:val="-2"/>
          <w:sz w:val="20"/>
        </w:rPr>
        <w:t>programmes.</w:t>
      </w:r>
    </w:p>
    <w:p>
      <w:pPr>
        <w:pStyle w:val="ListParagraph"/>
        <w:numPr>
          <w:ilvl w:val="0"/>
          <w:numId w:val="2"/>
        </w:numPr>
        <w:tabs>
          <w:tab w:pos="1134" w:val="left" w:leader="none"/>
        </w:tabs>
        <w:spacing w:line="240" w:lineRule="auto" w:before="33" w:after="0"/>
        <w:ind w:left="1134" w:right="0" w:hanging="282"/>
        <w:jc w:val="left"/>
        <w:rPr>
          <w:rFonts w:ascii="Symbol" w:hAnsi="Symbol"/>
          <w:sz w:val="20"/>
        </w:rPr>
      </w:pPr>
      <w:r>
        <w:rPr>
          <w:sz w:val="20"/>
        </w:rPr>
        <w:t>Hull</w:t>
      </w:r>
      <w:r>
        <w:rPr>
          <w:spacing w:val="-9"/>
          <w:sz w:val="20"/>
        </w:rPr>
        <w:t> </w:t>
      </w:r>
      <w:r>
        <w:rPr>
          <w:sz w:val="20"/>
        </w:rPr>
        <w:t>City</w:t>
      </w:r>
      <w:r>
        <w:rPr>
          <w:spacing w:val="-6"/>
          <w:sz w:val="20"/>
        </w:rPr>
        <w:t> </w:t>
      </w:r>
      <w:r>
        <w:rPr>
          <w:sz w:val="20"/>
        </w:rPr>
        <w:t>Council</w:t>
      </w:r>
      <w:r>
        <w:rPr>
          <w:spacing w:val="-6"/>
          <w:sz w:val="20"/>
        </w:rPr>
        <w:t> </w:t>
      </w:r>
      <w:r>
        <w:rPr>
          <w:sz w:val="20"/>
        </w:rPr>
        <w:t>influence</w:t>
      </w:r>
      <w:r>
        <w:rPr>
          <w:spacing w:val="-6"/>
          <w:sz w:val="20"/>
        </w:rPr>
        <w:t> </w:t>
      </w:r>
      <w:r>
        <w:rPr>
          <w:sz w:val="20"/>
        </w:rPr>
        <w:t>out</w:t>
      </w:r>
      <w:r>
        <w:rPr>
          <w:spacing w:val="-7"/>
          <w:sz w:val="20"/>
        </w:rPr>
        <w:t> </w:t>
      </w:r>
      <w:r>
        <w:rPr>
          <w:sz w:val="20"/>
        </w:rPr>
        <w:t>early</w:t>
      </w:r>
      <w:r>
        <w:rPr>
          <w:spacing w:val="-6"/>
          <w:sz w:val="20"/>
        </w:rPr>
        <w:t> </w:t>
      </w:r>
      <w:r>
        <w:rPr>
          <w:sz w:val="20"/>
        </w:rPr>
        <w:t>years</w:t>
      </w:r>
      <w:r>
        <w:rPr>
          <w:spacing w:val="-6"/>
          <w:sz w:val="20"/>
        </w:rPr>
        <w:t> </w:t>
      </w:r>
      <w:r>
        <w:rPr>
          <w:sz w:val="20"/>
        </w:rPr>
        <w:t>curriculum</w:t>
      </w:r>
      <w:r>
        <w:rPr>
          <w:spacing w:val="-6"/>
          <w:sz w:val="20"/>
        </w:rPr>
        <w:t> </w:t>
      </w:r>
      <w:r>
        <w:rPr>
          <w:sz w:val="20"/>
        </w:rPr>
        <w:t>and</w:t>
      </w:r>
      <w:r>
        <w:rPr>
          <w:spacing w:val="-7"/>
          <w:sz w:val="20"/>
        </w:rPr>
        <w:t> </w:t>
      </w:r>
      <w:r>
        <w:rPr>
          <w:sz w:val="20"/>
        </w:rPr>
        <w:t>curriculum</w:t>
      </w:r>
      <w:r>
        <w:rPr>
          <w:spacing w:val="-7"/>
          <w:sz w:val="20"/>
        </w:rPr>
        <w:t> </w:t>
      </w:r>
      <w:r>
        <w:rPr>
          <w:sz w:val="20"/>
        </w:rPr>
        <w:t>for</w:t>
      </w:r>
      <w:r>
        <w:rPr>
          <w:spacing w:val="-5"/>
          <w:sz w:val="20"/>
        </w:rPr>
        <w:t> </w:t>
      </w:r>
      <w:r>
        <w:rPr>
          <w:sz w:val="20"/>
        </w:rPr>
        <w:t>SEND</w:t>
      </w:r>
      <w:r>
        <w:rPr>
          <w:spacing w:val="-7"/>
          <w:sz w:val="20"/>
        </w:rPr>
        <w:t> </w:t>
      </w:r>
      <w:r>
        <w:rPr>
          <w:spacing w:val="-2"/>
          <w:sz w:val="20"/>
        </w:rPr>
        <w:t>learners.</w:t>
      </w:r>
    </w:p>
    <w:p>
      <w:pPr>
        <w:pStyle w:val="ListParagraph"/>
        <w:numPr>
          <w:ilvl w:val="0"/>
          <w:numId w:val="2"/>
        </w:numPr>
        <w:tabs>
          <w:tab w:pos="1133" w:val="left" w:leader="none"/>
          <w:tab w:pos="1135" w:val="left" w:leader="none"/>
        </w:tabs>
        <w:spacing w:line="271" w:lineRule="auto" w:before="33" w:after="0"/>
        <w:ind w:left="1135" w:right="1089" w:hanging="284"/>
        <w:jc w:val="left"/>
        <w:rPr>
          <w:rFonts w:ascii="Symbol" w:hAnsi="Symbol"/>
          <w:sz w:val="20"/>
        </w:rPr>
      </w:pPr>
      <w:r>
        <w:rPr>
          <w:sz w:val="20"/>
        </w:rPr>
        <w:t>The</w:t>
      </w:r>
      <w:r>
        <w:rPr>
          <w:spacing w:val="35"/>
          <w:sz w:val="20"/>
        </w:rPr>
        <w:t> </w:t>
      </w:r>
      <w:r>
        <w:rPr>
          <w:sz w:val="20"/>
        </w:rPr>
        <w:t>Double</w:t>
      </w:r>
      <w:r>
        <w:rPr>
          <w:spacing w:val="35"/>
          <w:sz w:val="20"/>
        </w:rPr>
        <w:t> </w:t>
      </w:r>
      <w:r>
        <w:rPr>
          <w:sz w:val="20"/>
        </w:rPr>
        <w:t>Tree</w:t>
      </w:r>
      <w:r>
        <w:rPr>
          <w:spacing w:val="35"/>
          <w:sz w:val="20"/>
        </w:rPr>
        <w:t> </w:t>
      </w:r>
      <w:r>
        <w:rPr>
          <w:sz w:val="20"/>
        </w:rPr>
        <w:t>by</w:t>
      </w:r>
      <w:r>
        <w:rPr>
          <w:spacing w:val="36"/>
          <w:sz w:val="20"/>
        </w:rPr>
        <w:t> </w:t>
      </w:r>
      <w:r>
        <w:rPr>
          <w:sz w:val="20"/>
        </w:rPr>
        <w:t>Hilton</w:t>
      </w:r>
      <w:r>
        <w:rPr>
          <w:spacing w:val="35"/>
          <w:sz w:val="20"/>
        </w:rPr>
        <w:t> </w:t>
      </w:r>
      <w:r>
        <w:rPr>
          <w:sz w:val="20"/>
        </w:rPr>
        <w:t>are</w:t>
      </w:r>
      <w:r>
        <w:rPr>
          <w:spacing w:val="35"/>
          <w:sz w:val="20"/>
        </w:rPr>
        <w:t> </w:t>
      </w:r>
      <w:r>
        <w:rPr>
          <w:sz w:val="20"/>
        </w:rPr>
        <w:t>embarking</w:t>
      </w:r>
      <w:r>
        <w:rPr>
          <w:spacing w:val="35"/>
          <w:sz w:val="20"/>
        </w:rPr>
        <w:t> </w:t>
      </w:r>
      <w:r>
        <w:rPr>
          <w:sz w:val="20"/>
        </w:rPr>
        <w:t>on</w:t>
      </w:r>
      <w:r>
        <w:rPr>
          <w:spacing w:val="35"/>
          <w:sz w:val="20"/>
        </w:rPr>
        <w:t> </w:t>
      </w:r>
      <w:r>
        <w:rPr>
          <w:sz w:val="20"/>
        </w:rPr>
        <w:t>a</w:t>
      </w:r>
      <w:r>
        <w:rPr>
          <w:spacing w:val="35"/>
          <w:sz w:val="20"/>
        </w:rPr>
        <w:t> </w:t>
      </w:r>
      <w:r>
        <w:rPr>
          <w:sz w:val="20"/>
        </w:rPr>
        <w:t>journey</w:t>
      </w:r>
      <w:r>
        <w:rPr>
          <w:spacing w:val="36"/>
          <w:sz w:val="20"/>
        </w:rPr>
        <w:t> </w:t>
      </w:r>
      <w:r>
        <w:rPr>
          <w:sz w:val="20"/>
        </w:rPr>
        <w:t>to</w:t>
      </w:r>
      <w:r>
        <w:rPr>
          <w:spacing w:val="35"/>
          <w:sz w:val="20"/>
        </w:rPr>
        <w:t> </w:t>
      </w:r>
      <w:r>
        <w:rPr>
          <w:sz w:val="20"/>
        </w:rPr>
        <w:t>design</w:t>
      </w:r>
      <w:r>
        <w:rPr>
          <w:spacing w:val="37"/>
          <w:sz w:val="20"/>
        </w:rPr>
        <w:t> </w:t>
      </w:r>
      <w:r>
        <w:rPr>
          <w:sz w:val="20"/>
        </w:rPr>
        <w:t>a</w:t>
      </w:r>
      <w:r>
        <w:rPr>
          <w:spacing w:val="35"/>
          <w:sz w:val="20"/>
        </w:rPr>
        <w:t> </w:t>
      </w:r>
      <w:r>
        <w:rPr>
          <w:sz w:val="20"/>
        </w:rPr>
        <w:t>hospitality</w:t>
      </w:r>
      <w:r>
        <w:rPr>
          <w:spacing w:val="36"/>
          <w:sz w:val="20"/>
        </w:rPr>
        <w:t> </w:t>
      </w:r>
      <w:r>
        <w:rPr>
          <w:sz w:val="20"/>
        </w:rPr>
        <w:t>and</w:t>
      </w:r>
      <w:r>
        <w:rPr>
          <w:spacing w:val="35"/>
          <w:sz w:val="20"/>
        </w:rPr>
        <w:t> </w:t>
      </w:r>
      <w:r>
        <w:rPr>
          <w:sz w:val="20"/>
        </w:rPr>
        <w:t>events management programme.</w:t>
      </w:r>
    </w:p>
    <w:p>
      <w:pPr>
        <w:pStyle w:val="ListParagraph"/>
        <w:numPr>
          <w:ilvl w:val="0"/>
          <w:numId w:val="2"/>
        </w:numPr>
        <w:tabs>
          <w:tab w:pos="1133" w:val="left" w:leader="none"/>
          <w:tab w:pos="1135" w:val="left" w:leader="none"/>
        </w:tabs>
        <w:spacing w:line="271" w:lineRule="auto" w:before="6" w:after="0"/>
        <w:ind w:left="1135" w:right="1087" w:hanging="284"/>
        <w:jc w:val="left"/>
        <w:rPr>
          <w:rFonts w:ascii="Symbol" w:hAnsi="Symbol"/>
          <w:sz w:val="20"/>
        </w:rPr>
      </w:pPr>
      <w:r>
        <w:rPr>
          <w:sz w:val="20"/>
        </w:rPr>
        <w:t>Employers</w:t>
      </w:r>
      <w:r>
        <w:rPr>
          <w:spacing w:val="-7"/>
          <w:sz w:val="20"/>
        </w:rPr>
        <w:t> </w:t>
      </w:r>
      <w:r>
        <w:rPr>
          <w:sz w:val="20"/>
        </w:rPr>
        <w:t>actively</w:t>
      </w:r>
      <w:r>
        <w:rPr>
          <w:spacing w:val="-7"/>
          <w:sz w:val="20"/>
        </w:rPr>
        <w:t> </w:t>
      </w:r>
      <w:r>
        <w:rPr>
          <w:sz w:val="20"/>
        </w:rPr>
        <w:t>co-deliver</w:t>
      </w:r>
      <w:r>
        <w:rPr>
          <w:spacing w:val="-8"/>
          <w:sz w:val="20"/>
        </w:rPr>
        <w:t> </w:t>
      </w:r>
      <w:r>
        <w:rPr>
          <w:sz w:val="20"/>
        </w:rPr>
        <w:t>parts</w:t>
      </w:r>
      <w:r>
        <w:rPr>
          <w:spacing w:val="-7"/>
          <w:sz w:val="20"/>
        </w:rPr>
        <w:t> </w:t>
      </w:r>
      <w:r>
        <w:rPr>
          <w:sz w:val="20"/>
        </w:rPr>
        <w:t>of</w:t>
      </w:r>
      <w:r>
        <w:rPr>
          <w:spacing w:val="-9"/>
          <w:sz w:val="20"/>
        </w:rPr>
        <w:t> </w:t>
      </w:r>
      <w:r>
        <w:rPr>
          <w:sz w:val="20"/>
        </w:rPr>
        <w:t>the</w:t>
      </w:r>
      <w:r>
        <w:rPr>
          <w:spacing w:val="-9"/>
          <w:sz w:val="20"/>
        </w:rPr>
        <w:t> </w:t>
      </w:r>
      <w:r>
        <w:rPr>
          <w:sz w:val="20"/>
        </w:rPr>
        <w:t>curriculum</w:t>
      </w:r>
      <w:r>
        <w:rPr>
          <w:spacing w:val="-9"/>
          <w:sz w:val="20"/>
        </w:rPr>
        <w:t> </w:t>
      </w:r>
      <w:r>
        <w:rPr>
          <w:sz w:val="20"/>
        </w:rPr>
        <w:t>by</w:t>
      </w:r>
      <w:r>
        <w:rPr>
          <w:spacing w:val="-7"/>
          <w:sz w:val="20"/>
        </w:rPr>
        <w:t> </w:t>
      </w:r>
      <w:r>
        <w:rPr>
          <w:sz w:val="20"/>
        </w:rPr>
        <w:t>participating</w:t>
      </w:r>
      <w:r>
        <w:rPr>
          <w:spacing w:val="-7"/>
          <w:sz w:val="20"/>
        </w:rPr>
        <w:t> </w:t>
      </w:r>
      <w:r>
        <w:rPr>
          <w:sz w:val="20"/>
        </w:rPr>
        <w:t>regularly</w:t>
      </w:r>
      <w:r>
        <w:rPr>
          <w:spacing w:val="-7"/>
          <w:sz w:val="20"/>
        </w:rPr>
        <w:t> </w:t>
      </w:r>
      <w:r>
        <w:rPr>
          <w:sz w:val="20"/>
        </w:rPr>
        <w:t>in</w:t>
      </w:r>
      <w:r>
        <w:rPr>
          <w:spacing w:val="-9"/>
          <w:sz w:val="20"/>
        </w:rPr>
        <w:t> </w:t>
      </w:r>
      <w:r>
        <w:rPr>
          <w:sz w:val="20"/>
        </w:rPr>
        <w:t>workshops</w:t>
      </w:r>
      <w:r>
        <w:rPr>
          <w:spacing w:val="-7"/>
          <w:sz w:val="20"/>
        </w:rPr>
        <w:t> </w:t>
      </w:r>
      <w:r>
        <w:rPr>
          <w:sz w:val="20"/>
        </w:rPr>
        <w:t>and guest lectures – this is extensive and commonplace.</w:t>
      </w:r>
    </w:p>
    <w:p>
      <w:pPr>
        <w:pStyle w:val="ListParagraph"/>
        <w:numPr>
          <w:ilvl w:val="0"/>
          <w:numId w:val="2"/>
        </w:numPr>
        <w:tabs>
          <w:tab w:pos="1133" w:val="left" w:leader="none"/>
          <w:tab w:pos="1135" w:val="left" w:leader="none"/>
        </w:tabs>
        <w:spacing w:line="271" w:lineRule="auto" w:before="6" w:after="0"/>
        <w:ind w:left="1135" w:right="1087" w:hanging="284"/>
        <w:jc w:val="left"/>
        <w:rPr>
          <w:rFonts w:ascii="Symbol" w:hAnsi="Symbol"/>
          <w:sz w:val="20"/>
        </w:rPr>
      </w:pPr>
      <w:r>
        <w:rPr>
          <w:sz w:val="20"/>
        </w:rPr>
        <w:t>KCOM</w:t>
      </w:r>
      <w:r>
        <w:rPr>
          <w:spacing w:val="-10"/>
          <w:sz w:val="20"/>
        </w:rPr>
        <w:t> </w:t>
      </w:r>
      <w:r>
        <w:rPr>
          <w:sz w:val="20"/>
        </w:rPr>
        <w:t>have</w:t>
      </w:r>
      <w:r>
        <w:rPr>
          <w:spacing w:val="-10"/>
          <w:sz w:val="20"/>
        </w:rPr>
        <w:t> </w:t>
      </w:r>
      <w:r>
        <w:rPr>
          <w:sz w:val="20"/>
        </w:rPr>
        <w:t>co-designed</w:t>
      </w:r>
      <w:r>
        <w:rPr>
          <w:spacing w:val="-10"/>
          <w:sz w:val="20"/>
        </w:rPr>
        <w:t> </w:t>
      </w:r>
      <w:r>
        <w:rPr>
          <w:sz w:val="20"/>
        </w:rPr>
        <w:t>apprenticeships</w:t>
      </w:r>
      <w:r>
        <w:rPr>
          <w:spacing w:val="-11"/>
          <w:sz w:val="20"/>
        </w:rPr>
        <w:t> </w:t>
      </w:r>
      <w:r>
        <w:rPr>
          <w:sz w:val="20"/>
        </w:rPr>
        <w:t>and</w:t>
      </w:r>
      <w:r>
        <w:rPr>
          <w:spacing w:val="-10"/>
          <w:sz w:val="20"/>
        </w:rPr>
        <w:t> </w:t>
      </w:r>
      <w:r>
        <w:rPr>
          <w:sz w:val="20"/>
        </w:rPr>
        <w:t>SWAPs</w:t>
      </w:r>
      <w:r>
        <w:rPr>
          <w:spacing w:val="-8"/>
          <w:sz w:val="20"/>
        </w:rPr>
        <w:t> </w:t>
      </w:r>
      <w:r>
        <w:rPr>
          <w:sz w:val="20"/>
        </w:rPr>
        <w:t>to</w:t>
      </w:r>
      <w:r>
        <w:rPr>
          <w:spacing w:val="-10"/>
          <w:sz w:val="20"/>
        </w:rPr>
        <w:t> </w:t>
      </w:r>
      <w:r>
        <w:rPr>
          <w:sz w:val="20"/>
        </w:rPr>
        <w:t>include</w:t>
      </w:r>
      <w:r>
        <w:rPr>
          <w:spacing w:val="-12"/>
          <w:sz w:val="20"/>
        </w:rPr>
        <w:t> </w:t>
      </w:r>
      <w:r>
        <w:rPr>
          <w:sz w:val="20"/>
        </w:rPr>
        <w:t>blended</w:t>
      </w:r>
      <w:r>
        <w:rPr>
          <w:spacing w:val="-10"/>
          <w:sz w:val="20"/>
        </w:rPr>
        <w:t> </w:t>
      </w:r>
      <w:r>
        <w:rPr>
          <w:sz w:val="20"/>
        </w:rPr>
        <w:t>learning</w:t>
      </w:r>
      <w:r>
        <w:rPr>
          <w:spacing w:val="-10"/>
          <w:sz w:val="20"/>
        </w:rPr>
        <w:t> </w:t>
      </w:r>
      <w:r>
        <w:rPr>
          <w:sz w:val="20"/>
        </w:rPr>
        <w:t>opportunities designed for the needs of KCOM specifically.</w:t>
      </w:r>
    </w:p>
    <w:p>
      <w:pPr>
        <w:pStyle w:val="ListParagraph"/>
        <w:spacing w:after="0" w:line="271" w:lineRule="auto"/>
        <w:jc w:val="left"/>
        <w:rPr>
          <w:rFonts w:ascii="Symbol" w:hAnsi="Symbol"/>
          <w:sz w:val="20"/>
        </w:rPr>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Current</w:t>
      </w:r>
      <w:r>
        <w:rPr>
          <w:b/>
          <w:spacing w:val="-7"/>
          <w:sz w:val="24"/>
        </w:rPr>
        <w:t> </w:t>
      </w:r>
      <w:r>
        <w:rPr>
          <w:b/>
          <w:sz w:val="24"/>
        </w:rPr>
        <w:t>and</w:t>
      </w:r>
      <w:r>
        <w:rPr>
          <w:b/>
          <w:spacing w:val="-4"/>
          <w:sz w:val="24"/>
        </w:rPr>
        <w:t> </w:t>
      </w:r>
      <w:r>
        <w:rPr>
          <w:b/>
          <w:sz w:val="24"/>
        </w:rPr>
        <w:t>future</w:t>
      </w:r>
      <w:r>
        <w:rPr>
          <w:b/>
          <w:spacing w:val="-3"/>
          <w:sz w:val="24"/>
        </w:rPr>
        <w:t> </w:t>
      </w:r>
      <w:r>
        <w:rPr>
          <w:b/>
          <w:sz w:val="24"/>
        </w:rPr>
        <w:t>developments</w:t>
      </w:r>
      <w:r>
        <w:rPr>
          <w:b/>
          <w:spacing w:val="-5"/>
          <w:sz w:val="24"/>
        </w:rPr>
        <w:t> </w:t>
      </w:r>
      <w:r>
        <w:rPr>
          <w:b/>
          <w:sz w:val="24"/>
        </w:rPr>
        <w:t>and</w:t>
      </w:r>
      <w:r>
        <w:rPr>
          <w:b/>
          <w:spacing w:val="-4"/>
          <w:sz w:val="24"/>
        </w:rPr>
        <w:t> </w:t>
      </w:r>
      <w:r>
        <w:rPr>
          <w:b/>
          <w:sz w:val="24"/>
        </w:rPr>
        <w:t>performance</w:t>
      </w:r>
      <w:r>
        <w:rPr>
          <w:b/>
          <w:spacing w:val="-2"/>
          <w:sz w:val="24"/>
        </w:rPr>
        <w:t> (continued)</w:t>
      </w:r>
    </w:p>
    <w:p>
      <w:pPr>
        <w:pStyle w:val="ListParagraph"/>
        <w:numPr>
          <w:ilvl w:val="0"/>
          <w:numId w:val="2"/>
        </w:numPr>
        <w:tabs>
          <w:tab w:pos="1133" w:val="left" w:leader="none"/>
          <w:tab w:pos="1135" w:val="left" w:leader="none"/>
        </w:tabs>
        <w:spacing w:line="271" w:lineRule="auto" w:before="264" w:after="0"/>
        <w:ind w:left="1135" w:right="1087" w:hanging="284"/>
        <w:jc w:val="both"/>
        <w:rPr>
          <w:rFonts w:ascii="Symbol" w:hAnsi="Symbol"/>
          <w:sz w:val="20"/>
        </w:rPr>
      </w:pPr>
      <w:r>
        <w:rPr>
          <w:sz w:val="20"/>
        </w:rPr>
        <w:t>Health</w:t>
      </w:r>
      <w:r>
        <w:rPr>
          <w:spacing w:val="-11"/>
          <w:sz w:val="20"/>
        </w:rPr>
        <w:t> </w:t>
      </w:r>
      <w:r>
        <w:rPr>
          <w:sz w:val="20"/>
        </w:rPr>
        <w:t>and</w:t>
      </w:r>
      <w:r>
        <w:rPr>
          <w:spacing w:val="-11"/>
          <w:sz w:val="20"/>
        </w:rPr>
        <w:t> </w:t>
      </w:r>
      <w:r>
        <w:rPr>
          <w:sz w:val="20"/>
        </w:rPr>
        <w:t>social</w:t>
      </w:r>
      <w:r>
        <w:rPr>
          <w:spacing w:val="-13"/>
          <w:sz w:val="20"/>
        </w:rPr>
        <w:t> </w:t>
      </w:r>
      <w:r>
        <w:rPr>
          <w:sz w:val="20"/>
        </w:rPr>
        <w:t>care</w:t>
      </w:r>
      <w:r>
        <w:rPr>
          <w:spacing w:val="-13"/>
          <w:sz w:val="20"/>
        </w:rPr>
        <w:t> </w:t>
      </w:r>
      <w:r>
        <w:rPr>
          <w:sz w:val="20"/>
        </w:rPr>
        <w:t>courses</w:t>
      </w:r>
      <w:r>
        <w:rPr>
          <w:spacing w:val="-12"/>
          <w:sz w:val="20"/>
        </w:rPr>
        <w:t> </w:t>
      </w:r>
      <w:r>
        <w:rPr>
          <w:sz w:val="20"/>
        </w:rPr>
        <w:t>include</w:t>
      </w:r>
      <w:r>
        <w:rPr>
          <w:spacing w:val="-13"/>
          <w:sz w:val="20"/>
        </w:rPr>
        <w:t> </w:t>
      </w:r>
      <w:r>
        <w:rPr>
          <w:sz w:val="20"/>
        </w:rPr>
        <w:t>substance</w:t>
      </w:r>
      <w:r>
        <w:rPr>
          <w:spacing w:val="-11"/>
          <w:sz w:val="20"/>
        </w:rPr>
        <w:t> </w:t>
      </w:r>
      <w:r>
        <w:rPr>
          <w:sz w:val="20"/>
        </w:rPr>
        <w:t>abuse,</w:t>
      </w:r>
      <w:r>
        <w:rPr>
          <w:spacing w:val="-13"/>
          <w:sz w:val="20"/>
        </w:rPr>
        <w:t> </w:t>
      </w:r>
      <w:r>
        <w:rPr>
          <w:sz w:val="20"/>
        </w:rPr>
        <w:t>sexual</w:t>
      </w:r>
      <w:r>
        <w:rPr>
          <w:spacing w:val="-13"/>
          <w:sz w:val="20"/>
        </w:rPr>
        <w:t> </w:t>
      </w:r>
      <w:r>
        <w:rPr>
          <w:sz w:val="20"/>
        </w:rPr>
        <w:t>health</w:t>
      </w:r>
      <w:r>
        <w:rPr>
          <w:spacing w:val="-11"/>
          <w:sz w:val="20"/>
        </w:rPr>
        <w:t> </w:t>
      </w:r>
      <w:r>
        <w:rPr>
          <w:sz w:val="20"/>
        </w:rPr>
        <w:t>and</w:t>
      </w:r>
      <w:r>
        <w:rPr>
          <w:spacing w:val="-11"/>
          <w:sz w:val="20"/>
        </w:rPr>
        <w:t> </w:t>
      </w:r>
      <w:r>
        <w:rPr>
          <w:sz w:val="20"/>
        </w:rPr>
        <w:t>digital</w:t>
      </w:r>
      <w:r>
        <w:rPr>
          <w:spacing w:val="-13"/>
          <w:sz w:val="20"/>
        </w:rPr>
        <w:t> </w:t>
      </w:r>
      <w:r>
        <w:rPr>
          <w:sz w:val="20"/>
        </w:rPr>
        <w:t>for</w:t>
      </w:r>
      <w:r>
        <w:rPr>
          <w:spacing w:val="-13"/>
          <w:sz w:val="20"/>
        </w:rPr>
        <w:t> </w:t>
      </w:r>
      <w:r>
        <w:rPr>
          <w:sz w:val="20"/>
        </w:rPr>
        <w:t>healthcare as advised by the NHS and LMI.</w:t>
      </w:r>
    </w:p>
    <w:p>
      <w:pPr>
        <w:pStyle w:val="ListParagraph"/>
        <w:numPr>
          <w:ilvl w:val="0"/>
          <w:numId w:val="2"/>
        </w:numPr>
        <w:tabs>
          <w:tab w:pos="1133" w:val="left" w:leader="none"/>
          <w:tab w:pos="1135" w:val="left" w:leader="none"/>
        </w:tabs>
        <w:spacing w:line="273" w:lineRule="auto" w:before="6" w:after="0"/>
        <w:ind w:left="1135" w:right="1087" w:hanging="284"/>
        <w:jc w:val="both"/>
        <w:rPr>
          <w:rFonts w:ascii="Symbol" w:hAnsi="Symbol"/>
          <w:sz w:val="20"/>
        </w:rPr>
      </w:pPr>
      <w:r>
        <w:rPr>
          <w:sz w:val="20"/>
        </w:rPr>
        <w:t>Construction curriculum takes advice from Balfour Beatty to introduce Drone technology into curriculum, from which we have built a drone academy in collaboration with the Drone Pilot </w:t>
      </w:r>
      <w:r>
        <w:rPr>
          <w:spacing w:val="-2"/>
          <w:sz w:val="20"/>
        </w:rPr>
        <w:t>Academy.</w:t>
      </w:r>
    </w:p>
    <w:p>
      <w:pPr>
        <w:pStyle w:val="ListParagraph"/>
        <w:numPr>
          <w:ilvl w:val="0"/>
          <w:numId w:val="2"/>
        </w:numPr>
        <w:tabs>
          <w:tab w:pos="1134" w:val="left" w:leader="none"/>
        </w:tabs>
        <w:spacing w:line="240" w:lineRule="auto" w:before="5" w:after="0"/>
        <w:ind w:left="1134" w:right="0" w:hanging="282"/>
        <w:jc w:val="both"/>
        <w:rPr>
          <w:rFonts w:ascii="Symbol" w:hAnsi="Symbol"/>
          <w:sz w:val="20"/>
        </w:rPr>
      </w:pPr>
      <w:r>
        <w:rPr>
          <w:sz w:val="20"/>
        </w:rPr>
        <w:t>The</w:t>
      </w:r>
      <w:r>
        <w:rPr>
          <w:spacing w:val="-7"/>
          <w:sz w:val="20"/>
        </w:rPr>
        <w:t> </w:t>
      </w:r>
      <w:r>
        <w:rPr>
          <w:sz w:val="20"/>
        </w:rPr>
        <w:t>21st</w:t>
      </w:r>
      <w:r>
        <w:rPr>
          <w:spacing w:val="-5"/>
          <w:sz w:val="20"/>
        </w:rPr>
        <w:t> </w:t>
      </w:r>
      <w:r>
        <w:rPr>
          <w:sz w:val="20"/>
        </w:rPr>
        <w:t>Century</w:t>
      </w:r>
      <w:r>
        <w:rPr>
          <w:spacing w:val="-6"/>
          <w:sz w:val="20"/>
        </w:rPr>
        <w:t> </w:t>
      </w:r>
      <w:r>
        <w:rPr>
          <w:sz w:val="20"/>
        </w:rPr>
        <w:t>Skills</w:t>
      </w:r>
      <w:r>
        <w:rPr>
          <w:spacing w:val="-6"/>
          <w:sz w:val="20"/>
        </w:rPr>
        <w:t> </w:t>
      </w:r>
      <w:r>
        <w:rPr>
          <w:sz w:val="20"/>
        </w:rPr>
        <w:t>panel</w:t>
      </w:r>
      <w:r>
        <w:rPr>
          <w:spacing w:val="-7"/>
          <w:sz w:val="20"/>
        </w:rPr>
        <w:t> </w:t>
      </w:r>
      <w:r>
        <w:rPr>
          <w:sz w:val="20"/>
        </w:rPr>
        <w:t>has</w:t>
      </w:r>
      <w:r>
        <w:rPr>
          <w:spacing w:val="-6"/>
          <w:sz w:val="20"/>
        </w:rPr>
        <w:t> </w:t>
      </w:r>
      <w:r>
        <w:rPr>
          <w:sz w:val="20"/>
        </w:rPr>
        <w:t>directly</w:t>
      </w:r>
      <w:r>
        <w:rPr>
          <w:spacing w:val="-6"/>
          <w:sz w:val="20"/>
        </w:rPr>
        <w:t> </w:t>
      </w:r>
      <w:r>
        <w:rPr>
          <w:sz w:val="20"/>
        </w:rPr>
        <w:t>influenced</w:t>
      </w:r>
      <w:r>
        <w:rPr>
          <w:spacing w:val="-6"/>
          <w:sz w:val="20"/>
        </w:rPr>
        <w:t> </w:t>
      </w:r>
      <w:r>
        <w:rPr>
          <w:sz w:val="20"/>
        </w:rPr>
        <w:t>the</w:t>
      </w:r>
      <w:r>
        <w:rPr>
          <w:spacing w:val="-7"/>
          <w:sz w:val="20"/>
        </w:rPr>
        <w:t> </w:t>
      </w:r>
      <w:r>
        <w:rPr>
          <w:sz w:val="20"/>
        </w:rPr>
        <w:t>tutorial</w:t>
      </w:r>
      <w:r>
        <w:rPr>
          <w:spacing w:val="-8"/>
          <w:sz w:val="20"/>
        </w:rPr>
        <w:t> </w:t>
      </w:r>
      <w:r>
        <w:rPr>
          <w:spacing w:val="-2"/>
          <w:sz w:val="20"/>
        </w:rPr>
        <w:t>strategy.</w:t>
      </w:r>
    </w:p>
    <w:p>
      <w:pPr>
        <w:pStyle w:val="BodyText"/>
        <w:spacing w:before="30"/>
      </w:pPr>
    </w:p>
    <w:p>
      <w:pPr>
        <w:pStyle w:val="BodyText"/>
        <w:spacing w:before="1"/>
        <w:ind w:left="852" w:right="1084"/>
        <w:jc w:val="both"/>
      </w:pPr>
      <w:r>
        <w:rPr/>
        <w:t>This comprehensive employer engagement, from high-level stakeholder management to practical course delivery, is pivotal to ensuring provision equips students with skills matched to industry </w:t>
      </w:r>
      <w:r>
        <w:rPr>
          <w:spacing w:val="-2"/>
        </w:rPr>
        <w:t>needs.</w:t>
      </w:r>
    </w:p>
    <w:p>
      <w:pPr>
        <w:pStyle w:val="BodyText"/>
        <w:spacing w:before="229"/>
        <w:ind w:left="852" w:right="1086"/>
        <w:jc w:val="both"/>
      </w:pPr>
      <w:r>
        <w:rPr/>
        <w:t>Core</w:t>
      </w:r>
      <w:r>
        <w:rPr>
          <w:spacing w:val="-4"/>
        </w:rPr>
        <w:t> </w:t>
      </w:r>
      <w:r>
        <w:rPr/>
        <w:t>abilities like English, maths and</w:t>
      </w:r>
      <w:r>
        <w:rPr>
          <w:spacing w:val="-2"/>
        </w:rPr>
        <w:t> </w:t>
      </w:r>
      <w:r>
        <w:rPr/>
        <w:t>work</w:t>
      </w:r>
      <w:r>
        <w:rPr>
          <w:spacing w:val="-3"/>
        </w:rPr>
        <w:t> </w:t>
      </w:r>
      <w:r>
        <w:rPr/>
        <w:t>readiness are</w:t>
      </w:r>
      <w:r>
        <w:rPr>
          <w:spacing w:val="-4"/>
        </w:rPr>
        <w:t> </w:t>
      </w:r>
      <w:r>
        <w:rPr/>
        <w:t>also</w:t>
      </w:r>
      <w:r>
        <w:rPr>
          <w:spacing w:val="-2"/>
        </w:rPr>
        <w:t> </w:t>
      </w:r>
      <w:r>
        <w:rPr/>
        <w:t>an</w:t>
      </w:r>
      <w:r>
        <w:rPr>
          <w:spacing w:val="-2"/>
        </w:rPr>
        <w:t> </w:t>
      </w:r>
      <w:r>
        <w:rPr/>
        <w:t>essential</w:t>
      </w:r>
      <w:r>
        <w:rPr>
          <w:spacing w:val="-3"/>
        </w:rPr>
        <w:t> </w:t>
      </w:r>
      <w:r>
        <w:rPr/>
        <w:t>curriculum</w:t>
      </w:r>
      <w:r>
        <w:rPr>
          <w:spacing w:val="-4"/>
        </w:rPr>
        <w:t> </w:t>
      </w:r>
      <w:r>
        <w:rPr/>
        <w:t>focus</w:t>
      </w:r>
      <w:r>
        <w:rPr>
          <w:spacing w:val="-3"/>
        </w:rPr>
        <w:t> </w:t>
      </w:r>
      <w:r>
        <w:rPr/>
        <w:t>due</w:t>
      </w:r>
      <w:r>
        <w:rPr>
          <w:spacing w:val="-4"/>
        </w:rPr>
        <w:t> </w:t>
      </w:r>
      <w:r>
        <w:rPr/>
        <w:t>to local skills shortages. LMI has been used to design our core skills approach in English and Maths </w:t>
      </w:r>
      <w:r>
        <w:rPr>
          <w:spacing w:val="-2"/>
        </w:rPr>
        <w:t>lessons.</w:t>
      </w:r>
    </w:p>
    <w:p>
      <w:pPr>
        <w:pStyle w:val="BodyText"/>
        <w:spacing w:before="2"/>
      </w:pPr>
    </w:p>
    <w:p>
      <w:pPr>
        <w:pStyle w:val="BodyText"/>
        <w:ind w:left="852" w:right="1086"/>
        <w:jc w:val="both"/>
      </w:pPr>
      <w:r>
        <w:rPr/>
        <w:t>We</w:t>
      </w:r>
      <w:r>
        <w:rPr>
          <w:spacing w:val="-6"/>
        </w:rPr>
        <w:t> </w:t>
      </w:r>
      <w:r>
        <w:rPr/>
        <w:t>continually</w:t>
      </w:r>
      <w:r>
        <w:rPr>
          <w:spacing w:val="-4"/>
        </w:rPr>
        <w:t> </w:t>
      </w:r>
      <w:r>
        <w:rPr/>
        <w:t>scan</w:t>
      </w:r>
      <w:r>
        <w:rPr>
          <w:spacing w:val="-6"/>
        </w:rPr>
        <w:t> </w:t>
      </w:r>
      <w:r>
        <w:rPr/>
        <w:t>the</w:t>
      </w:r>
      <w:r>
        <w:rPr>
          <w:spacing w:val="-3"/>
        </w:rPr>
        <w:t> </w:t>
      </w:r>
      <w:r>
        <w:rPr/>
        <w:t>horizon</w:t>
      </w:r>
      <w:r>
        <w:rPr>
          <w:spacing w:val="-6"/>
        </w:rPr>
        <w:t> </w:t>
      </w:r>
      <w:r>
        <w:rPr/>
        <w:t>for</w:t>
      </w:r>
      <w:r>
        <w:rPr>
          <w:spacing w:val="-4"/>
        </w:rPr>
        <w:t> </w:t>
      </w:r>
      <w:r>
        <w:rPr/>
        <w:t>technological</w:t>
      </w:r>
      <w:r>
        <w:rPr>
          <w:spacing w:val="-6"/>
        </w:rPr>
        <w:t> </w:t>
      </w:r>
      <w:r>
        <w:rPr/>
        <w:t>changes</w:t>
      </w:r>
      <w:r>
        <w:rPr>
          <w:spacing w:val="-4"/>
        </w:rPr>
        <w:t> </w:t>
      </w:r>
      <w:r>
        <w:rPr/>
        <w:t>that</w:t>
      </w:r>
      <w:r>
        <w:rPr>
          <w:spacing w:val="-5"/>
        </w:rPr>
        <w:t> </w:t>
      </w:r>
      <w:r>
        <w:rPr/>
        <w:t>will</w:t>
      </w:r>
      <w:r>
        <w:rPr>
          <w:spacing w:val="-4"/>
        </w:rPr>
        <w:t> </w:t>
      </w:r>
      <w:r>
        <w:rPr/>
        <w:t>drive</w:t>
      </w:r>
      <w:r>
        <w:rPr>
          <w:spacing w:val="-3"/>
        </w:rPr>
        <w:t> </w:t>
      </w:r>
      <w:r>
        <w:rPr/>
        <w:t>future</w:t>
      </w:r>
      <w:r>
        <w:rPr>
          <w:spacing w:val="-6"/>
        </w:rPr>
        <w:t> </w:t>
      </w:r>
      <w:r>
        <w:rPr/>
        <w:t>job</w:t>
      </w:r>
      <w:r>
        <w:rPr>
          <w:spacing w:val="-3"/>
        </w:rPr>
        <w:t> </w:t>
      </w:r>
      <w:r>
        <w:rPr/>
        <w:t>opportunities</w:t>
      </w:r>
      <w:r>
        <w:rPr>
          <w:spacing w:val="-4"/>
        </w:rPr>
        <w:t> </w:t>
      </w:r>
      <w:r>
        <w:rPr/>
        <w:t>as seen</w:t>
      </w:r>
      <w:r>
        <w:rPr>
          <w:spacing w:val="-4"/>
        </w:rPr>
        <w:t> </w:t>
      </w:r>
      <w:r>
        <w:rPr/>
        <w:t>in</w:t>
      </w:r>
      <w:r>
        <w:rPr>
          <w:spacing w:val="-4"/>
        </w:rPr>
        <w:t> </w:t>
      </w:r>
      <w:r>
        <w:rPr/>
        <w:t>our</w:t>
      </w:r>
      <w:r>
        <w:rPr>
          <w:spacing w:val="-4"/>
        </w:rPr>
        <w:t> </w:t>
      </w:r>
      <w:r>
        <w:rPr/>
        <w:t>approach</w:t>
      </w:r>
      <w:r>
        <w:rPr>
          <w:spacing w:val="-6"/>
        </w:rPr>
        <w:t> </w:t>
      </w:r>
      <w:r>
        <w:rPr/>
        <w:t>to</w:t>
      </w:r>
      <w:r>
        <w:rPr>
          <w:spacing w:val="-6"/>
        </w:rPr>
        <w:t> </w:t>
      </w:r>
      <w:r>
        <w:rPr/>
        <w:t>curriculum</w:t>
      </w:r>
      <w:r>
        <w:rPr>
          <w:spacing w:val="-6"/>
        </w:rPr>
        <w:t> </w:t>
      </w:r>
      <w:r>
        <w:rPr/>
        <w:t>2030</w:t>
      </w:r>
      <w:r>
        <w:rPr>
          <w:spacing w:val="-4"/>
        </w:rPr>
        <w:t> </w:t>
      </w:r>
      <w:r>
        <w:rPr/>
        <w:t>and</w:t>
      </w:r>
      <w:r>
        <w:rPr>
          <w:spacing w:val="-6"/>
        </w:rPr>
        <w:t> </w:t>
      </w:r>
      <w:r>
        <w:rPr/>
        <w:t>the</w:t>
      </w:r>
      <w:r>
        <w:rPr>
          <w:spacing w:val="-4"/>
        </w:rPr>
        <w:t> </w:t>
      </w:r>
      <w:r>
        <w:rPr/>
        <w:t>diverse</w:t>
      </w:r>
      <w:r>
        <w:rPr>
          <w:spacing w:val="-6"/>
        </w:rPr>
        <w:t> </w:t>
      </w:r>
      <w:r>
        <w:rPr/>
        <w:t>and</w:t>
      </w:r>
      <w:r>
        <w:rPr>
          <w:spacing w:val="-6"/>
        </w:rPr>
        <w:t> </w:t>
      </w:r>
      <w:r>
        <w:rPr/>
        <w:t>wide-ranging</w:t>
      </w:r>
      <w:r>
        <w:rPr>
          <w:spacing w:val="-4"/>
        </w:rPr>
        <w:t> </w:t>
      </w:r>
      <w:r>
        <w:rPr/>
        <w:t>additional</w:t>
      </w:r>
      <w:r>
        <w:rPr>
          <w:spacing w:val="-4"/>
        </w:rPr>
        <w:t> </w:t>
      </w:r>
      <w:r>
        <w:rPr/>
        <w:t>qualifications we offer alongside our main programmes.</w:t>
      </w:r>
    </w:p>
    <w:p>
      <w:pPr>
        <w:pStyle w:val="BodyText"/>
      </w:pPr>
    </w:p>
    <w:p>
      <w:pPr>
        <w:pStyle w:val="BodyText"/>
        <w:ind w:left="852" w:right="1086"/>
        <w:jc w:val="both"/>
      </w:pPr>
      <w:r>
        <w:rPr/>
        <w:t>The</w:t>
      </w:r>
      <w:r>
        <w:rPr>
          <w:spacing w:val="-2"/>
        </w:rPr>
        <w:t> </w:t>
      </w:r>
      <w:r>
        <w:rPr/>
        <w:t>College</w:t>
      </w:r>
      <w:r>
        <w:rPr>
          <w:spacing w:val="-2"/>
        </w:rPr>
        <w:t> </w:t>
      </w:r>
      <w:r>
        <w:rPr/>
        <w:t>takes an</w:t>
      </w:r>
      <w:r>
        <w:rPr>
          <w:spacing w:val="-2"/>
        </w:rPr>
        <w:t> </w:t>
      </w:r>
      <w:r>
        <w:rPr/>
        <w:t>ambitious approach</w:t>
      </w:r>
      <w:r>
        <w:rPr>
          <w:spacing w:val="-2"/>
        </w:rPr>
        <w:t> </w:t>
      </w:r>
      <w:r>
        <w:rPr/>
        <w:t>to</w:t>
      </w:r>
      <w:r>
        <w:rPr>
          <w:spacing w:val="-2"/>
        </w:rPr>
        <w:t> </w:t>
      </w:r>
      <w:r>
        <w:rPr/>
        <w:t>the</w:t>
      </w:r>
      <w:r>
        <w:rPr>
          <w:spacing w:val="-2"/>
        </w:rPr>
        <w:t> </w:t>
      </w:r>
      <w:r>
        <w:rPr/>
        <w:t>professional</w:t>
      </w:r>
      <w:r>
        <w:rPr>
          <w:spacing w:val="-3"/>
        </w:rPr>
        <w:t> </w:t>
      </w:r>
      <w:r>
        <w:rPr/>
        <w:t>development</w:t>
      </w:r>
      <w:r>
        <w:rPr>
          <w:spacing w:val="-2"/>
        </w:rPr>
        <w:t> </w:t>
      </w:r>
      <w:r>
        <w:rPr/>
        <w:t>of</w:t>
      </w:r>
      <w:r>
        <w:rPr>
          <w:spacing w:val="-2"/>
        </w:rPr>
        <w:t> </w:t>
      </w:r>
      <w:r>
        <w:rPr/>
        <w:t>learners by ensuring that our programmes are enhanced with appropriate additional opportunities which are directly informed</w:t>
      </w:r>
      <w:r>
        <w:rPr>
          <w:spacing w:val="-5"/>
        </w:rPr>
        <w:t> </w:t>
      </w:r>
      <w:r>
        <w:rPr/>
        <w:t>by</w:t>
      </w:r>
      <w:r>
        <w:rPr>
          <w:spacing w:val="-6"/>
        </w:rPr>
        <w:t> </w:t>
      </w:r>
      <w:r>
        <w:rPr/>
        <w:t>employers:</w:t>
      </w:r>
      <w:r>
        <w:rPr>
          <w:spacing w:val="-5"/>
        </w:rPr>
        <w:t> </w:t>
      </w:r>
      <w:r>
        <w:rPr/>
        <w:t>in</w:t>
      </w:r>
      <w:r>
        <w:rPr>
          <w:spacing w:val="-5"/>
        </w:rPr>
        <w:t> </w:t>
      </w:r>
      <w:r>
        <w:rPr/>
        <w:t>22/23</w:t>
      </w:r>
      <w:r>
        <w:rPr>
          <w:spacing w:val="-5"/>
        </w:rPr>
        <w:t> </w:t>
      </w:r>
      <w:r>
        <w:rPr/>
        <w:t>37</w:t>
      </w:r>
      <w:r>
        <w:rPr>
          <w:spacing w:val="-5"/>
        </w:rPr>
        <w:t> </w:t>
      </w:r>
      <w:r>
        <w:rPr/>
        <w:t>additional</w:t>
      </w:r>
      <w:r>
        <w:rPr>
          <w:spacing w:val="-6"/>
        </w:rPr>
        <w:t> </w:t>
      </w:r>
      <w:r>
        <w:rPr/>
        <w:t>qualifications</w:t>
      </w:r>
      <w:r>
        <w:rPr>
          <w:spacing w:val="-6"/>
        </w:rPr>
        <w:t> </w:t>
      </w:r>
      <w:r>
        <w:rPr/>
        <w:t>took</w:t>
      </w:r>
      <w:r>
        <w:rPr>
          <w:spacing w:val="-4"/>
        </w:rPr>
        <w:t> </w:t>
      </w:r>
      <w:r>
        <w:rPr/>
        <w:t>place</w:t>
      </w:r>
      <w:r>
        <w:rPr>
          <w:spacing w:val="-5"/>
        </w:rPr>
        <w:t> </w:t>
      </w:r>
      <w:r>
        <w:rPr/>
        <w:t>over</w:t>
      </w:r>
      <w:r>
        <w:rPr>
          <w:spacing w:val="-4"/>
        </w:rPr>
        <w:t> </w:t>
      </w:r>
      <w:r>
        <w:rPr/>
        <w:t>112</w:t>
      </w:r>
      <w:r>
        <w:rPr>
          <w:spacing w:val="-5"/>
        </w:rPr>
        <w:t> </w:t>
      </w:r>
      <w:r>
        <w:rPr/>
        <w:t>programmes.</w:t>
      </w:r>
      <w:r>
        <w:rPr>
          <w:spacing w:val="-7"/>
        </w:rPr>
        <w:t> </w:t>
      </w:r>
      <w:r>
        <w:rPr/>
        <w:t>This year</w:t>
      </w:r>
      <w:r>
        <w:rPr>
          <w:spacing w:val="-8"/>
        </w:rPr>
        <w:t> </w:t>
      </w:r>
      <w:r>
        <w:rPr/>
        <w:t>we</w:t>
      </w:r>
      <w:r>
        <w:rPr>
          <w:spacing w:val="-9"/>
        </w:rPr>
        <w:t> </w:t>
      </w:r>
      <w:r>
        <w:rPr/>
        <w:t>have</w:t>
      </w:r>
      <w:r>
        <w:rPr>
          <w:spacing w:val="-9"/>
        </w:rPr>
        <w:t> </w:t>
      </w:r>
      <w:r>
        <w:rPr/>
        <w:t>planned</w:t>
      </w:r>
      <w:r>
        <w:rPr>
          <w:spacing w:val="-9"/>
        </w:rPr>
        <w:t> </w:t>
      </w:r>
      <w:r>
        <w:rPr/>
        <w:t>for</w:t>
      </w:r>
      <w:r>
        <w:rPr>
          <w:spacing w:val="-8"/>
        </w:rPr>
        <w:t> </w:t>
      </w:r>
      <w:r>
        <w:rPr/>
        <w:t>55</w:t>
      </w:r>
      <w:r>
        <w:rPr>
          <w:spacing w:val="-9"/>
        </w:rPr>
        <w:t> </w:t>
      </w:r>
      <w:r>
        <w:rPr/>
        <w:t>additional</w:t>
      </w:r>
      <w:r>
        <w:rPr>
          <w:spacing w:val="-10"/>
        </w:rPr>
        <w:t> </w:t>
      </w:r>
      <w:r>
        <w:rPr/>
        <w:t>qualifications</w:t>
      </w:r>
      <w:r>
        <w:rPr>
          <w:spacing w:val="-7"/>
        </w:rPr>
        <w:t> </w:t>
      </w:r>
      <w:r>
        <w:rPr/>
        <w:t>across</w:t>
      </w:r>
      <w:r>
        <w:rPr>
          <w:spacing w:val="-7"/>
        </w:rPr>
        <w:t> </w:t>
      </w:r>
      <w:r>
        <w:rPr/>
        <w:t>190</w:t>
      </w:r>
      <w:r>
        <w:rPr>
          <w:spacing w:val="-9"/>
        </w:rPr>
        <w:t> </w:t>
      </w:r>
      <w:r>
        <w:rPr/>
        <w:t>programmes,</w:t>
      </w:r>
      <w:r>
        <w:rPr>
          <w:spacing w:val="-9"/>
        </w:rPr>
        <w:t> </w:t>
      </w:r>
      <w:r>
        <w:rPr/>
        <w:t>and</w:t>
      </w:r>
      <w:r>
        <w:rPr>
          <w:spacing w:val="-9"/>
        </w:rPr>
        <w:t> </w:t>
      </w:r>
      <w:r>
        <w:rPr/>
        <w:t>an</w:t>
      </w:r>
      <w:r>
        <w:rPr>
          <w:spacing w:val="-9"/>
        </w:rPr>
        <w:t> </w:t>
      </w:r>
      <w:r>
        <w:rPr/>
        <w:t>additional</w:t>
      </w:r>
      <w:r>
        <w:rPr>
          <w:spacing w:val="-10"/>
        </w:rPr>
        <w:t> </w:t>
      </w:r>
      <w:r>
        <w:rPr/>
        <w:t>49 college certificated across 85 programmes which are designed to reflect the industry needs of the future, and to prepare students for the workplace.</w:t>
      </w:r>
    </w:p>
    <w:p>
      <w:pPr>
        <w:pStyle w:val="BodyText"/>
        <w:spacing w:before="1"/>
      </w:pPr>
    </w:p>
    <w:p>
      <w:pPr>
        <w:pStyle w:val="BodyText"/>
        <w:ind w:left="852" w:right="1087"/>
        <w:jc w:val="both"/>
      </w:pPr>
      <w:r>
        <w:rPr/>
        <w:t>The</w:t>
      </w:r>
      <w:r>
        <w:rPr>
          <w:spacing w:val="-9"/>
        </w:rPr>
        <w:t> </w:t>
      </w:r>
      <w:r>
        <w:rPr/>
        <w:t>College</w:t>
      </w:r>
      <w:r>
        <w:rPr>
          <w:spacing w:val="-9"/>
        </w:rPr>
        <w:t> </w:t>
      </w:r>
      <w:r>
        <w:rPr/>
        <w:t>has</w:t>
      </w:r>
      <w:r>
        <w:rPr>
          <w:spacing w:val="-7"/>
        </w:rPr>
        <w:t> </w:t>
      </w:r>
      <w:r>
        <w:rPr/>
        <w:t>introduced</w:t>
      </w:r>
      <w:r>
        <w:rPr>
          <w:spacing w:val="-7"/>
        </w:rPr>
        <w:t> </w:t>
      </w:r>
      <w:r>
        <w:rPr/>
        <w:t>resources</w:t>
      </w:r>
      <w:r>
        <w:rPr>
          <w:spacing w:val="-7"/>
        </w:rPr>
        <w:t> </w:t>
      </w:r>
      <w:r>
        <w:rPr/>
        <w:t>to</w:t>
      </w:r>
      <w:r>
        <w:rPr>
          <w:spacing w:val="-9"/>
        </w:rPr>
        <w:t> </w:t>
      </w:r>
      <w:r>
        <w:rPr/>
        <w:t>support</w:t>
      </w:r>
      <w:r>
        <w:rPr>
          <w:spacing w:val="-7"/>
        </w:rPr>
        <w:t> </w:t>
      </w:r>
      <w:r>
        <w:rPr/>
        <w:t>learning</w:t>
      </w:r>
      <w:r>
        <w:rPr>
          <w:spacing w:val="-7"/>
        </w:rPr>
        <w:t> </w:t>
      </w:r>
      <w:r>
        <w:rPr/>
        <w:t>in</w:t>
      </w:r>
      <w:r>
        <w:rPr>
          <w:spacing w:val="-7"/>
        </w:rPr>
        <w:t> </w:t>
      </w:r>
      <w:r>
        <w:rPr/>
        <w:t>nascent</w:t>
      </w:r>
      <w:r>
        <w:rPr>
          <w:spacing w:val="-7"/>
        </w:rPr>
        <w:t> </w:t>
      </w:r>
      <w:r>
        <w:rPr/>
        <w:t>areas</w:t>
      </w:r>
      <w:r>
        <w:rPr>
          <w:spacing w:val="-6"/>
        </w:rPr>
        <w:t> </w:t>
      </w:r>
      <w:r>
        <w:rPr/>
        <w:t>like</w:t>
      </w:r>
      <w:r>
        <w:rPr>
          <w:spacing w:val="-7"/>
        </w:rPr>
        <w:t> </w:t>
      </w:r>
      <w:r>
        <w:rPr/>
        <w:t>geothermal</w:t>
      </w:r>
      <w:r>
        <w:rPr>
          <w:spacing w:val="-7"/>
        </w:rPr>
        <w:t> </w:t>
      </w:r>
      <w:r>
        <w:rPr/>
        <w:t>energy, heat/air</w:t>
      </w:r>
      <w:r>
        <w:rPr>
          <w:spacing w:val="-13"/>
        </w:rPr>
        <w:t> </w:t>
      </w:r>
      <w:r>
        <w:rPr/>
        <w:t>sources,</w:t>
      </w:r>
      <w:r>
        <w:rPr>
          <w:spacing w:val="-14"/>
        </w:rPr>
        <w:t> </w:t>
      </w:r>
      <w:r>
        <w:rPr/>
        <w:t>wind</w:t>
      </w:r>
      <w:r>
        <w:rPr>
          <w:spacing w:val="-11"/>
        </w:rPr>
        <w:t> </w:t>
      </w:r>
      <w:r>
        <w:rPr/>
        <w:t>energy</w:t>
      </w:r>
      <w:r>
        <w:rPr>
          <w:spacing w:val="-12"/>
        </w:rPr>
        <w:t> </w:t>
      </w:r>
      <w:r>
        <w:rPr/>
        <w:t>commercial</w:t>
      </w:r>
      <w:r>
        <w:rPr>
          <w:spacing w:val="-12"/>
        </w:rPr>
        <w:t> </w:t>
      </w:r>
      <w:r>
        <w:rPr/>
        <w:t>drone</w:t>
      </w:r>
      <w:r>
        <w:rPr>
          <w:spacing w:val="-11"/>
        </w:rPr>
        <w:t> </w:t>
      </w:r>
      <w:r>
        <w:rPr/>
        <w:t>piloting</w:t>
      </w:r>
      <w:r>
        <w:rPr>
          <w:spacing w:val="-14"/>
        </w:rPr>
        <w:t> </w:t>
      </w:r>
      <w:r>
        <w:rPr/>
        <w:t>to</w:t>
      </w:r>
      <w:r>
        <w:rPr>
          <w:spacing w:val="-11"/>
        </w:rPr>
        <w:t> </w:t>
      </w:r>
      <w:r>
        <w:rPr/>
        <w:t>ready</w:t>
      </w:r>
      <w:r>
        <w:rPr>
          <w:spacing w:val="-11"/>
        </w:rPr>
        <w:t> </w:t>
      </w:r>
      <w:r>
        <w:rPr/>
        <w:t>students</w:t>
      </w:r>
      <w:r>
        <w:rPr>
          <w:spacing w:val="-12"/>
        </w:rPr>
        <w:t> </w:t>
      </w:r>
      <w:r>
        <w:rPr/>
        <w:t>for</w:t>
      </w:r>
      <w:r>
        <w:rPr>
          <w:spacing w:val="-11"/>
        </w:rPr>
        <w:t> </w:t>
      </w:r>
      <w:r>
        <w:rPr/>
        <w:t>tomorrow's</w:t>
      </w:r>
      <w:r>
        <w:rPr>
          <w:spacing w:val="-12"/>
        </w:rPr>
        <w:t> </w:t>
      </w:r>
      <w:r>
        <w:rPr/>
        <w:t>green</w:t>
      </w:r>
      <w:r>
        <w:rPr>
          <w:spacing w:val="-11"/>
        </w:rPr>
        <w:t> </w:t>
      </w:r>
      <w:r>
        <w:rPr/>
        <w:t>and digital jobs.</w:t>
      </w:r>
    </w:p>
    <w:p>
      <w:pPr>
        <w:pStyle w:val="BodyText"/>
        <w:spacing w:before="229"/>
        <w:ind w:left="852" w:right="1086"/>
        <w:jc w:val="both"/>
      </w:pPr>
      <w:r>
        <w:rPr/>
        <w:t>The College pioneers innovative projects that cement its reputation as a leader in strategic skills development.</w:t>
      </w:r>
      <w:r>
        <w:rPr>
          <w:spacing w:val="-10"/>
        </w:rPr>
        <w:t> </w:t>
      </w:r>
      <w:r>
        <w:rPr/>
        <w:t>Initiatives</w:t>
      </w:r>
      <w:r>
        <w:rPr>
          <w:spacing w:val="-11"/>
        </w:rPr>
        <w:t> </w:t>
      </w:r>
      <w:r>
        <w:rPr/>
        <w:t>like</w:t>
      </w:r>
      <w:r>
        <w:rPr>
          <w:spacing w:val="-10"/>
        </w:rPr>
        <w:t> </w:t>
      </w:r>
      <w:r>
        <w:rPr/>
        <w:t>AI</w:t>
      </w:r>
      <w:r>
        <w:rPr>
          <w:spacing w:val="-12"/>
        </w:rPr>
        <w:t> </w:t>
      </w:r>
      <w:r>
        <w:rPr/>
        <w:t>Translate,</w:t>
      </w:r>
      <w:r>
        <w:rPr>
          <w:spacing w:val="-10"/>
        </w:rPr>
        <w:t> </w:t>
      </w:r>
      <w:r>
        <w:rPr/>
        <w:t>which</w:t>
      </w:r>
      <w:r>
        <w:rPr>
          <w:spacing w:val="-10"/>
        </w:rPr>
        <w:t> </w:t>
      </w:r>
      <w:r>
        <w:rPr/>
        <w:t>applies</w:t>
      </w:r>
      <w:r>
        <w:rPr>
          <w:spacing w:val="-8"/>
        </w:rPr>
        <w:t> </w:t>
      </w:r>
      <w:r>
        <w:rPr/>
        <w:t>artificial</w:t>
      </w:r>
      <w:r>
        <w:rPr>
          <w:spacing w:val="-13"/>
        </w:rPr>
        <w:t> </w:t>
      </w:r>
      <w:r>
        <w:rPr/>
        <w:t>intelligence</w:t>
      </w:r>
      <w:r>
        <w:rPr>
          <w:spacing w:val="-12"/>
        </w:rPr>
        <w:t> </w:t>
      </w:r>
      <w:r>
        <w:rPr/>
        <w:t>to</w:t>
      </w:r>
      <w:r>
        <w:rPr>
          <w:spacing w:val="-12"/>
        </w:rPr>
        <w:t> </w:t>
      </w:r>
      <w:r>
        <w:rPr/>
        <w:t>enhance</w:t>
      </w:r>
      <w:r>
        <w:rPr>
          <w:spacing w:val="-12"/>
        </w:rPr>
        <w:t> </w:t>
      </w:r>
      <w:r>
        <w:rPr/>
        <w:t>learning</w:t>
      </w:r>
      <w:r>
        <w:rPr>
          <w:spacing w:val="-12"/>
        </w:rPr>
        <w:t> </w:t>
      </w:r>
      <w:r>
        <w:rPr/>
        <w:t>for ESOL students, has put Hull College at the forefront of EdTech innovation in the sector.</w:t>
      </w:r>
    </w:p>
    <w:p>
      <w:pPr>
        <w:pStyle w:val="BodyText"/>
      </w:pPr>
    </w:p>
    <w:p>
      <w:pPr>
        <w:pStyle w:val="BodyText"/>
        <w:ind w:left="852" w:right="1088"/>
        <w:jc w:val="both"/>
      </w:pPr>
      <w:r>
        <w:rPr/>
        <w:t>This sustained track record of leading strategic skills innovation cements Hull College's reputation as an anchor institution making a significant contribution to skills in the Humber region.</w:t>
      </w:r>
    </w:p>
    <w:p>
      <w:pPr>
        <w:pStyle w:val="BodyText"/>
        <w:spacing w:before="1"/>
      </w:pPr>
    </w:p>
    <w:p>
      <w:pPr>
        <w:pStyle w:val="BodyText"/>
        <w:ind w:left="852" w:right="1086"/>
        <w:jc w:val="both"/>
      </w:pPr>
      <w:r>
        <w:rPr/>
        <w:t>Hull College was inspected from the 24th to the 27th of October. The College went through a full enhanced inspection. The key points from the inspection are outlined below:</w:t>
      </w:r>
    </w:p>
    <w:p>
      <w:pPr>
        <w:pStyle w:val="BodyText"/>
        <w:spacing w:after="0"/>
        <w:jc w:val="both"/>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Current</w:t>
      </w:r>
      <w:r>
        <w:rPr>
          <w:b/>
          <w:spacing w:val="-7"/>
          <w:sz w:val="24"/>
        </w:rPr>
        <w:t> </w:t>
      </w:r>
      <w:r>
        <w:rPr>
          <w:b/>
          <w:sz w:val="24"/>
        </w:rPr>
        <w:t>and</w:t>
      </w:r>
      <w:r>
        <w:rPr>
          <w:b/>
          <w:spacing w:val="-4"/>
          <w:sz w:val="24"/>
        </w:rPr>
        <w:t> </w:t>
      </w:r>
      <w:r>
        <w:rPr>
          <w:b/>
          <w:sz w:val="24"/>
        </w:rPr>
        <w:t>future</w:t>
      </w:r>
      <w:r>
        <w:rPr>
          <w:b/>
          <w:spacing w:val="-3"/>
          <w:sz w:val="24"/>
        </w:rPr>
        <w:t> </w:t>
      </w:r>
      <w:r>
        <w:rPr>
          <w:b/>
          <w:sz w:val="24"/>
        </w:rPr>
        <w:t>developments</w:t>
      </w:r>
      <w:r>
        <w:rPr>
          <w:b/>
          <w:spacing w:val="-5"/>
          <w:sz w:val="24"/>
        </w:rPr>
        <w:t> </w:t>
      </w:r>
      <w:r>
        <w:rPr>
          <w:b/>
          <w:sz w:val="24"/>
        </w:rPr>
        <w:t>and</w:t>
      </w:r>
      <w:r>
        <w:rPr>
          <w:b/>
          <w:spacing w:val="-4"/>
          <w:sz w:val="24"/>
        </w:rPr>
        <w:t> </w:t>
      </w:r>
      <w:r>
        <w:rPr>
          <w:b/>
          <w:sz w:val="24"/>
        </w:rPr>
        <w:t>performance</w:t>
      </w:r>
      <w:r>
        <w:rPr>
          <w:b/>
          <w:spacing w:val="-2"/>
          <w:sz w:val="24"/>
        </w:rPr>
        <w:t> (continued)</w:t>
      </w:r>
    </w:p>
    <w:p>
      <w:pPr>
        <w:pStyle w:val="Heading6"/>
        <w:spacing w:before="230"/>
        <w:jc w:val="left"/>
      </w:pPr>
      <w:r>
        <w:rPr>
          <w:spacing w:val="-2"/>
        </w:rPr>
        <w:t>Ofsted:</w:t>
      </w:r>
    </w:p>
    <w:p>
      <w:pPr>
        <w:pStyle w:val="BodyText"/>
        <w:spacing w:before="1"/>
        <w:rPr>
          <w:b/>
        </w:rPr>
      </w:pPr>
    </w:p>
    <w:p>
      <w:pPr>
        <w:pStyle w:val="BodyText"/>
        <w:ind w:left="852"/>
      </w:pPr>
      <w:r>
        <w:rPr/>
        <w:t>The</w:t>
      </w:r>
      <w:r>
        <w:rPr>
          <w:spacing w:val="-9"/>
        </w:rPr>
        <w:t> </w:t>
      </w:r>
      <w:r>
        <w:rPr/>
        <w:t>College</w:t>
      </w:r>
      <w:r>
        <w:rPr>
          <w:spacing w:val="-6"/>
        </w:rPr>
        <w:t> </w:t>
      </w:r>
      <w:r>
        <w:rPr/>
        <w:t>has</w:t>
      </w:r>
      <w:r>
        <w:rPr>
          <w:spacing w:val="-8"/>
        </w:rPr>
        <w:t> </w:t>
      </w:r>
      <w:r>
        <w:rPr/>
        <w:t>successfully</w:t>
      </w:r>
      <w:r>
        <w:rPr>
          <w:spacing w:val="-7"/>
        </w:rPr>
        <w:t> </w:t>
      </w:r>
      <w:r>
        <w:rPr/>
        <w:t>improved</w:t>
      </w:r>
      <w:r>
        <w:rPr>
          <w:spacing w:val="-8"/>
        </w:rPr>
        <w:t> </w:t>
      </w:r>
      <w:r>
        <w:rPr/>
        <w:t>their</w:t>
      </w:r>
      <w:r>
        <w:rPr>
          <w:spacing w:val="-8"/>
        </w:rPr>
        <w:t> </w:t>
      </w:r>
      <w:r>
        <w:rPr/>
        <w:t>performance</w:t>
      </w:r>
      <w:r>
        <w:rPr>
          <w:spacing w:val="-8"/>
        </w:rPr>
        <w:t> </w:t>
      </w:r>
      <w:r>
        <w:rPr/>
        <w:t>across</w:t>
      </w:r>
      <w:r>
        <w:rPr>
          <w:spacing w:val="-7"/>
        </w:rPr>
        <w:t> </w:t>
      </w:r>
      <w:r>
        <w:rPr/>
        <w:t>all</w:t>
      </w:r>
      <w:r>
        <w:rPr>
          <w:spacing w:val="-8"/>
        </w:rPr>
        <w:t> </w:t>
      </w:r>
      <w:r>
        <w:rPr/>
        <w:t>provision</w:t>
      </w:r>
      <w:r>
        <w:rPr>
          <w:spacing w:val="-8"/>
        </w:rPr>
        <w:t> </w:t>
      </w:r>
      <w:r>
        <w:rPr>
          <w:spacing w:val="-2"/>
        </w:rPr>
        <w:t>types.</w:t>
      </w:r>
    </w:p>
    <w:p>
      <w:pPr>
        <w:pStyle w:val="ListParagraph"/>
        <w:numPr>
          <w:ilvl w:val="0"/>
          <w:numId w:val="2"/>
        </w:numPr>
        <w:tabs>
          <w:tab w:pos="1134" w:val="left" w:leader="none"/>
        </w:tabs>
        <w:spacing w:line="240" w:lineRule="auto" w:before="1" w:after="0"/>
        <w:ind w:left="1134" w:right="0" w:hanging="282"/>
        <w:jc w:val="left"/>
        <w:rPr>
          <w:rFonts w:ascii="Symbol" w:hAnsi="Symbol"/>
          <w:sz w:val="20"/>
        </w:rPr>
      </w:pPr>
      <w:r>
        <w:rPr>
          <w:sz w:val="20"/>
        </w:rPr>
        <w:t>Education</w:t>
      </w:r>
      <w:r>
        <w:rPr>
          <w:spacing w:val="-7"/>
          <w:sz w:val="20"/>
        </w:rPr>
        <w:t> </w:t>
      </w:r>
      <w:r>
        <w:rPr>
          <w:sz w:val="20"/>
        </w:rPr>
        <w:t>Programmes</w:t>
      </w:r>
      <w:r>
        <w:rPr>
          <w:spacing w:val="-6"/>
          <w:sz w:val="20"/>
        </w:rPr>
        <w:t> </w:t>
      </w:r>
      <w:r>
        <w:rPr>
          <w:sz w:val="20"/>
        </w:rPr>
        <w:t>for</w:t>
      </w:r>
      <w:r>
        <w:rPr>
          <w:spacing w:val="-4"/>
          <w:sz w:val="20"/>
        </w:rPr>
        <w:t> </w:t>
      </w:r>
      <w:r>
        <w:rPr>
          <w:sz w:val="20"/>
        </w:rPr>
        <w:t>Young</w:t>
      </w:r>
      <w:r>
        <w:rPr>
          <w:spacing w:val="-5"/>
          <w:sz w:val="20"/>
        </w:rPr>
        <w:t> </w:t>
      </w:r>
      <w:r>
        <w:rPr>
          <w:sz w:val="20"/>
        </w:rPr>
        <w:t>People</w:t>
      </w:r>
      <w:r>
        <w:rPr>
          <w:spacing w:val="-7"/>
          <w:sz w:val="20"/>
        </w:rPr>
        <w:t> </w:t>
      </w:r>
      <w:r>
        <w:rPr>
          <w:sz w:val="20"/>
        </w:rPr>
        <w:t>improved</w:t>
      </w:r>
      <w:r>
        <w:rPr>
          <w:spacing w:val="-7"/>
          <w:sz w:val="20"/>
        </w:rPr>
        <w:t> </w:t>
      </w:r>
      <w:r>
        <w:rPr>
          <w:sz w:val="20"/>
        </w:rPr>
        <w:t>by</w:t>
      </w:r>
      <w:r>
        <w:rPr>
          <w:spacing w:val="-3"/>
          <w:sz w:val="20"/>
        </w:rPr>
        <w:t> </w:t>
      </w:r>
      <w:r>
        <w:rPr>
          <w:sz w:val="20"/>
        </w:rPr>
        <w:t>6%</w:t>
      </w:r>
      <w:r>
        <w:rPr>
          <w:spacing w:val="-6"/>
          <w:sz w:val="20"/>
        </w:rPr>
        <w:t> </w:t>
      </w:r>
      <w:r>
        <w:rPr>
          <w:sz w:val="20"/>
        </w:rPr>
        <w:t>and</w:t>
      </w:r>
      <w:r>
        <w:rPr>
          <w:spacing w:val="-6"/>
          <w:sz w:val="20"/>
        </w:rPr>
        <w:t> </w:t>
      </w:r>
      <w:r>
        <w:rPr>
          <w:sz w:val="20"/>
        </w:rPr>
        <w:t>are</w:t>
      </w:r>
      <w:r>
        <w:rPr>
          <w:spacing w:val="-5"/>
          <w:sz w:val="20"/>
        </w:rPr>
        <w:t> </w:t>
      </w:r>
      <w:r>
        <w:rPr>
          <w:sz w:val="20"/>
        </w:rPr>
        <w:t>now</w:t>
      </w:r>
      <w:r>
        <w:rPr>
          <w:spacing w:val="-4"/>
          <w:sz w:val="20"/>
        </w:rPr>
        <w:t> </w:t>
      </w:r>
      <w:r>
        <w:rPr>
          <w:spacing w:val="-2"/>
          <w:sz w:val="20"/>
        </w:rPr>
        <w:t>79.4%.</w:t>
      </w:r>
    </w:p>
    <w:p>
      <w:pPr>
        <w:pStyle w:val="ListParagraph"/>
        <w:numPr>
          <w:ilvl w:val="0"/>
          <w:numId w:val="2"/>
        </w:numPr>
        <w:tabs>
          <w:tab w:pos="1134" w:val="left" w:leader="none"/>
        </w:tabs>
        <w:spacing w:line="240" w:lineRule="auto" w:before="31" w:after="0"/>
        <w:ind w:left="1134" w:right="0" w:hanging="282"/>
        <w:jc w:val="left"/>
        <w:rPr>
          <w:rFonts w:ascii="Symbol" w:hAnsi="Symbol"/>
          <w:sz w:val="20"/>
        </w:rPr>
      </w:pPr>
      <w:r>
        <w:rPr>
          <w:sz w:val="20"/>
        </w:rPr>
        <w:t>Pass</w:t>
      </w:r>
      <w:r>
        <w:rPr>
          <w:spacing w:val="-6"/>
          <w:sz w:val="20"/>
        </w:rPr>
        <w:t> </w:t>
      </w:r>
      <w:r>
        <w:rPr>
          <w:sz w:val="20"/>
        </w:rPr>
        <w:t>rates</w:t>
      </w:r>
      <w:r>
        <w:rPr>
          <w:spacing w:val="-5"/>
          <w:sz w:val="20"/>
        </w:rPr>
        <w:t> </w:t>
      </w:r>
      <w:r>
        <w:rPr>
          <w:sz w:val="20"/>
        </w:rPr>
        <w:t>for</w:t>
      </w:r>
      <w:r>
        <w:rPr>
          <w:spacing w:val="-3"/>
          <w:sz w:val="20"/>
        </w:rPr>
        <w:t> </w:t>
      </w:r>
      <w:r>
        <w:rPr>
          <w:sz w:val="20"/>
        </w:rPr>
        <w:t>14-16</w:t>
      </w:r>
      <w:r>
        <w:rPr>
          <w:spacing w:val="-4"/>
          <w:sz w:val="20"/>
        </w:rPr>
        <w:t> </w:t>
      </w:r>
      <w:r>
        <w:rPr>
          <w:sz w:val="20"/>
        </w:rPr>
        <w:t>are</w:t>
      </w:r>
      <w:r>
        <w:rPr>
          <w:spacing w:val="-4"/>
          <w:sz w:val="20"/>
        </w:rPr>
        <w:t> </w:t>
      </w:r>
      <w:r>
        <w:rPr>
          <w:sz w:val="20"/>
        </w:rPr>
        <w:t>high</w:t>
      </w:r>
      <w:r>
        <w:rPr>
          <w:spacing w:val="-6"/>
          <w:sz w:val="20"/>
        </w:rPr>
        <w:t> </w:t>
      </w:r>
      <w:r>
        <w:rPr>
          <w:sz w:val="20"/>
        </w:rPr>
        <w:t>at</w:t>
      </w:r>
      <w:r>
        <w:rPr>
          <w:spacing w:val="-4"/>
          <w:sz w:val="20"/>
        </w:rPr>
        <w:t> 88%.</w:t>
      </w:r>
    </w:p>
    <w:p>
      <w:pPr>
        <w:pStyle w:val="ListParagraph"/>
        <w:numPr>
          <w:ilvl w:val="0"/>
          <w:numId w:val="2"/>
        </w:numPr>
        <w:tabs>
          <w:tab w:pos="1134" w:val="left" w:leader="none"/>
        </w:tabs>
        <w:spacing w:line="240" w:lineRule="auto" w:before="34" w:after="0"/>
        <w:ind w:left="1134" w:right="0" w:hanging="282"/>
        <w:jc w:val="left"/>
        <w:rPr>
          <w:rFonts w:ascii="Symbol" w:hAnsi="Symbol"/>
          <w:sz w:val="20"/>
        </w:rPr>
      </w:pPr>
      <w:r>
        <w:rPr>
          <w:sz w:val="20"/>
        </w:rPr>
        <w:t>Adult</w:t>
      </w:r>
      <w:r>
        <w:rPr>
          <w:spacing w:val="-7"/>
          <w:sz w:val="20"/>
        </w:rPr>
        <w:t> </w:t>
      </w:r>
      <w:r>
        <w:rPr>
          <w:sz w:val="20"/>
        </w:rPr>
        <w:t>achievement</w:t>
      </w:r>
      <w:r>
        <w:rPr>
          <w:spacing w:val="-7"/>
          <w:sz w:val="20"/>
        </w:rPr>
        <w:t> </w:t>
      </w:r>
      <w:r>
        <w:rPr>
          <w:sz w:val="20"/>
        </w:rPr>
        <w:t>is</w:t>
      </w:r>
      <w:r>
        <w:rPr>
          <w:spacing w:val="-6"/>
          <w:sz w:val="20"/>
        </w:rPr>
        <w:t> </w:t>
      </w:r>
      <w:r>
        <w:rPr>
          <w:sz w:val="20"/>
        </w:rPr>
        <w:t>91%</w:t>
      </w:r>
      <w:r>
        <w:rPr>
          <w:spacing w:val="-4"/>
          <w:sz w:val="20"/>
        </w:rPr>
        <w:t> </w:t>
      </w:r>
      <w:r>
        <w:rPr>
          <w:sz w:val="20"/>
        </w:rPr>
        <w:t>and</w:t>
      </w:r>
      <w:r>
        <w:rPr>
          <w:spacing w:val="-6"/>
          <w:sz w:val="20"/>
        </w:rPr>
        <w:t> </w:t>
      </w:r>
      <w:r>
        <w:rPr>
          <w:sz w:val="20"/>
        </w:rPr>
        <w:t>forms</w:t>
      </w:r>
      <w:r>
        <w:rPr>
          <w:spacing w:val="-6"/>
          <w:sz w:val="20"/>
        </w:rPr>
        <w:t> </w:t>
      </w:r>
      <w:r>
        <w:rPr>
          <w:sz w:val="20"/>
        </w:rPr>
        <w:t>the</w:t>
      </w:r>
      <w:r>
        <w:rPr>
          <w:spacing w:val="-7"/>
          <w:sz w:val="20"/>
        </w:rPr>
        <w:t> </w:t>
      </w:r>
      <w:r>
        <w:rPr>
          <w:sz w:val="20"/>
        </w:rPr>
        <w:t>highest</w:t>
      </w:r>
      <w:r>
        <w:rPr>
          <w:spacing w:val="-6"/>
          <w:sz w:val="20"/>
        </w:rPr>
        <w:t> </w:t>
      </w:r>
      <w:r>
        <w:rPr>
          <w:sz w:val="20"/>
        </w:rPr>
        <w:t>proportion</w:t>
      </w:r>
      <w:r>
        <w:rPr>
          <w:spacing w:val="-5"/>
          <w:sz w:val="20"/>
        </w:rPr>
        <w:t> </w:t>
      </w:r>
      <w:r>
        <w:rPr>
          <w:sz w:val="20"/>
        </w:rPr>
        <w:t>of</w:t>
      </w:r>
      <w:r>
        <w:rPr>
          <w:spacing w:val="-5"/>
          <w:sz w:val="20"/>
        </w:rPr>
        <w:t> </w:t>
      </w:r>
      <w:r>
        <w:rPr>
          <w:sz w:val="20"/>
        </w:rPr>
        <w:t>our</w:t>
      </w:r>
      <w:r>
        <w:rPr>
          <w:spacing w:val="-6"/>
          <w:sz w:val="20"/>
        </w:rPr>
        <w:t> </w:t>
      </w:r>
      <w:r>
        <w:rPr>
          <w:sz w:val="20"/>
        </w:rPr>
        <w:t>student</w:t>
      </w:r>
      <w:r>
        <w:rPr>
          <w:spacing w:val="-5"/>
          <w:sz w:val="20"/>
        </w:rPr>
        <w:t> </w:t>
      </w:r>
      <w:r>
        <w:rPr>
          <w:spacing w:val="-2"/>
          <w:sz w:val="20"/>
        </w:rPr>
        <w:t>numbers.</w:t>
      </w:r>
    </w:p>
    <w:p>
      <w:pPr>
        <w:pStyle w:val="ListParagraph"/>
        <w:numPr>
          <w:ilvl w:val="0"/>
          <w:numId w:val="2"/>
        </w:numPr>
        <w:tabs>
          <w:tab w:pos="1134" w:val="left" w:leader="none"/>
        </w:tabs>
        <w:spacing w:line="240" w:lineRule="auto" w:before="33" w:after="0"/>
        <w:ind w:left="1134" w:right="0" w:hanging="282"/>
        <w:jc w:val="left"/>
        <w:rPr>
          <w:rFonts w:ascii="Symbol" w:hAnsi="Symbol"/>
          <w:sz w:val="20"/>
        </w:rPr>
      </w:pPr>
      <w:r>
        <w:rPr>
          <w:sz w:val="20"/>
        </w:rPr>
        <w:t>Apprenticeship</w:t>
      </w:r>
      <w:r>
        <w:rPr>
          <w:spacing w:val="-7"/>
          <w:sz w:val="20"/>
        </w:rPr>
        <w:t> </w:t>
      </w:r>
      <w:r>
        <w:rPr>
          <w:sz w:val="20"/>
        </w:rPr>
        <w:t>achievement</w:t>
      </w:r>
      <w:r>
        <w:rPr>
          <w:spacing w:val="-9"/>
          <w:sz w:val="20"/>
        </w:rPr>
        <w:t> </w:t>
      </w:r>
      <w:r>
        <w:rPr>
          <w:sz w:val="20"/>
        </w:rPr>
        <w:t>has</w:t>
      </w:r>
      <w:r>
        <w:rPr>
          <w:spacing w:val="-5"/>
          <w:sz w:val="20"/>
        </w:rPr>
        <w:t> </w:t>
      </w:r>
      <w:r>
        <w:rPr>
          <w:sz w:val="20"/>
        </w:rPr>
        <w:t>improved</w:t>
      </w:r>
      <w:r>
        <w:rPr>
          <w:spacing w:val="-9"/>
          <w:sz w:val="20"/>
        </w:rPr>
        <w:t> </w:t>
      </w:r>
      <w:r>
        <w:rPr>
          <w:sz w:val="20"/>
        </w:rPr>
        <w:t>by</w:t>
      </w:r>
      <w:r>
        <w:rPr>
          <w:spacing w:val="-5"/>
          <w:sz w:val="20"/>
        </w:rPr>
        <w:t> </w:t>
      </w:r>
      <w:r>
        <w:rPr>
          <w:sz w:val="20"/>
        </w:rPr>
        <w:t>10.4%</w:t>
      </w:r>
      <w:r>
        <w:rPr>
          <w:spacing w:val="-7"/>
          <w:sz w:val="20"/>
        </w:rPr>
        <w:t> </w:t>
      </w:r>
      <w:r>
        <w:rPr>
          <w:sz w:val="20"/>
        </w:rPr>
        <w:t>to</w:t>
      </w:r>
      <w:r>
        <w:rPr>
          <w:spacing w:val="-9"/>
          <w:sz w:val="20"/>
        </w:rPr>
        <w:t> </w:t>
      </w:r>
      <w:r>
        <w:rPr>
          <w:spacing w:val="-2"/>
          <w:sz w:val="20"/>
        </w:rPr>
        <w:t>50.3%.</w:t>
      </w:r>
    </w:p>
    <w:p>
      <w:pPr>
        <w:pStyle w:val="ListParagraph"/>
        <w:numPr>
          <w:ilvl w:val="0"/>
          <w:numId w:val="2"/>
        </w:numPr>
        <w:tabs>
          <w:tab w:pos="1133" w:val="left" w:leader="none"/>
          <w:tab w:pos="1135" w:val="left" w:leader="none"/>
        </w:tabs>
        <w:spacing w:line="273" w:lineRule="auto" w:before="34" w:after="0"/>
        <w:ind w:left="1135" w:right="1088" w:hanging="284"/>
        <w:jc w:val="both"/>
        <w:rPr>
          <w:rFonts w:ascii="Symbol" w:hAnsi="Symbol"/>
          <w:sz w:val="20"/>
        </w:rPr>
      </w:pPr>
      <w:r>
        <w:rPr>
          <w:sz w:val="20"/>
        </w:rPr>
        <w:t>Based</w:t>
      </w:r>
      <w:r>
        <w:rPr>
          <w:spacing w:val="-7"/>
          <w:sz w:val="20"/>
        </w:rPr>
        <w:t> </w:t>
      </w:r>
      <w:r>
        <w:rPr>
          <w:sz w:val="20"/>
        </w:rPr>
        <w:t>on</w:t>
      </w:r>
      <w:r>
        <w:rPr>
          <w:spacing w:val="-7"/>
          <w:sz w:val="20"/>
        </w:rPr>
        <w:t> </w:t>
      </w:r>
      <w:r>
        <w:rPr>
          <w:sz w:val="20"/>
        </w:rPr>
        <w:t>2021-2022</w:t>
      </w:r>
      <w:r>
        <w:rPr>
          <w:spacing w:val="-7"/>
          <w:sz w:val="20"/>
        </w:rPr>
        <w:t> </w:t>
      </w:r>
      <w:r>
        <w:rPr>
          <w:sz w:val="20"/>
        </w:rPr>
        <w:t>national</w:t>
      </w:r>
      <w:r>
        <w:rPr>
          <w:spacing w:val="-7"/>
          <w:sz w:val="20"/>
        </w:rPr>
        <w:t> </w:t>
      </w:r>
      <w:r>
        <w:rPr>
          <w:sz w:val="20"/>
        </w:rPr>
        <w:t>averages</w:t>
      </w:r>
      <w:r>
        <w:rPr>
          <w:spacing w:val="-6"/>
          <w:sz w:val="20"/>
        </w:rPr>
        <w:t> </w:t>
      </w:r>
      <w:r>
        <w:rPr>
          <w:sz w:val="20"/>
        </w:rPr>
        <w:t>for</w:t>
      </w:r>
      <w:r>
        <w:rPr>
          <w:spacing w:val="-6"/>
          <w:sz w:val="20"/>
        </w:rPr>
        <w:t> </w:t>
      </w:r>
      <w:r>
        <w:rPr>
          <w:sz w:val="20"/>
        </w:rPr>
        <w:t>achievement,</w:t>
      </w:r>
      <w:r>
        <w:rPr>
          <w:spacing w:val="-7"/>
          <w:sz w:val="20"/>
        </w:rPr>
        <w:t> </w:t>
      </w:r>
      <w:r>
        <w:rPr>
          <w:sz w:val="20"/>
        </w:rPr>
        <w:t>our</w:t>
      </w:r>
      <w:r>
        <w:rPr>
          <w:spacing w:val="-6"/>
          <w:sz w:val="20"/>
        </w:rPr>
        <w:t> </w:t>
      </w:r>
      <w:r>
        <w:rPr>
          <w:sz w:val="20"/>
        </w:rPr>
        <w:t>overall</w:t>
      </w:r>
      <w:r>
        <w:rPr>
          <w:spacing w:val="-7"/>
          <w:sz w:val="20"/>
        </w:rPr>
        <w:t> </w:t>
      </w:r>
      <w:r>
        <w:rPr>
          <w:sz w:val="20"/>
        </w:rPr>
        <w:t>achievement</w:t>
      </w:r>
      <w:r>
        <w:rPr>
          <w:spacing w:val="-7"/>
          <w:sz w:val="20"/>
        </w:rPr>
        <w:t> </w:t>
      </w:r>
      <w:r>
        <w:rPr>
          <w:sz w:val="20"/>
        </w:rPr>
        <w:t>rate</w:t>
      </w:r>
      <w:r>
        <w:rPr>
          <w:spacing w:val="-7"/>
          <w:sz w:val="20"/>
        </w:rPr>
        <w:t> </w:t>
      </w:r>
      <w:r>
        <w:rPr>
          <w:sz w:val="20"/>
        </w:rPr>
        <w:t>of</w:t>
      </w:r>
      <w:r>
        <w:rPr>
          <w:spacing w:val="-7"/>
          <w:sz w:val="20"/>
        </w:rPr>
        <w:t> </w:t>
      </w:r>
      <w:r>
        <w:rPr>
          <w:sz w:val="20"/>
        </w:rPr>
        <w:t>86.4% would place us in the top 25% of colleges nationally, and in the top 5 regionally. We are above the national rate and improving.</w:t>
      </w:r>
    </w:p>
    <w:p>
      <w:pPr>
        <w:pStyle w:val="BodyText"/>
        <w:spacing w:before="2"/>
      </w:pPr>
    </w:p>
    <w:p>
      <w:pPr>
        <w:pStyle w:val="BodyText"/>
        <w:ind w:left="852"/>
        <w:jc w:val="both"/>
      </w:pPr>
      <w:r>
        <w:rPr/>
        <w:t>Ofsted</w:t>
      </w:r>
      <w:r>
        <w:rPr>
          <w:spacing w:val="-8"/>
        </w:rPr>
        <w:t> </w:t>
      </w:r>
      <w:r>
        <w:rPr/>
        <w:t>stated</w:t>
      </w:r>
      <w:r>
        <w:rPr>
          <w:spacing w:val="-7"/>
        </w:rPr>
        <w:t> </w:t>
      </w:r>
      <w:r>
        <w:rPr>
          <w:spacing w:val="-2"/>
        </w:rPr>
        <w:t>that;</w:t>
      </w:r>
    </w:p>
    <w:p>
      <w:pPr>
        <w:pStyle w:val="ListParagraph"/>
        <w:numPr>
          <w:ilvl w:val="0"/>
          <w:numId w:val="2"/>
        </w:numPr>
        <w:tabs>
          <w:tab w:pos="1133" w:val="left" w:leader="none"/>
          <w:tab w:pos="1135" w:val="left" w:leader="none"/>
        </w:tabs>
        <w:spacing w:line="273" w:lineRule="auto" w:before="1" w:after="0"/>
        <w:ind w:left="1135" w:right="1087" w:hanging="284"/>
        <w:jc w:val="both"/>
        <w:rPr>
          <w:rFonts w:ascii="Symbol" w:hAnsi="Symbol"/>
          <w:sz w:val="20"/>
        </w:rPr>
      </w:pPr>
      <w:r>
        <w:rPr>
          <w:sz w:val="20"/>
        </w:rPr>
        <w:t>Most teaching in the College is now good. Most teachers use a variety of effective teaching strategies to help learners and apprentices practise what they have learned and extend their knowledge and understanding.</w:t>
      </w:r>
    </w:p>
    <w:p>
      <w:pPr>
        <w:pStyle w:val="ListParagraph"/>
        <w:numPr>
          <w:ilvl w:val="0"/>
          <w:numId w:val="2"/>
        </w:numPr>
        <w:tabs>
          <w:tab w:pos="1133" w:val="left" w:leader="none"/>
          <w:tab w:pos="1135" w:val="left" w:leader="none"/>
        </w:tabs>
        <w:spacing w:line="273" w:lineRule="auto" w:before="3" w:after="0"/>
        <w:ind w:left="1135" w:right="1086" w:hanging="284"/>
        <w:jc w:val="both"/>
        <w:rPr>
          <w:rFonts w:ascii="Symbol" w:hAnsi="Symbol"/>
          <w:sz w:val="20"/>
        </w:rPr>
      </w:pPr>
      <w:r>
        <w:rPr>
          <w:sz w:val="20"/>
        </w:rPr>
        <w:t>There is a calm and</w:t>
      </w:r>
      <w:r>
        <w:rPr>
          <w:spacing w:val="-2"/>
          <w:sz w:val="20"/>
        </w:rPr>
        <w:t> </w:t>
      </w:r>
      <w:r>
        <w:rPr>
          <w:sz w:val="20"/>
        </w:rPr>
        <w:t>respectful learning environments across the different areas of</w:t>
      </w:r>
      <w:r>
        <w:rPr>
          <w:spacing w:val="-2"/>
          <w:sz w:val="20"/>
        </w:rPr>
        <w:t> </w:t>
      </w:r>
      <w:r>
        <w:rPr>
          <w:sz w:val="20"/>
        </w:rPr>
        <w:t>the</w:t>
      </w:r>
      <w:r>
        <w:rPr>
          <w:spacing w:val="-2"/>
          <w:sz w:val="20"/>
        </w:rPr>
        <w:t> </w:t>
      </w:r>
      <w:r>
        <w:rPr>
          <w:sz w:val="20"/>
        </w:rPr>
        <w:t>College. Staff form good working relationships with learners and apprentices who feel comfortable to contribute to their learning sessions.</w:t>
      </w:r>
    </w:p>
    <w:p>
      <w:pPr>
        <w:pStyle w:val="ListParagraph"/>
        <w:numPr>
          <w:ilvl w:val="0"/>
          <w:numId w:val="2"/>
        </w:numPr>
        <w:tabs>
          <w:tab w:pos="1134" w:val="left" w:leader="none"/>
          <w:tab w:pos="1136" w:val="left" w:leader="none"/>
        </w:tabs>
        <w:spacing w:line="273" w:lineRule="auto" w:before="3" w:after="0"/>
        <w:ind w:left="1136" w:right="1087" w:hanging="284"/>
        <w:jc w:val="both"/>
        <w:rPr>
          <w:rFonts w:ascii="Symbol" w:hAnsi="Symbol"/>
          <w:sz w:val="20"/>
        </w:rPr>
      </w:pPr>
      <w:r>
        <w:rPr>
          <w:sz w:val="20"/>
        </w:rPr>
        <w:t>Staff model good behaviours and attitudes and have high expectations of learners and apprentices to do the same. Most learners and apprentices replicate these good behaviours in learning environments and in social areas of the College.</w:t>
      </w:r>
    </w:p>
    <w:p>
      <w:pPr>
        <w:pStyle w:val="ListParagraph"/>
        <w:numPr>
          <w:ilvl w:val="0"/>
          <w:numId w:val="2"/>
        </w:numPr>
        <w:tabs>
          <w:tab w:pos="1134" w:val="left" w:leader="none"/>
          <w:tab w:pos="1136" w:val="left" w:leader="none"/>
        </w:tabs>
        <w:spacing w:line="276" w:lineRule="auto" w:before="2" w:after="0"/>
        <w:ind w:left="1136" w:right="1086" w:hanging="284"/>
        <w:jc w:val="both"/>
        <w:rPr>
          <w:rFonts w:ascii="Symbol" w:hAnsi="Symbol"/>
          <w:sz w:val="20"/>
        </w:rPr>
      </w:pPr>
      <w:r>
        <w:rPr>
          <w:sz w:val="20"/>
        </w:rPr>
        <w:t>Staff have created a highly inclusive environment in which a diverse group of learners and apprentices learn well together. They promote a culture which proudly celebrates the diversity of</w:t>
      </w:r>
      <w:r>
        <w:rPr>
          <w:spacing w:val="-4"/>
          <w:sz w:val="20"/>
        </w:rPr>
        <w:t> </w:t>
      </w:r>
      <w:r>
        <w:rPr>
          <w:sz w:val="20"/>
        </w:rPr>
        <w:t>the</w:t>
      </w:r>
      <w:r>
        <w:rPr>
          <w:spacing w:val="-4"/>
          <w:sz w:val="20"/>
        </w:rPr>
        <w:t> </w:t>
      </w:r>
      <w:r>
        <w:rPr>
          <w:sz w:val="20"/>
        </w:rPr>
        <w:t>College</w:t>
      </w:r>
      <w:r>
        <w:rPr>
          <w:spacing w:val="-4"/>
          <w:sz w:val="20"/>
        </w:rPr>
        <w:t> </w:t>
      </w:r>
      <w:r>
        <w:rPr>
          <w:sz w:val="20"/>
        </w:rPr>
        <w:t>community.</w:t>
      </w:r>
      <w:r>
        <w:rPr>
          <w:spacing w:val="-2"/>
          <w:sz w:val="20"/>
        </w:rPr>
        <w:t> </w:t>
      </w:r>
      <w:r>
        <w:rPr>
          <w:sz w:val="20"/>
        </w:rPr>
        <w:t>Learners</w:t>
      </w:r>
      <w:r>
        <w:rPr>
          <w:spacing w:val="-3"/>
          <w:sz w:val="20"/>
        </w:rPr>
        <w:t> </w:t>
      </w:r>
      <w:r>
        <w:rPr>
          <w:sz w:val="20"/>
        </w:rPr>
        <w:t>and</w:t>
      </w:r>
      <w:r>
        <w:rPr>
          <w:spacing w:val="-4"/>
          <w:sz w:val="20"/>
        </w:rPr>
        <w:t> </w:t>
      </w:r>
      <w:r>
        <w:rPr>
          <w:sz w:val="20"/>
        </w:rPr>
        <w:t>apprentices</w:t>
      </w:r>
      <w:r>
        <w:rPr>
          <w:spacing w:val="-3"/>
          <w:sz w:val="20"/>
        </w:rPr>
        <w:t> </w:t>
      </w:r>
      <w:r>
        <w:rPr>
          <w:sz w:val="20"/>
        </w:rPr>
        <w:t>take</w:t>
      </w:r>
      <w:r>
        <w:rPr>
          <w:spacing w:val="-4"/>
          <w:sz w:val="20"/>
        </w:rPr>
        <w:t> </w:t>
      </w:r>
      <w:r>
        <w:rPr>
          <w:sz w:val="20"/>
        </w:rPr>
        <w:t>pride</w:t>
      </w:r>
      <w:r>
        <w:rPr>
          <w:spacing w:val="-4"/>
          <w:sz w:val="20"/>
        </w:rPr>
        <w:t> </w:t>
      </w:r>
      <w:r>
        <w:rPr>
          <w:sz w:val="20"/>
        </w:rPr>
        <w:t>in</w:t>
      </w:r>
      <w:r>
        <w:rPr>
          <w:spacing w:val="-4"/>
          <w:sz w:val="20"/>
        </w:rPr>
        <w:t> </w:t>
      </w:r>
      <w:r>
        <w:rPr>
          <w:sz w:val="20"/>
        </w:rPr>
        <w:t>their</w:t>
      </w:r>
      <w:r>
        <w:rPr>
          <w:spacing w:val="-3"/>
          <w:sz w:val="20"/>
        </w:rPr>
        <w:t> </w:t>
      </w:r>
      <w:r>
        <w:rPr>
          <w:sz w:val="20"/>
        </w:rPr>
        <w:t>contribution</w:t>
      </w:r>
      <w:r>
        <w:rPr>
          <w:spacing w:val="-4"/>
          <w:sz w:val="20"/>
        </w:rPr>
        <w:t> </w:t>
      </w:r>
      <w:r>
        <w:rPr>
          <w:sz w:val="20"/>
        </w:rPr>
        <w:t>to</w:t>
      </w:r>
      <w:r>
        <w:rPr>
          <w:spacing w:val="-4"/>
          <w:sz w:val="20"/>
        </w:rPr>
        <w:t> </w:t>
      </w:r>
      <w:r>
        <w:rPr>
          <w:sz w:val="20"/>
        </w:rPr>
        <w:t>the</w:t>
      </w:r>
      <w:r>
        <w:rPr>
          <w:spacing w:val="-4"/>
          <w:sz w:val="20"/>
        </w:rPr>
        <w:t> </w:t>
      </w:r>
      <w:r>
        <w:rPr>
          <w:sz w:val="20"/>
        </w:rPr>
        <w:t>fabric of</w:t>
      </w:r>
      <w:r>
        <w:rPr>
          <w:spacing w:val="-14"/>
          <w:sz w:val="20"/>
        </w:rPr>
        <w:t> </w:t>
      </w:r>
      <w:r>
        <w:rPr>
          <w:sz w:val="20"/>
        </w:rPr>
        <w:t>the</w:t>
      </w:r>
      <w:r>
        <w:rPr>
          <w:spacing w:val="-14"/>
          <w:sz w:val="20"/>
        </w:rPr>
        <w:t> </w:t>
      </w:r>
      <w:r>
        <w:rPr>
          <w:sz w:val="20"/>
        </w:rPr>
        <w:t>College</w:t>
      </w:r>
      <w:r>
        <w:rPr>
          <w:spacing w:val="-14"/>
          <w:sz w:val="20"/>
        </w:rPr>
        <w:t> </w:t>
      </w:r>
      <w:r>
        <w:rPr>
          <w:sz w:val="20"/>
        </w:rPr>
        <w:t>and</w:t>
      </w:r>
      <w:r>
        <w:rPr>
          <w:spacing w:val="-14"/>
          <w:sz w:val="20"/>
        </w:rPr>
        <w:t> </w:t>
      </w:r>
      <w:r>
        <w:rPr>
          <w:sz w:val="20"/>
        </w:rPr>
        <w:t>wider</w:t>
      </w:r>
      <w:r>
        <w:rPr>
          <w:spacing w:val="-14"/>
          <w:sz w:val="20"/>
        </w:rPr>
        <w:t> </w:t>
      </w:r>
      <w:r>
        <w:rPr>
          <w:sz w:val="20"/>
        </w:rPr>
        <w:t>society.</w:t>
      </w:r>
      <w:r>
        <w:rPr>
          <w:spacing w:val="-14"/>
          <w:sz w:val="20"/>
        </w:rPr>
        <w:t> </w:t>
      </w:r>
      <w:r>
        <w:rPr>
          <w:sz w:val="20"/>
        </w:rPr>
        <w:t>They</w:t>
      </w:r>
      <w:r>
        <w:rPr>
          <w:spacing w:val="-14"/>
          <w:sz w:val="20"/>
        </w:rPr>
        <w:t> </w:t>
      </w:r>
      <w:r>
        <w:rPr>
          <w:sz w:val="20"/>
        </w:rPr>
        <w:t>work</w:t>
      </w:r>
      <w:r>
        <w:rPr>
          <w:spacing w:val="-14"/>
          <w:sz w:val="20"/>
        </w:rPr>
        <w:t> </w:t>
      </w:r>
      <w:r>
        <w:rPr>
          <w:sz w:val="20"/>
        </w:rPr>
        <w:t>well</w:t>
      </w:r>
      <w:r>
        <w:rPr>
          <w:spacing w:val="-14"/>
          <w:sz w:val="20"/>
        </w:rPr>
        <w:t> </w:t>
      </w:r>
      <w:r>
        <w:rPr>
          <w:sz w:val="20"/>
        </w:rPr>
        <w:t>together</w:t>
      </w:r>
      <w:r>
        <w:rPr>
          <w:spacing w:val="-13"/>
          <w:sz w:val="20"/>
        </w:rPr>
        <w:t> </w:t>
      </w:r>
      <w:r>
        <w:rPr>
          <w:sz w:val="20"/>
        </w:rPr>
        <w:t>and</w:t>
      </w:r>
      <w:r>
        <w:rPr>
          <w:spacing w:val="-14"/>
          <w:sz w:val="20"/>
        </w:rPr>
        <w:t> </w:t>
      </w:r>
      <w:r>
        <w:rPr>
          <w:sz w:val="20"/>
        </w:rPr>
        <w:t>learn</w:t>
      </w:r>
      <w:r>
        <w:rPr>
          <w:spacing w:val="-13"/>
          <w:sz w:val="20"/>
        </w:rPr>
        <w:t> </w:t>
      </w:r>
      <w:r>
        <w:rPr>
          <w:sz w:val="20"/>
        </w:rPr>
        <w:t>from</w:t>
      </w:r>
      <w:r>
        <w:rPr>
          <w:spacing w:val="-13"/>
          <w:sz w:val="20"/>
        </w:rPr>
        <w:t> </w:t>
      </w:r>
      <w:r>
        <w:rPr>
          <w:sz w:val="20"/>
        </w:rPr>
        <w:t>each</w:t>
      </w:r>
      <w:r>
        <w:rPr>
          <w:spacing w:val="-13"/>
          <w:sz w:val="20"/>
        </w:rPr>
        <w:t> </w:t>
      </w:r>
      <w:r>
        <w:rPr>
          <w:sz w:val="20"/>
        </w:rPr>
        <w:t>other,</w:t>
      </w:r>
      <w:r>
        <w:rPr>
          <w:spacing w:val="-14"/>
          <w:sz w:val="20"/>
        </w:rPr>
        <w:t> </w:t>
      </w:r>
      <w:r>
        <w:rPr>
          <w:sz w:val="20"/>
        </w:rPr>
        <w:t>in</w:t>
      </w:r>
      <w:r>
        <w:rPr>
          <w:spacing w:val="-14"/>
          <w:sz w:val="20"/>
        </w:rPr>
        <w:t> </w:t>
      </w:r>
      <w:r>
        <w:rPr>
          <w:sz w:val="20"/>
        </w:rPr>
        <w:t>readiness for the realities of future life and work.</w:t>
      </w:r>
    </w:p>
    <w:p>
      <w:pPr>
        <w:pStyle w:val="ListParagraph"/>
        <w:numPr>
          <w:ilvl w:val="0"/>
          <w:numId w:val="2"/>
        </w:numPr>
        <w:tabs>
          <w:tab w:pos="1134" w:val="left" w:leader="none"/>
          <w:tab w:pos="1136" w:val="left" w:leader="none"/>
        </w:tabs>
        <w:spacing w:line="273" w:lineRule="auto" w:before="0" w:after="0"/>
        <w:ind w:left="1136" w:right="1087" w:hanging="284"/>
        <w:jc w:val="both"/>
        <w:rPr>
          <w:rFonts w:ascii="Symbol" w:hAnsi="Symbol"/>
          <w:sz w:val="20"/>
        </w:rPr>
      </w:pPr>
      <w:r>
        <w:rPr>
          <w:sz w:val="20"/>
        </w:rPr>
        <w:t>Most learners and apprentices attend their learning sessions well, arrive on time and are prepared</w:t>
      </w:r>
      <w:r>
        <w:rPr>
          <w:spacing w:val="-10"/>
          <w:sz w:val="20"/>
        </w:rPr>
        <w:t> </w:t>
      </w:r>
      <w:r>
        <w:rPr>
          <w:sz w:val="20"/>
        </w:rPr>
        <w:t>to</w:t>
      </w:r>
      <w:r>
        <w:rPr>
          <w:spacing w:val="-9"/>
          <w:sz w:val="20"/>
        </w:rPr>
        <w:t> </w:t>
      </w:r>
      <w:r>
        <w:rPr>
          <w:sz w:val="20"/>
        </w:rPr>
        <w:t>learn.</w:t>
      </w:r>
      <w:r>
        <w:rPr>
          <w:spacing w:val="-8"/>
          <w:sz w:val="20"/>
        </w:rPr>
        <w:t> </w:t>
      </w:r>
      <w:r>
        <w:rPr>
          <w:sz w:val="20"/>
        </w:rPr>
        <w:t>Adult</w:t>
      </w:r>
      <w:r>
        <w:rPr>
          <w:spacing w:val="-8"/>
          <w:sz w:val="20"/>
        </w:rPr>
        <w:t> </w:t>
      </w:r>
      <w:r>
        <w:rPr>
          <w:sz w:val="20"/>
        </w:rPr>
        <w:t>learners</w:t>
      </w:r>
      <w:r>
        <w:rPr>
          <w:spacing w:val="-9"/>
          <w:sz w:val="20"/>
        </w:rPr>
        <w:t> </w:t>
      </w:r>
      <w:r>
        <w:rPr>
          <w:sz w:val="20"/>
        </w:rPr>
        <w:t>and</w:t>
      </w:r>
      <w:r>
        <w:rPr>
          <w:spacing w:val="-9"/>
          <w:sz w:val="20"/>
        </w:rPr>
        <w:t> </w:t>
      </w:r>
      <w:r>
        <w:rPr>
          <w:sz w:val="20"/>
        </w:rPr>
        <w:t>apprentices</w:t>
      </w:r>
      <w:r>
        <w:rPr>
          <w:spacing w:val="-7"/>
          <w:sz w:val="20"/>
        </w:rPr>
        <w:t> </w:t>
      </w:r>
      <w:r>
        <w:rPr>
          <w:sz w:val="20"/>
        </w:rPr>
        <w:t>have</w:t>
      </w:r>
      <w:r>
        <w:rPr>
          <w:spacing w:val="-9"/>
          <w:sz w:val="20"/>
        </w:rPr>
        <w:t> </w:t>
      </w:r>
      <w:r>
        <w:rPr>
          <w:sz w:val="20"/>
        </w:rPr>
        <w:t>particularly</w:t>
      </w:r>
      <w:r>
        <w:rPr>
          <w:spacing w:val="-7"/>
          <w:sz w:val="20"/>
        </w:rPr>
        <w:t> </w:t>
      </w:r>
      <w:r>
        <w:rPr>
          <w:sz w:val="20"/>
        </w:rPr>
        <w:t>high</w:t>
      </w:r>
      <w:r>
        <w:rPr>
          <w:spacing w:val="-10"/>
          <w:sz w:val="20"/>
        </w:rPr>
        <w:t> </w:t>
      </w:r>
      <w:r>
        <w:rPr>
          <w:sz w:val="20"/>
        </w:rPr>
        <w:t>attendance.</w:t>
      </w:r>
      <w:r>
        <w:rPr>
          <w:spacing w:val="-10"/>
          <w:sz w:val="20"/>
        </w:rPr>
        <w:t> </w:t>
      </w:r>
      <w:r>
        <w:rPr>
          <w:sz w:val="20"/>
        </w:rPr>
        <w:t>Attendance has increased as a result of successful interventions by staff.</w:t>
      </w:r>
    </w:p>
    <w:p>
      <w:pPr>
        <w:pStyle w:val="ListParagraph"/>
        <w:numPr>
          <w:ilvl w:val="0"/>
          <w:numId w:val="2"/>
        </w:numPr>
        <w:tabs>
          <w:tab w:pos="1134" w:val="left" w:leader="none"/>
          <w:tab w:pos="1136" w:val="left" w:leader="none"/>
        </w:tabs>
        <w:spacing w:line="273" w:lineRule="auto" w:before="0" w:after="0"/>
        <w:ind w:left="1136" w:right="1085" w:hanging="284"/>
        <w:jc w:val="both"/>
        <w:rPr>
          <w:rFonts w:ascii="Symbol" w:hAnsi="Symbol"/>
          <w:sz w:val="20"/>
        </w:rPr>
      </w:pPr>
      <w:r>
        <w:rPr>
          <w:sz w:val="20"/>
        </w:rPr>
        <w:t>Learners</w:t>
      </w:r>
      <w:r>
        <w:rPr>
          <w:spacing w:val="-3"/>
          <w:sz w:val="20"/>
        </w:rPr>
        <w:t> </w:t>
      </w:r>
      <w:r>
        <w:rPr>
          <w:sz w:val="20"/>
        </w:rPr>
        <w:t>and</w:t>
      </w:r>
      <w:r>
        <w:rPr>
          <w:spacing w:val="-2"/>
          <w:sz w:val="20"/>
        </w:rPr>
        <w:t> </w:t>
      </w:r>
      <w:r>
        <w:rPr>
          <w:sz w:val="20"/>
        </w:rPr>
        <w:t>apprentices demonstrate</w:t>
      </w:r>
      <w:r>
        <w:rPr>
          <w:spacing w:val="-2"/>
          <w:sz w:val="20"/>
        </w:rPr>
        <w:t> </w:t>
      </w:r>
      <w:r>
        <w:rPr>
          <w:sz w:val="20"/>
        </w:rPr>
        <w:t>positive</w:t>
      </w:r>
      <w:r>
        <w:rPr>
          <w:spacing w:val="-2"/>
          <w:sz w:val="20"/>
        </w:rPr>
        <w:t> </w:t>
      </w:r>
      <w:r>
        <w:rPr>
          <w:sz w:val="20"/>
        </w:rPr>
        <w:t>attitudes</w:t>
      </w:r>
      <w:r>
        <w:rPr>
          <w:spacing w:val="-3"/>
          <w:sz w:val="20"/>
        </w:rPr>
        <w:t> </w:t>
      </w:r>
      <w:r>
        <w:rPr>
          <w:sz w:val="20"/>
        </w:rPr>
        <w:t>to</w:t>
      </w:r>
      <w:r>
        <w:rPr>
          <w:spacing w:val="-2"/>
          <w:sz w:val="20"/>
        </w:rPr>
        <w:t> </w:t>
      </w:r>
      <w:r>
        <w:rPr>
          <w:sz w:val="20"/>
        </w:rPr>
        <w:t>their</w:t>
      </w:r>
      <w:r>
        <w:rPr>
          <w:spacing w:val="-1"/>
          <w:sz w:val="20"/>
        </w:rPr>
        <w:t> </w:t>
      </w:r>
      <w:r>
        <w:rPr>
          <w:sz w:val="20"/>
        </w:rPr>
        <w:t>learning</w:t>
      </w:r>
      <w:r>
        <w:rPr>
          <w:spacing w:val="-2"/>
          <w:sz w:val="20"/>
        </w:rPr>
        <w:t> </w:t>
      </w:r>
      <w:r>
        <w:rPr>
          <w:sz w:val="20"/>
        </w:rPr>
        <w:t>and</w:t>
      </w:r>
      <w:r>
        <w:rPr>
          <w:spacing w:val="-2"/>
          <w:sz w:val="20"/>
        </w:rPr>
        <w:t> </w:t>
      </w:r>
      <w:r>
        <w:rPr>
          <w:sz w:val="20"/>
        </w:rPr>
        <w:t>take pride</w:t>
      </w:r>
      <w:r>
        <w:rPr>
          <w:spacing w:val="-2"/>
          <w:sz w:val="20"/>
        </w:rPr>
        <w:t> </w:t>
      </w:r>
      <w:r>
        <w:rPr>
          <w:sz w:val="20"/>
        </w:rPr>
        <w:t>in</w:t>
      </w:r>
      <w:r>
        <w:rPr>
          <w:spacing w:val="-2"/>
          <w:sz w:val="20"/>
        </w:rPr>
        <w:t> </w:t>
      </w:r>
      <w:r>
        <w:rPr>
          <w:sz w:val="20"/>
        </w:rPr>
        <w:t>their work. They benefit from the expertise of their teachers and the support that they receive. Learners value the opportunity to work with employers.</w:t>
      </w:r>
    </w:p>
    <w:p>
      <w:pPr>
        <w:pStyle w:val="ListParagraph"/>
        <w:numPr>
          <w:ilvl w:val="0"/>
          <w:numId w:val="2"/>
        </w:numPr>
        <w:tabs>
          <w:tab w:pos="1134" w:val="left" w:leader="none"/>
          <w:tab w:pos="1136" w:val="left" w:leader="none"/>
        </w:tabs>
        <w:spacing w:line="273" w:lineRule="auto" w:before="3" w:after="0"/>
        <w:ind w:left="1136" w:right="1087" w:hanging="284"/>
        <w:jc w:val="both"/>
        <w:rPr>
          <w:rFonts w:ascii="Symbol" w:hAnsi="Symbol"/>
          <w:sz w:val="20"/>
        </w:rPr>
      </w:pPr>
      <w:r>
        <w:rPr>
          <w:sz w:val="20"/>
        </w:rPr>
        <w:t>Learners and apprentices feel safe and know to whom they should report any concerns. Staff support</w:t>
      </w:r>
      <w:r>
        <w:rPr>
          <w:spacing w:val="-2"/>
          <w:sz w:val="20"/>
        </w:rPr>
        <w:t> </w:t>
      </w:r>
      <w:r>
        <w:rPr>
          <w:sz w:val="20"/>
        </w:rPr>
        <w:t>learners and</w:t>
      </w:r>
      <w:r>
        <w:rPr>
          <w:spacing w:val="-2"/>
          <w:sz w:val="20"/>
        </w:rPr>
        <w:t> </w:t>
      </w:r>
      <w:r>
        <w:rPr>
          <w:sz w:val="20"/>
        </w:rPr>
        <w:t>apprentices</w:t>
      </w:r>
      <w:r>
        <w:rPr>
          <w:spacing w:val="-3"/>
          <w:sz w:val="20"/>
        </w:rPr>
        <w:t> </w:t>
      </w:r>
      <w:r>
        <w:rPr>
          <w:sz w:val="20"/>
        </w:rPr>
        <w:t>well</w:t>
      </w:r>
      <w:r>
        <w:rPr>
          <w:spacing w:val="-3"/>
          <w:sz w:val="20"/>
        </w:rPr>
        <w:t> </w:t>
      </w:r>
      <w:r>
        <w:rPr>
          <w:sz w:val="20"/>
        </w:rPr>
        <w:t>to</w:t>
      </w:r>
      <w:r>
        <w:rPr>
          <w:spacing w:val="-2"/>
          <w:sz w:val="20"/>
        </w:rPr>
        <w:t> </w:t>
      </w:r>
      <w:r>
        <w:rPr>
          <w:sz w:val="20"/>
        </w:rPr>
        <w:t>help</w:t>
      </w:r>
      <w:r>
        <w:rPr>
          <w:spacing w:val="-2"/>
          <w:sz w:val="20"/>
        </w:rPr>
        <w:t> </w:t>
      </w:r>
      <w:r>
        <w:rPr>
          <w:sz w:val="20"/>
        </w:rPr>
        <w:t>them</w:t>
      </w:r>
      <w:r>
        <w:rPr>
          <w:spacing w:val="-2"/>
          <w:sz w:val="20"/>
        </w:rPr>
        <w:t> </w:t>
      </w:r>
      <w:r>
        <w:rPr>
          <w:sz w:val="20"/>
        </w:rPr>
        <w:t>to understand</w:t>
      </w:r>
      <w:r>
        <w:rPr>
          <w:spacing w:val="-2"/>
          <w:sz w:val="20"/>
        </w:rPr>
        <w:t> </w:t>
      </w:r>
      <w:r>
        <w:rPr>
          <w:sz w:val="20"/>
        </w:rPr>
        <w:t>how</w:t>
      </w:r>
      <w:r>
        <w:rPr>
          <w:spacing w:val="-1"/>
          <w:sz w:val="20"/>
        </w:rPr>
        <w:t> </w:t>
      </w:r>
      <w:r>
        <w:rPr>
          <w:sz w:val="20"/>
        </w:rPr>
        <w:t>to</w:t>
      </w:r>
      <w:r>
        <w:rPr>
          <w:spacing w:val="-4"/>
          <w:sz w:val="20"/>
        </w:rPr>
        <w:t> </w:t>
      </w:r>
      <w:r>
        <w:rPr>
          <w:sz w:val="20"/>
        </w:rPr>
        <w:t>keep</w:t>
      </w:r>
      <w:r>
        <w:rPr>
          <w:spacing w:val="-2"/>
          <w:sz w:val="20"/>
        </w:rPr>
        <w:t> </w:t>
      </w:r>
      <w:r>
        <w:rPr>
          <w:sz w:val="20"/>
        </w:rPr>
        <w:t>themselves safe from harm, including from the potential risks of radicalisation and extremism.</w:t>
      </w:r>
    </w:p>
    <w:p>
      <w:pPr>
        <w:pStyle w:val="ListParagraph"/>
        <w:numPr>
          <w:ilvl w:val="0"/>
          <w:numId w:val="2"/>
        </w:numPr>
        <w:tabs>
          <w:tab w:pos="1134" w:val="left" w:leader="none"/>
          <w:tab w:pos="1136" w:val="left" w:leader="none"/>
        </w:tabs>
        <w:spacing w:line="268" w:lineRule="auto" w:before="5" w:after="0"/>
        <w:ind w:left="1136" w:right="1088" w:hanging="284"/>
        <w:jc w:val="both"/>
        <w:rPr>
          <w:rFonts w:ascii="Symbol" w:hAnsi="Symbol"/>
          <w:sz w:val="20"/>
        </w:rPr>
      </w:pPr>
      <w:r>
        <w:rPr>
          <w:sz w:val="20"/>
        </w:rPr>
        <w:t>Leaders</w:t>
      </w:r>
      <w:r>
        <w:rPr>
          <w:spacing w:val="-3"/>
          <w:sz w:val="20"/>
        </w:rPr>
        <w:t> </w:t>
      </w:r>
      <w:r>
        <w:rPr>
          <w:sz w:val="20"/>
        </w:rPr>
        <w:t>and</w:t>
      </w:r>
      <w:r>
        <w:rPr>
          <w:spacing w:val="-2"/>
          <w:sz w:val="20"/>
        </w:rPr>
        <w:t> </w:t>
      </w:r>
      <w:r>
        <w:rPr>
          <w:sz w:val="20"/>
        </w:rPr>
        <w:t>managers</w:t>
      </w:r>
      <w:r>
        <w:rPr>
          <w:spacing w:val="-3"/>
          <w:sz w:val="20"/>
        </w:rPr>
        <w:t> </w:t>
      </w:r>
      <w:r>
        <w:rPr>
          <w:sz w:val="20"/>
        </w:rPr>
        <w:t>have</w:t>
      </w:r>
      <w:r>
        <w:rPr>
          <w:spacing w:val="-4"/>
          <w:sz w:val="20"/>
        </w:rPr>
        <w:t> </w:t>
      </w:r>
      <w:r>
        <w:rPr>
          <w:sz w:val="20"/>
        </w:rPr>
        <w:t>developed</w:t>
      </w:r>
      <w:r>
        <w:rPr>
          <w:spacing w:val="-2"/>
          <w:sz w:val="20"/>
        </w:rPr>
        <w:t> </w:t>
      </w:r>
      <w:r>
        <w:rPr>
          <w:sz w:val="20"/>
        </w:rPr>
        <w:t>highly positive</w:t>
      </w:r>
      <w:r>
        <w:rPr>
          <w:spacing w:val="-2"/>
          <w:sz w:val="20"/>
        </w:rPr>
        <w:t> </w:t>
      </w:r>
      <w:r>
        <w:rPr>
          <w:sz w:val="20"/>
        </w:rPr>
        <w:t>relationships</w:t>
      </w:r>
      <w:r>
        <w:rPr>
          <w:spacing w:val="-3"/>
          <w:sz w:val="20"/>
        </w:rPr>
        <w:t> </w:t>
      </w:r>
      <w:r>
        <w:rPr>
          <w:sz w:val="20"/>
        </w:rPr>
        <w:t>with</w:t>
      </w:r>
      <w:r>
        <w:rPr>
          <w:spacing w:val="-2"/>
          <w:sz w:val="20"/>
        </w:rPr>
        <w:t> </w:t>
      </w:r>
      <w:r>
        <w:rPr>
          <w:sz w:val="20"/>
        </w:rPr>
        <w:t>an</w:t>
      </w:r>
      <w:r>
        <w:rPr>
          <w:spacing w:val="-2"/>
          <w:sz w:val="20"/>
        </w:rPr>
        <w:t> </w:t>
      </w:r>
      <w:r>
        <w:rPr>
          <w:sz w:val="20"/>
        </w:rPr>
        <w:t>extensive</w:t>
      </w:r>
      <w:r>
        <w:rPr>
          <w:spacing w:val="-4"/>
          <w:sz w:val="20"/>
        </w:rPr>
        <w:t> </w:t>
      </w:r>
      <w:r>
        <w:rPr>
          <w:sz w:val="20"/>
        </w:rPr>
        <w:t>range</w:t>
      </w:r>
      <w:r>
        <w:rPr>
          <w:spacing w:val="-2"/>
          <w:sz w:val="20"/>
        </w:rPr>
        <w:t> </w:t>
      </w:r>
      <w:r>
        <w:rPr>
          <w:sz w:val="20"/>
        </w:rPr>
        <w:t>of </w:t>
      </w:r>
      <w:r>
        <w:rPr>
          <w:spacing w:val="-2"/>
          <w:sz w:val="20"/>
        </w:rPr>
        <w:t>stakeholders.</w:t>
      </w:r>
    </w:p>
    <w:p>
      <w:pPr>
        <w:pStyle w:val="ListParagraph"/>
        <w:spacing w:after="0" w:line="268" w:lineRule="auto"/>
        <w:jc w:val="both"/>
        <w:rPr>
          <w:rFonts w:ascii="Symbol" w:hAnsi="Symbol"/>
          <w:sz w:val="20"/>
        </w:rPr>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Current</w:t>
      </w:r>
      <w:r>
        <w:rPr>
          <w:b/>
          <w:spacing w:val="-8"/>
          <w:sz w:val="24"/>
        </w:rPr>
        <w:t> </w:t>
      </w:r>
      <w:r>
        <w:rPr>
          <w:b/>
          <w:sz w:val="24"/>
        </w:rPr>
        <w:t>and</w:t>
      </w:r>
      <w:r>
        <w:rPr>
          <w:b/>
          <w:spacing w:val="-4"/>
          <w:sz w:val="24"/>
        </w:rPr>
        <w:t> </w:t>
      </w:r>
      <w:r>
        <w:rPr>
          <w:b/>
          <w:sz w:val="24"/>
        </w:rPr>
        <w:t>future</w:t>
      </w:r>
      <w:r>
        <w:rPr>
          <w:b/>
          <w:spacing w:val="-3"/>
          <w:sz w:val="24"/>
        </w:rPr>
        <w:t> </w:t>
      </w:r>
      <w:r>
        <w:rPr>
          <w:b/>
          <w:sz w:val="24"/>
        </w:rPr>
        <w:t>Developments</w:t>
      </w:r>
      <w:r>
        <w:rPr>
          <w:b/>
          <w:spacing w:val="-4"/>
          <w:sz w:val="24"/>
        </w:rPr>
        <w:t> </w:t>
      </w:r>
      <w:r>
        <w:rPr>
          <w:b/>
          <w:sz w:val="24"/>
        </w:rPr>
        <w:t>and</w:t>
      </w:r>
      <w:r>
        <w:rPr>
          <w:b/>
          <w:spacing w:val="-4"/>
          <w:sz w:val="24"/>
        </w:rPr>
        <w:t> </w:t>
      </w:r>
      <w:r>
        <w:rPr>
          <w:b/>
          <w:sz w:val="24"/>
        </w:rPr>
        <w:t>performance</w:t>
      </w:r>
      <w:r>
        <w:rPr>
          <w:b/>
          <w:spacing w:val="-3"/>
          <w:sz w:val="24"/>
        </w:rPr>
        <w:t> </w:t>
      </w:r>
      <w:r>
        <w:rPr>
          <w:b/>
          <w:spacing w:val="-2"/>
          <w:sz w:val="24"/>
        </w:rPr>
        <w:t>(continued)</w:t>
      </w:r>
    </w:p>
    <w:p>
      <w:pPr>
        <w:pStyle w:val="ListParagraph"/>
        <w:numPr>
          <w:ilvl w:val="0"/>
          <w:numId w:val="2"/>
        </w:numPr>
        <w:tabs>
          <w:tab w:pos="1133" w:val="left" w:leader="none"/>
          <w:tab w:pos="1135" w:val="left" w:leader="none"/>
        </w:tabs>
        <w:spacing w:line="271" w:lineRule="auto" w:before="231" w:after="0"/>
        <w:ind w:left="1135" w:right="1087" w:hanging="284"/>
        <w:jc w:val="both"/>
        <w:rPr>
          <w:rFonts w:ascii="Symbol" w:hAnsi="Symbol"/>
          <w:sz w:val="20"/>
        </w:rPr>
      </w:pPr>
      <w:r>
        <w:rPr>
          <w:sz w:val="20"/>
        </w:rPr>
        <w:t>Leaders, managers and curriculum staff work very well with stakeholders in the design and delivery of the curriculum.</w:t>
      </w:r>
    </w:p>
    <w:p>
      <w:pPr>
        <w:pStyle w:val="ListParagraph"/>
        <w:numPr>
          <w:ilvl w:val="0"/>
          <w:numId w:val="2"/>
        </w:numPr>
        <w:tabs>
          <w:tab w:pos="1133" w:val="left" w:leader="none"/>
          <w:tab w:pos="1135" w:val="left" w:leader="none"/>
        </w:tabs>
        <w:spacing w:line="271" w:lineRule="auto" w:before="5" w:after="0"/>
        <w:ind w:left="1135" w:right="1088" w:hanging="284"/>
        <w:jc w:val="both"/>
        <w:rPr>
          <w:rFonts w:ascii="Symbol" w:hAnsi="Symbol"/>
          <w:sz w:val="20"/>
        </w:rPr>
      </w:pPr>
      <w:r>
        <w:rPr>
          <w:sz w:val="20"/>
        </w:rPr>
        <w:t>Governors</w:t>
      </w:r>
      <w:r>
        <w:rPr>
          <w:spacing w:val="-7"/>
          <w:sz w:val="20"/>
        </w:rPr>
        <w:t> </w:t>
      </w:r>
      <w:r>
        <w:rPr>
          <w:sz w:val="20"/>
        </w:rPr>
        <w:t>have</w:t>
      </w:r>
      <w:r>
        <w:rPr>
          <w:spacing w:val="-9"/>
          <w:sz w:val="20"/>
        </w:rPr>
        <w:t> </w:t>
      </w:r>
      <w:r>
        <w:rPr>
          <w:sz w:val="20"/>
        </w:rPr>
        <w:t>recruited</w:t>
      </w:r>
      <w:r>
        <w:rPr>
          <w:spacing w:val="-9"/>
          <w:sz w:val="20"/>
        </w:rPr>
        <w:t> </w:t>
      </w:r>
      <w:r>
        <w:rPr>
          <w:sz w:val="20"/>
        </w:rPr>
        <w:t>a</w:t>
      </w:r>
      <w:r>
        <w:rPr>
          <w:spacing w:val="-7"/>
          <w:sz w:val="20"/>
        </w:rPr>
        <w:t> </w:t>
      </w:r>
      <w:r>
        <w:rPr>
          <w:sz w:val="20"/>
        </w:rPr>
        <w:t>strong</w:t>
      </w:r>
      <w:r>
        <w:rPr>
          <w:spacing w:val="-9"/>
          <w:sz w:val="20"/>
        </w:rPr>
        <w:t> </w:t>
      </w:r>
      <w:r>
        <w:rPr>
          <w:sz w:val="20"/>
        </w:rPr>
        <w:t>senior</w:t>
      </w:r>
      <w:r>
        <w:rPr>
          <w:spacing w:val="-8"/>
          <w:sz w:val="20"/>
        </w:rPr>
        <w:t> </w:t>
      </w:r>
      <w:r>
        <w:rPr>
          <w:sz w:val="20"/>
        </w:rPr>
        <w:t>leadership</w:t>
      </w:r>
      <w:r>
        <w:rPr>
          <w:spacing w:val="-9"/>
          <w:sz w:val="20"/>
        </w:rPr>
        <w:t> </w:t>
      </w:r>
      <w:r>
        <w:rPr>
          <w:sz w:val="20"/>
        </w:rPr>
        <w:t>team</w:t>
      </w:r>
      <w:r>
        <w:rPr>
          <w:spacing w:val="-9"/>
          <w:sz w:val="20"/>
        </w:rPr>
        <w:t> </w:t>
      </w:r>
      <w:r>
        <w:rPr>
          <w:sz w:val="20"/>
        </w:rPr>
        <w:t>following</w:t>
      </w:r>
      <w:r>
        <w:rPr>
          <w:spacing w:val="-9"/>
          <w:sz w:val="20"/>
        </w:rPr>
        <w:t> </w:t>
      </w:r>
      <w:r>
        <w:rPr>
          <w:sz w:val="20"/>
        </w:rPr>
        <w:t>a</w:t>
      </w:r>
      <w:r>
        <w:rPr>
          <w:spacing w:val="-7"/>
          <w:sz w:val="20"/>
        </w:rPr>
        <w:t> </w:t>
      </w:r>
      <w:r>
        <w:rPr>
          <w:sz w:val="20"/>
        </w:rPr>
        <w:t>long</w:t>
      </w:r>
      <w:r>
        <w:rPr>
          <w:spacing w:val="-9"/>
          <w:sz w:val="20"/>
        </w:rPr>
        <w:t> </w:t>
      </w:r>
      <w:r>
        <w:rPr>
          <w:sz w:val="20"/>
        </w:rPr>
        <w:t>period</w:t>
      </w:r>
      <w:r>
        <w:rPr>
          <w:spacing w:val="-7"/>
          <w:sz w:val="20"/>
        </w:rPr>
        <w:t> </w:t>
      </w:r>
      <w:r>
        <w:rPr>
          <w:sz w:val="20"/>
        </w:rPr>
        <w:t>of</w:t>
      </w:r>
      <w:r>
        <w:rPr>
          <w:spacing w:val="-9"/>
          <w:sz w:val="20"/>
        </w:rPr>
        <w:t> </w:t>
      </w:r>
      <w:r>
        <w:rPr>
          <w:sz w:val="20"/>
        </w:rPr>
        <w:t>change</w:t>
      </w:r>
      <w:r>
        <w:rPr>
          <w:spacing w:val="-9"/>
          <w:sz w:val="20"/>
        </w:rPr>
        <w:t> </w:t>
      </w:r>
      <w:r>
        <w:rPr>
          <w:sz w:val="20"/>
        </w:rPr>
        <w:t>and instability at the College.</w:t>
      </w:r>
    </w:p>
    <w:p>
      <w:pPr>
        <w:pStyle w:val="ListParagraph"/>
        <w:numPr>
          <w:ilvl w:val="0"/>
          <w:numId w:val="2"/>
        </w:numPr>
        <w:tabs>
          <w:tab w:pos="1133" w:val="left" w:leader="none"/>
          <w:tab w:pos="1135" w:val="left" w:leader="none"/>
        </w:tabs>
        <w:spacing w:line="271" w:lineRule="auto" w:before="6" w:after="0"/>
        <w:ind w:left="1135" w:right="1088" w:hanging="284"/>
        <w:jc w:val="both"/>
        <w:rPr>
          <w:rFonts w:ascii="Symbol" w:hAnsi="Symbol"/>
          <w:sz w:val="20"/>
        </w:rPr>
      </w:pPr>
      <w:r>
        <w:rPr>
          <w:sz w:val="20"/>
        </w:rPr>
        <w:t>Leaders and managers work with a small number of subcontractors to provide high-quality provision to adult learners.</w:t>
      </w:r>
    </w:p>
    <w:p>
      <w:pPr>
        <w:pStyle w:val="ListParagraph"/>
        <w:numPr>
          <w:ilvl w:val="0"/>
          <w:numId w:val="2"/>
        </w:numPr>
        <w:tabs>
          <w:tab w:pos="1133" w:val="left" w:leader="none"/>
          <w:tab w:pos="1135" w:val="left" w:leader="none"/>
        </w:tabs>
        <w:spacing w:line="273" w:lineRule="auto" w:before="6" w:after="0"/>
        <w:ind w:left="1135" w:right="1087" w:hanging="284"/>
        <w:jc w:val="both"/>
        <w:rPr>
          <w:rFonts w:ascii="Symbol" w:hAnsi="Symbol"/>
          <w:sz w:val="20"/>
        </w:rPr>
      </w:pPr>
      <w:r>
        <w:rPr>
          <w:sz w:val="20"/>
        </w:rPr>
        <w:t>Leaders</w:t>
      </w:r>
      <w:r>
        <w:rPr>
          <w:spacing w:val="-7"/>
          <w:sz w:val="20"/>
        </w:rPr>
        <w:t> </w:t>
      </w:r>
      <w:r>
        <w:rPr>
          <w:sz w:val="20"/>
        </w:rPr>
        <w:t>and</w:t>
      </w:r>
      <w:r>
        <w:rPr>
          <w:spacing w:val="-7"/>
          <w:sz w:val="20"/>
        </w:rPr>
        <w:t> </w:t>
      </w:r>
      <w:r>
        <w:rPr>
          <w:sz w:val="20"/>
        </w:rPr>
        <w:t>managers</w:t>
      </w:r>
      <w:r>
        <w:rPr>
          <w:spacing w:val="-7"/>
          <w:sz w:val="20"/>
        </w:rPr>
        <w:t> </w:t>
      </w:r>
      <w:r>
        <w:rPr>
          <w:sz w:val="20"/>
        </w:rPr>
        <w:t>ensure</w:t>
      </w:r>
      <w:r>
        <w:rPr>
          <w:spacing w:val="-9"/>
          <w:sz w:val="20"/>
        </w:rPr>
        <w:t> </w:t>
      </w:r>
      <w:r>
        <w:rPr>
          <w:sz w:val="20"/>
        </w:rPr>
        <w:t>that</w:t>
      </w:r>
      <w:r>
        <w:rPr>
          <w:spacing w:val="-9"/>
          <w:sz w:val="20"/>
        </w:rPr>
        <w:t> </w:t>
      </w:r>
      <w:r>
        <w:rPr>
          <w:sz w:val="20"/>
        </w:rPr>
        <w:t>teachers</w:t>
      </w:r>
      <w:r>
        <w:rPr>
          <w:spacing w:val="-7"/>
          <w:sz w:val="20"/>
        </w:rPr>
        <w:t> </w:t>
      </w:r>
      <w:r>
        <w:rPr>
          <w:sz w:val="20"/>
        </w:rPr>
        <w:t>are</w:t>
      </w:r>
      <w:r>
        <w:rPr>
          <w:spacing w:val="-9"/>
          <w:sz w:val="20"/>
        </w:rPr>
        <w:t> </w:t>
      </w:r>
      <w:r>
        <w:rPr>
          <w:sz w:val="20"/>
        </w:rPr>
        <w:t>suitably</w:t>
      </w:r>
      <w:r>
        <w:rPr>
          <w:spacing w:val="-7"/>
          <w:sz w:val="20"/>
        </w:rPr>
        <w:t> </w:t>
      </w:r>
      <w:r>
        <w:rPr>
          <w:sz w:val="20"/>
        </w:rPr>
        <w:t>qualified</w:t>
      </w:r>
      <w:r>
        <w:rPr>
          <w:spacing w:val="-9"/>
          <w:sz w:val="20"/>
        </w:rPr>
        <w:t> </w:t>
      </w:r>
      <w:r>
        <w:rPr>
          <w:sz w:val="20"/>
        </w:rPr>
        <w:t>and</w:t>
      </w:r>
      <w:r>
        <w:rPr>
          <w:spacing w:val="-9"/>
          <w:sz w:val="20"/>
        </w:rPr>
        <w:t> </w:t>
      </w:r>
      <w:r>
        <w:rPr>
          <w:sz w:val="20"/>
        </w:rPr>
        <w:t>highly</w:t>
      </w:r>
      <w:r>
        <w:rPr>
          <w:spacing w:val="-7"/>
          <w:sz w:val="20"/>
        </w:rPr>
        <w:t> </w:t>
      </w:r>
      <w:r>
        <w:rPr>
          <w:sz w:val="20"/>
        </w:rPr>
        <w:t>experienced</w:t>
      </w:r>
      <w:r>
        <w:rPr>
          <w:spacing w:val="-9"/>
          <w:sz w:val="20"/>
        </w:rPr>
        <w:t> </w:t>
      </w:r>
      <w:r>
        <w:rPr>
          <w:sz w:val="20"/>
        </w:rPr>
        <w:t>in</w:t>
      </w:r>
      <w:r>
        <w:rPr>
          <w:spacing w:val="-9"/>
          <w:sz w:val="20"/>
        </w:rPr>
        <w:t> </w:t>
      </w:r>
      <w:r>
        <w:rPr>
          <w:sz w:val="20"/>
        </w:rPr>
        <w:t>the subjects that they teach. Teachers keep their subject expertise up to date through relevant training</w:t>
      </w:r>
      <w:r>
        <w:rPr>
          <w:spacing w:val="-7"/>
          <w:sz w:val="20"/>
        </w:rPr>
        <w:t> </w:t>
      </w:r>
      <w:r>
        <w:rPr>
          <w:sz w:val="20"/>
        </w:rPr>
        <w:t>activities.</w:t>
      </w:r>
      <w:r>
        <w:rPr>
          <w:spacing w:val="-9"/>
          <w:sz w:val="20"/>
        </w:rPr>
        <w:t> </w:t>
      </w:r>
      <w:r>
        <w:rPr>
          <w:sz w:val="20"/>
        </w:rPr>
        <w:t>As</w:t>
      </w:r>
      <w:r>
        <w:rPr>
          <w:spacing w:val="-7"/>
          <w:sz w:val="20"/>
        </w:rPr>
        <w:t> </w:t>
      </w:r>
      <w:r>
        <w:rPr>
          <w:sz w:val="20"/>
        </w:rPr>
        <w:t>a</w:t>
      </w:r>
      <w:r>
        <w:rPr>
          <w:spacing w:val="-7"/>
          <w:sz w:val="20"/>
        </w:rPr>
        <w:t> </w:t>
      </w:r>
      <w:r>
        <w:rPr>
          <w:sz w:val="20"/>
        </w:rPr>
        <w:t>result,</w:t>
      </w:r>
      <w:r>
        <w:rPr>
          <w:spacing w:val="-6"/>
          <w:sz w:val="20"/>
        </w:rPr>
        <w:t> </w:t>
      </w:r>
      <w:r>
        <w:rPr>
          <w:sz w:val="20"/>
        </w:rPr>
        <w:t>learners</w:t>
      </w:r>
      <w:r>
        <w:rPr>
          <w:spacing w:val="-7"/>
          <w:sz w:val="20"/>
        </w:rPr>
        <w:t> </w:t>
      </w:r>
      <w:r>
        <w:rPr>
          <w:sz w:val="20"/>
        </w:rPr>
        <w:t>and</w:t>
      </w:r>
      <w:r>
        <w:rPr>
          <w:spacing w:val="-9"/>
          <w:sz w:val="20"/>
        </w:rPr>
        <w:t> </w:t>
      </w:r>
      <w:r>
        <w:rPr>
          <w:sz w:val="20"/>
        </w:rPr>
        <w:t>apprentices’</w:t>
      </w:r>
      <w:r>
        <w:rPr>
          <w:spacing w:val="-7"/>
          <w:sz w:val="20"/>
        </w:rPr>
        <w:t> </w:t>
      </w:r>
      <w:r>
        <w:rPr>
          <w:sz w:val="20"/>
        </w:rPr>
        <w:t>benefit</w:t>
      </w:r>
      <w:r>
        <w:rPr>
          <w:spacing w:val="-6"/>
          <w:sz w:val="20"/>
        </w:rPr>
        <w:t> </w:t>
      </w:r>
      <w:r>
        <w:rPr>
          <w:sz w:val="20"/>
        </w:rPr>
        <w:t>from</w:t>
      </w:r>
      <w:r>
        <w:rPr>
          <w:spacing w:val="-7"/>
          <w:sz w:val="20"/>
        </w:rPr>
        <w:t> </w:t>
      </w:r>
      <w:r>
        <w:rPr>
          <w:sz w:val="20"/>
        </w:rPr>
        <w:t>teaching</w:t>
      </w:r>
      <w:r>
        <w:rPr>
          <w:spacing w:val="-9"/>
          <w:sz w:val="20"/>
        </w:rPr>
        <w:t> </w:t>
      </w:r>
      <w:r>
        <w:rPr>
          <w:sz w:val="20"/>
        </w:rPr>
        <w:t>that</w:t>
      </w:r>
      <w:r>
        <w:rPr>
          <w:spacing w:val="-6"/>
          <w:sz w:val="20"/>
        </w:rPr>
        <w:t> </w:t>
      </w:r>
      <w:r>
        <w:rPr>
          <w:sz w:val="20"/>
        </w:rPr>
        <w:t>is</w:t>
      </w:r>
      <w:r>
        <w:rPr>
          <w:spacing w:val="-7"/>
          <w:sz w:val="20"/>
        </w:rPr>
        <w:t> </w:t>
      </w:r>
      <w:r>
        <w:rPr>
          <w:sz w:val="20"/>
        </w:rPr>
        <w:t>current</w:t>
      </w:r>
      <w:r>
        <w:rPr>
          <w:spacing w:val="-9"/>
          <w:sz w:val="20"/>
        </w:rPr>
        <w:t> </w:t>
      </w:r>
      <w:r>
        <w:rPr>
          <w:sz w:val="20"/>
        </w:rPr>
        <w:t>and </w:t>
      </w:r>
      <w:r>
        <w:rPr>
          <w:spacing w:val="-2"/>
          <w:sz w:val="20"/>
        </w:rPr>
        <w:t>relevant.</w:t>
      </w:r>
    </w:p>
    <w:p>
      <w:pPr>
        <w:pStyle w:val="ListParagraph"/>
        <w:numPr>
          <w:ilvl w:val="0"/>
          <w:numId w:val="2"/>
        </w:numPr>
        <w:tabs>
          <w:tab w:pos="1134" w:val="left" w:leader="none"/>
          <w:tab w:pos="1136" w:val="left" w:leader="none"/>
        </w:tabs>
        <w:spacing w:line="273" w:lineRule="auto" w:before="7" w:after="0"/>
        <w:ind w:left="1136" w:right="1089" w:hanging="284"/>
        <w:jc w:val="both"/>
        <w:rPr>
          <w:rFonts w:ascii="Symbol" w:hAnsi="Symbol"/>
          <w:sz w:val="20"/>
        </w:rPr>
      </w:pPr>
      <w:r>
        <w:rPr>
          <w:sz w:val="20"/>
        </w:rPr>
        <w:t>Teachers</w:t>
      </w:r>
      <w:r>
        <w:rPr>
          <w:spacing w:val="-11"/>
          <w:sz w:val="20"/>
        </w:rPr>
        <w:t> </w:t>
      </w:r>
      <w:r>
        <w:rPr>
          <w:sz w:val="20"/>
        </w:rPr>
        <w:t>use</w:t>
      </w:r>
      <w:r>
        <w:rPr>
          <w:spacing w:val="-12"/>
          <w:sz w:val="20"/>
        </w:rPr>
        <w:t> </w:t>
      </w:r>
      <w:r>
        <w:rPr>
          <w:sz w:val="20"/>
        </w:rPr>
        <w:t>initial</w:t>
      </w:r>
      <w:r>
        <w:rPr>
          <w:spacing w:val="-13"/>
          <w:sz w:val="20"/>
        </w:rPr>
        <w:t> </w:t>
      </w:r>
      <w:r>
        <w:rPr>
          <w:sz w:val="20"/>
        </w:rPr>
        <w:t>assessment</w:t>
      </w:r>
      <w:r>
        <w:rPr>
          <w:spacing w:val="-12"/>
          <w:sz w:val="20"/>
        </w:rPr>
        <w:t> </w:t>
      </w:r>
      <w:r>
        <w:rPr>
          <w:sz w:val="20"/>
        </w:rPr>
        <w:t>well</w:t>
      </w:r>
      <w:r>
        <w:rPr>
          <w:spacing w:val="-13"/>
          <w:sz w:val="20"/>
        </w:rPr>
        <w:t> </w:t>
      </w:r>
      <w:r>
        <w:rPr>
          <w:sz w:val="20"/>
        </w:rPr>
        <w:t>to</w:t>
      </w:r>
      <w:r>
        <w:rPr>
          <w:spacing w:val="-12"/>
          <w:sz w:val="20"/>
        </w:rPr>
        <w:t> </w:t>
      </w:r>
      <w:r>
        <w:rPr>
          <w:sz w:val="20"/>
        </w:rPr>
        <w:t>identify</w:t>
      </w:r>
      <w:r>
        <w:rPr>
          <w:spacing w:val="-11"/>
          <w:sz w:val="20"/>
        </w:rPr>
        <w:t> </w:t>
      </w:r>
      <w:r>
        <w:rPr>
          <w:sz w:val="20"/>
        </w:rPr>
        <w:t>what</w:t>
      </w:r>
      <w:r>
        <w:rPr>
          <w:spacing w:val="-12"/>
          <w:sz w:val="20"/>
        </w:rPr>
        <w:t> </w:t>
      </w:r>
      <w:r>
        <w:rPr>
          <w:sz w:val="20"/>
        </w:rPr>
        <w:t>learners</w:t>
      </w:r>
      <w:r>
        <w:rPr>
          <w:spacing w:val="-11"/>
          <w:sz w:val="20"/>
        </w:rPr>
        <w:t> </w:t>
      </w:r>
      <w:r>
        <w:rPr>
          <w:sz w:val="20"/>
        </w:rPr>
        <w:t>and</w:t>
      </w:r>
      <w:r>
        <w:rPr>
          <w:spacing w:val="-12"/>
          <w:sz w:val="20"/>
        </w:rPr>
        <w:t> </w:t>
      </w:r>
      <w:r>
        <w:rPr>
          <w:sz w:val="20"/>
        </w:rPr>
        <w:t>apprentices</w:t>
      </w:r>
      <w:r>
        <w:rPr>
          <w:spacing w:val="-11"/>
          <w:sz w:val="20"/>
        </w:rPr>
        <w:t> </w:t>
      </w:r>
      <w:r>
        <w:rPr>
          <w:sz w:val="20"/>
        </w:rPr>
        <w:t>already</w:t>
      </w:r>
      <w:r>
        <w:rPr>
          <w:spacing w:val="-11"/>
          <w:sz w:val="20"/>
        </w:rPr>
        <w:t> </w:t>
      </w:r>
      <w:r>
        <w:rPr>
          <w:sz w:val="20"/>
        </w:rPr>
        <w:t>know</w:t>
      </w:r>
      <w:r>
        <w:rPr>
          <w:spacing w:val="-12"/>
          <w:sz w:val="20"/>
        </w:rPr>
        <w:t> </w:t>
      </w:r>
      <w:r>
        <w:rPr>
          <w:sz w:val="20"/>
        </w:rPr>
        <w:t>and can</w:t>
      </w:r>
      <w:r>
        <w:rPr>
          <w:spacing w:val="-3"/>
          <w:sz w:val="20"/>
        </w:rPr>
        <w:t> </w:t>
      </w:r>
      <w:r>
        <w:rPr>
          <w:sz w:val="20"/>
        </w:rPr>
        <w:t>do.</w:t>
      </w:r>
      <w:r>
        <w:rPr>
          <w:spacing w:val="-3"/>
          <w:sz w:val="20"/>
        </w:rPr>
        <w:t> </w:t>
      </w:r>
      <w:r>
        <w:rPr>
          <w:sz w:val="20"/>
        </w:rPr>
        <w:t>They make</w:t>
      </w:r>
      <w:r>
        <w:rPr>
          <w:spacing w:val="-2"/>
          <w:sz w:val="20"/>
        </w:rPr>
        <w:t> </w:t>
      </w:r>
      <w:r>
        <w:rPr>
          <w:sz w:val="20"/>
        </w:rPr>
        <w:t>good</w:t>
      </w:r>
      <w:r>
        <w:rPr>
          <w:spacing w:val="-2"/>
          <w:sz w:val="20"/>
        </w:rPr>
        <w:t> </w:t>
      </w:r>
      <w:r>
        <w:rPr>
          <w:sz w:val="20"/>
        </w:rPr>
        <w:t>use</w:t>
      </w:r>
      <w:r>
        <w:rPr>
          <w:spacing w:val="-3"/>
          <w:sz w:val="20"/>
        </w:rPr>
        <w:t> </w:t>
      </w:r>
      <w:r>
        <w:rPr>
          <w:sz w:val="20"/>
        </w:rPr>
        <w:t>of</w:t>
      </w:r>
      <w:r>
        <w:rPr>
          <w:spacing w:val="-2"/>
          <w:sz w:val="20"/>
        </w:rPr>
        <w:t> </w:t>
      </w:r>
      <w:r>
        <w:rPr>
          <w:sz w:val="20"/>
        </w:rPr>
        <w:t>information</w:t>
      </w:r>
      <w:r>
        <w:rPr>
          <w:spacing w:val="-2"/>
          <w:sz w:val="20"/>
        </w:rPr>
        <w:t> </w:t>
      </w:r>
      <w:r>
        <w:rPr>
          <w:sz w:val="20"/>
        </w:rPr>
        <w:t>from</w:t>
      </w:r>
      <w:r>
        <w:rPr>
          <w:spacing w:val="-2"/>
          <w:sz w:val="20"/>
        </w:rPr>
        <w:t> </w:t>
      </w:r>
      <w:r>
        <w:rPr>
          <w:sz w:val="20"/>
        </w:rPr>
        <w:t>initial</w:t>
      </w:r>
      <w:r>
        <w:rPr>
          <w:spacing w:val="-3"/>
          <w:sz w:val="20"/>
        </w:rPr>
        <w:t> </w:t>
      </w:r>
      <w:r>
        <w:rPr>
          <w:sz w:val="20"/>
        </w:rPr>
        <w:t>assessment</w:t>
      </w:r>
      <w:r>
        <w:rPr>
          <w:spacing w:val="-2"/>
          <w:sz w:val="20"/>
        </w:rPr>
        <w:t> </w:t>
      </w:r>
      <w:r>
        <w:rPr>
          <w:sz w:val="20"/>
        </w:rPr>
        <w:t>to</w:t>
      </w:r>
      <w:r>
        <w:rPr>
          <w:spacing w:val="-2"/>
          <w:sz w:val="20"/>
        </w:rPr>
        <w:t> </w:t>
      </w:r>
      <w:r>
        <w:rPr>
          <w:sz w:val="20"/>
        </w:rPr>
        <w:t>plan</w:t>
      </w:r>
      <w:r>
        <w:rPr>
          <w:spacing w:val="-2"/>
          <w:sz w:val="20"/>
        </w:rPr>
        <w:t> </w:t>
      </w:r>
      <w:r>
        <w:rPr>
          <w:sz w:val="20"/>
        </w:rPr>
        <w:t>teaching</w:t>
      </w:r>
      <w:r>
        <w:rPr>
          <w:spacing w:val="-3"/>
          <w:sz w:val="20"/>
        </w:rPr>
        <w:t> </w:t>
      </w:r>
      <w:r>
        <w:rPr>
          <w:sz w:val="20"/>
        </w:rPr>
        <w:t>that</w:t>
      </w:r>
      <w:r>
        <w:rPr>
          <w:spacing w:val="-2"/>
          <w:sz w:val="20"/>
        </w:rPr>
        <w:t> </w:t>
      </w:r>
      <w:r>
        <w:rPr>
          <w:sz w:val="20"/>
        </w:rPr>
        <w:t>meets learners’ and apprentices’ specific needs.</w:t>
      </w:r>
    </w:p>
    <w:p>
      <w:pPr>
        <w:pStyle w:val="ListParagraph"/>
        <w:numPr>
          <w:ilvl w:val="0"/>
          <w:numId w:val="2"/>
        </w:numPr>
        <w:tabs>
          <w:tab w:pos="1134" w:val="left" w:leader="none"/>
          <w:tab w:pos="1136" w:val="left" w:leader="none"/>
        </w:tabs>
        <w:spacing w:line="271" w:lineRule="auto" w:before="2" w:after="0"/>
        <w:ind w:left="1136" w:right="1086" w:hanging="284"/>
        <w:jc w:val="both"/>
        <w:rPr>
          <w:rFonts w:ascii="Symbol" w:hAnsi="Symbol"/>
          <w:sz w:val="20"/>
        </w:rPr>
      </w:pPr>
      <w:r>
        <w:rPr>
          <w:sz w:val="20"/>
        </w:rPr>
        <w:t>Managers and teachers carefully plan and structure courses to help learners and apprentices successively build on their learning over time.</w:t>
      </w:r>
    </w:p>
    <w:p>
      <w:pPr>
        <w:pStyle w:val="ListParagraph"/>
        <w:numPr>
          <w:ilvl w:val="0"/>
          <w:numId w:val="2"/>
        </w:numPr>
        <w:tabs>
          <w:tab w:pos="1134" w:val="left" w:leader="none"/>
          <w:tab w:pos="1136" w:val="left" w:leader="none"/>
        </w:tabs>
        <w:spacing w:line="271" w:lineRule="auto" w:before="6" w:after="0"/>
        <w:ind w:left="1136" w:right="1089" w:hanging="284"/>
        <w:jc w:val="both"/>
        <w:rPr>
          <w:rFonts w:ascii="Symbol" w:hAnsi="Symbol"/>
          <w:sz w:val="20"/>
        </w:rPr>
      </w:pPr>
      <w:r>
        <w:rPr>
          <w:sz w:val="20"/>
        </w:rPr>
        <w:t>Teachers use a range of assistive technologies and strategies to enable learners and apprentices with high needs to participate fully in sessions.</w:t>
      </w:r>
    </w:p>
    <w:p>
      <w:pPr>
        <w:pStyle w:val="ListParagraph"/>
        <w:numPr>
          <w:ilvl w:val="0"/>
          <w:numId w:val="2"/>
        </w:numPr>
        <w:tabs>
          <w:tab w:pos="1134" w:val="left" w:leader="none"/>
          <w:tab w:pos="1136" w:val="left" w:leader="none"/>
        </w:tabs>
        <w:spacing w:line="271" w:lineRule="auto" w:before="6" w:after="0"/>
        <w:ind w:left="1136" w:right="1086" w:hanging="284"/>
        <w:jc w:val="both"/>
        <w:rPr>
          <w:rFonts w:ascii="Symbol" w:hAnsi="Symbol"/>
          <w:sz w:val="20"/>
        </w:rPr>
      </w:pPr>
      <w:r>
        <w:rPr>
          <w:sz w:val="20"/>
        </w:rPr>
        <w:t>Most teachers support learners and apprentices well to develop their English and mathematics skills in vocational sessions.</w:t>
      </w:r>
    </w:p>
    <w:p>
      <w:pPr>
        <w:pStyle w:val="ListParagraph"/>
        <w:numPr>
          <w:ilvl w:val="0"/>
          <w:numId w:val="2"/>
        </w:numPr>
        <w:tabs>
          <w:tab w:pos="1134" w:val="left" w:leader="none"/>
          <w:tab w:pos="1136" w:val="left" w:leader="none"/>
        </w:tabs>
        <w:spacing w:line="273" w:lineRule="auto" w:before="5" w:after="0"/>
        <w:ind w:left="1136" w:right="1087" w:hanging="284"/>
        <w:jc w:val="both"/>
        <w:rPr>
          <w:rFonts w:ascii="Symbol" w:hAnsi="Symbol"/>
          <w:sz w:val="20"/>
        </w:rPr>
      </w:pPr>
      <w:r>
        <w:rPr>
          <w:sz w:val="20"/>
        </w:rPr>
        <w:t>Learners studying GCSE English and mathematics courses benefit from high-quality teaching. Teachers support adult learners to understand the value of mathematics to their work and personal lives.</w:t>
      </w:r>
    </w:p>
    <w:p>
      <w:pPr>
        <w:pStyle w:val="ListParagraph"/>
        <w:numPr>
          <w:ilvl w:val="0"/>
          <w:numId w:val="2"/>
        </w:numPr>
        <w:tabs>
          <w:tab w:pos="1134" w:val="left" w:leader="none"/>
          <w:tab w:pos="1136" w:val="left" w:leader="none"/>
        </w:tabs>
        <w:spacing w:line="271" w:lineRule="auto" w:before="3" w:after="0"/>
        <w:ind w:left="1136" w:right="1088" w:hanging="284"/>
        <w:jc w:val="both"/>
        <w:rPr>
          <w:rFonts w:ascii="Symbol" w:hAnsi="Symbol"/>
          <w:sz w:val="20"/>
        </w:rPr>
      </w:pPr>
      <w:r>
        <w:rPr>
          <w:sz w:val="20"/>
        </w:rPr>
        <w:t>Most</w:t>
      </w:r>
      <w:r>
        <w:rPr>
          <w:spacing w:val="-6"/>
          <w:sz w:val="20"/>
        </w:rPr>
        <w:t> </w:t>
      </w:r>
      <w:r>
        <w:rPr>
          <w:sz w:val="20"/>
        </w:rPr>
        <w:t>learners</w:t>
      </w:r>
      <w:r>
        <w:rPr>
          <w:spacing w:val="-5"/>
          <w:sz w:val="20"/>
        </w:rPr>
        <w:t> </w:t>
      </w:r>
      <w:r>
        <w:rPr>
          <w:sz w:val="20"/>
        </w:rPr>
        <w:t>and</w:t>
      </w:r>
      <w:r>
        <w:rPr>
          <w:spacing w:val="-4"/>
          <w:sz w:val="20"/>
        </w:rPr>
        <w:t> </w:t>
      </w:r>
      <w:r>
        <w:rPr>
          <w:sz w:val="20"/>
        </w:rPr>
        <w:t>apprentices</w:t>
      </w:r>
      <w:r>
        <w:rPr>
          <w:spacing w:val="-5"/>
          <w:sz w:val="20"/>
        </w:rPr>
        <w:t> </w:t>
      </w:r>
      <w:r>
        <w:rPr>
          <w:sz w:val="20"/>
        </w:rPr>
        <w:t>make</w:t>
      </w:r>
      <w:r>
        <w:rPr>
          <w:spacing w:val="-7"/>
          <w:sz w:val="20"/>
        </w:rPr>
        <w:t> </w:t>
      </w:r>
      <w:r>
        <w:rPr>
          <w:sz w:val="20"/>
        </w:rPr>
        <w:t>good</w:t>
      </w:r>
      <w:r>
        <w:rPr>
          <w:spacing w:val="-7"/>
          <w:sz w:val="20"/>
        </w:rPr>
        <w:t> </w:t>
      </w:r>
      <w:r>
        <w:rPr>
          <w:sz w:val="20"/>
        </w:rPr>
        <w:t>progress</w:t>
      </w:r>
      <w:r>
        <w:rPr>
          <w:spacing w:val="-5"/>
          <w:sz w:val="20"/>
        </w:rPr>
        <w:t> </w:t>
      </w:r>
      <w:r>
        <w:rPr>
          <w:sz w:val="20"/>
        </w:rPr>
        <w:t>from</w:t>
      </w:r>
      <w:r>
        <w:rPr>
          <w:spacing w:val="-7"/>
          <w:sz w:val="20"/>
        </w:rPr>
        <w:t> </w:t>
      </w:r>
      <w:r>
        <w:rPr>
          <w:sz w:val="20"/>
        </w:rPr>
        <w:t>their</w:t>
      </w:r>
      <w:r>
        <w:rPr>
          <w:spacing w:val="-5"/>
          <w:sz w:val="20"/>
        </w:rPr>
        <w:t> </w:t>
      </w:r>
      <w:r>
        <w:rPr>
          <w:sz w:val="20"/>
        </w:rPr>
        <w:t>starting</w:t>
      </w:r>
      <w:r>
        <w:rPr>
          <w:spacing w:val="-7"/>
          <w:sz w:val="20"/>
        </w:rPr>
        <w:t> </w:t>
      </w:r>
      <w:r>
        <w:rPr>
          <w:sz w:val="20"/>
        </w:rPr>
        <w:t>points</w:t>
      </w:r>
      <w:r>
        <w:rPr>
          <w:spacing w:val="-5"/>
          <w:sz w:val="20"/>
        </w:rPr>
        <w:t> </w:t>
      </w:r>
      <w:r>
        <w:rPr>
          <w:sz w:val="20"/>
        </w:rPr>
        <w:t>in</w:t>
      </w:r>
      <w:r>
        <w:rPr>
          <w:spacing w:val="-7"/>
          <w:sz w:val="20"/>
        </w:rPr>
        <w:t> </w:t>
      </w:r>
      <w:r>
        <w:rPr>
          <w:sz w:val="20"/>
        </w:rPr>
        <w:t>developing</w:t>
      </w:r>
      <w:r>
        <w:rPr>
          <w:spacing w:val="-7"/>
          <w:sz w:val="20"/>
        </w:rPr>
        <w:t> </w:t>
      </w:r>
      <w:r>
        <w:rPr>
          <w:sz w:val="20"/>
        </w:rPr>
        <w:t>their knowledge, skills and behaviours, and achieve their qualifications.</w:t>
      </w:r>
    </w:p>
    <w:p>
      <w:pPr>
        <w:pStyle w:val="ListParagraph"/>
        <w:numPr>
          <w:ilvl w:val="0"/>
          <w:numId w:val="2"/>
        </w:numPr>
        <w:tabs>
          <w:tab w:pos="1134" w:val="left" w:leader="none"/>
          <w:tab w:pos="1136" w:val="left" w:leader="none"/>
        </w:tabs>
        <w:spacing w:line="273" w:lineRule="auto" w:before="6" w:after="0"/>
        <w:ind w:left="1136" w:right="1084" w:hanging="284"/>
        <w:jc w:val="both"/>
        <w:rPr>
          <w:rFonts w:ascii="Symbol" w:hAnsi="Symbol"/>
          <w:sz w:val="20"/>
        </w:rPr>
      </w:pPr>
      <w:r>
        <w:rPr>
          <w:sz w:val="20"/>
        </w:rPr>
        <w:t>Staff provide learners with an extensive range of opportunities to explore new interests and talents, and to develop their confidence. They pay particular attention to supporting the most disadvantaged learners.</w:t>
      </w:r>
    </w:p>
    <w:p>
      <w:pPr>
        <w:pStyle w:val="ListParagraph"/>
        <w:numPr>
          <w:ilvl w:val="0"/>
          <w:numId w:val="2"/>
        </w:numPr>
        <w:tabs>
          <w:tab w:pos="1134" w:val="left" w:leader="none"/>
          <w:tab w:pos="1136" w:val="left" w:leader="none"/>
        </w:tabs>
        <w:spacing w:line="271" w:lineRule="auto" w:before="2" w:after="0"/>
        <w:ind w:left="1136" w:right="1089" w:hanging="284"/>
        <w:jc w:val="both"/>
        <w:rPr>
          <w:rFonts w:ascii="Symbol" w:hAnsi="Symbol"/>
          <w:sz w:val="20"/>
        </w:rPr>
      </w:pPr>
      <w:r>
        <w:rPr>
          <w:sz w:val="20"/>
        </w:rPr>
        <w:t>Staff plan substantial opportunities help learners and apprentices to understand what it means to be responsible, respectful and active citizens.</w:t>
      </w:r>
    </w:p>
    <w:p>
      <w:pPr>
        <w:pStyle w:val="ListParagraph"/>
        <w:numPr>
          <w:ilvl w:val="0"/>
          <w:numId w:val="2"/>
        </w:numPr>
        <w:tabs>
          <w:tab w:pos="1134" w:val="left" w:leader="none"/>
          <w:tab w:pos="1136" w:val="left" w:leader="none"/>
        </w:tabs>
        <w:spacing w:line="271" w:lineRule="auto" w:before="6" w:after="0"/>
        <w:ind w:left="1136" w:right="1086" w:hanging="284"/>
        <w:jc w:val="both"/>
        <w:rPr>
          <w:rFonts w:ascii="Symbol" w:hAnsi="Symbol"/>
          <w:sz w:val="20"/>
        </w:rPr>
      </w:pPr>
      <w:r>
        <w:rPr>
          <w:sz w:val="20"/>
        </w:rPr>
        <w:t>Teachers ensure that learners and apprentices can make informed choices about their next steps and make progress towards securing their future career goals.</w:t>
      </w:r>
    </w:p>
    <w:p>
      <w:pPr>
        <w:pStyle w:val="BodyText"/>
        <w:spacing w:before="5"/>
      </w:pPr>
    </w:p>
    <w:p>
      <w:pPr>
        <w:pStyle w:val="BodyText"/>
        <w:ind w:left="853"/>
      </w:pPr>
      <w:r>
        <w:rPr/>
        <w:t>A</w:t>
      </w:r>
      <w:r>
        <w:rPr>
          <w:spacing w:val="-7"/>
        </w:rPr>
        <w:t> </w:t>
      </w:r>
      <w:r>
        <w:rPr/>
        <w:t>quote</w:t>
      </w:r>
      <w:r>
        <w:rPr>
          <w:spacing w:val="-4"/>
        </w:rPr>
        <w:t> </w:t>
      </w:r>
      <w:r>
        <w:rPr/>
        <w:t>from</w:t>
      </w:r>
      <w:r>
        <w:rPr>
          <w:spacing w:val="-3"/>
        </w:rPr>
        <w:t> </w:t>
      </w:r>
      <w:r>
        <w:rPr/>
        <w:t>a</w:t>
      </w:r>
      <w:r>
        <w:rPr>
          <w:spacing w:val="-6"/>
        </w:rPr>
        <w:t> </w:t>
      </w:r>
      <w:r>
        <w:rPr/>
        <w:t>student</w:t>
      </w:r>
      <w:r>
        <w:rPr>
          <w:spacing w:val="-4"/>
        </w:rPr>
        <w:t> </w:t>
      </w:r>
      <w:r>
        <w:rPr/>
        <w:t>in</w:t>
      </w:r>
      <w:r>
        <w:rPr>
          <w:spacing w:val="-3"/>
        </w:rPr>
        <w:t> </w:t>
      </w:r>
      <w:r>
        <w:rPr/>
        <w:t>our</w:t>
      </w:r>
      <w:r>
        <w:rPr>
          <w:spacing w:val="-5"/>
        </w:rPr>
        <w:t> </w:t>
      </w:r>
      <w:r>
        <w:rPr/>
        <w:t>survey</w:t>
      </w:r>
      <w:r>
        <w:rPr>
          <w:spacing w:val="-5"/>
        </w:rPr>
        <w:t> </w:t>
      </w:r>
      <w:r>
        <w:rPr/>
        <w:t>stated</w:t>
      </w:r>
      <w:r>
        <w:rPr>
          <w:spacing w:val="-5"/>
        </w:rPr>
        <w:t> </w:t>
      </w:r>
      <w:r>
        <w:rPr>
          <w:spacing w:val="-2"/>
        </w:rPr>
        <w:t>that:</w:t>
      </w:r>
    </w:p>
    <w:p>
      <w:pPr>
        <w:pStyle w:val="BodyText"/>
        <w:spacing w:before="1"/>
      </w:pPr>
    </w:p>
    <w:p>
      <w:pPr>
        <w:pStyle w:val="BodyText"/>
        <w:ind w:left="853"/>
      </w:pPr>
      <w:r>
        <w:rPr/>
        <w:t>Hull</w:t>
      </w:r>
      <w:r>
        <w:rPr>
          <w:spacing w:val="-6"/>
        </w:rPr>
        <w:t> </w:t>
      </w:r>
      <w:r>
        <w:rPr/>
        <w:t>College</w:t>
      </w:r>
      <w:r>
        <w:rPr>
          <w:spacing w:val="-2"/>
        </w:rPr>
        <w:t> </w:t>
      </w:r>
      <w:r>
        <w:rPr/>
        <w:t>is</w:t>
      </w:r>
      <w:r>
        <w:rPr>
          <w:spacing w:val="-3"/>
        </w:rPr>
        <w:t> </w:t>
      </w:r>
      <w:r>
        <w:rPr/>
        <w:t>a</w:t>
      </w:r>
      <w:r>
        <w:rPr>
          <w:spacing w:val="-2"/>
        </w:rPr>
        <w:t> </w:t>
      </w:r>
      <w:r>
        <w:rPr/>
        <w:t>path</w:t>
      </w:r>
      <w:r>
        <w:rPr>
          <w:spacing w:val="-4"/>
        </w:rPr>
        <w:t> </w:t>
      </w:r>
      <w:r>
        <w:rPr/>
        <w:t>of</w:t>
      </w:r>
      <w:r>
        <w:rPr>
          <w:spacing w:val="-3"/>
        </w:rPr>
        <w:t> </w:t>
      </w:r>
      <w:r>
        <w:rPr/>
        <w:t>light</w:t>
      </w:r>
      <w:r>
        <w:rPr>
          <w:spacing w:val="-4"/>
        </w:rPr>
        <w:t> </w:t>
      </w:r>
      <w:r>
        <w:rPr/>
        <w:t>that</w:t>
      </w:r>
      <w:r>
        <w:rPr>
          <w:spacing w:val="-4"/>
        </w:rPr>
        <w:t> </w:t>
      </w:r>
      <w:r>
        <w:rPr/>
        <w:t>will</w:t>
      </w:r>
      <w:r>
        <w:rPr>
          <w:spacing w:val="-5"/>
        </w:rPr>
        <w:t> </w:t>
      </w:r>
      <w:r>
        <w:rPr/>
        <w:t>bring</w:t>
      </w:r>
      <w:r>
        <w:rPr>
          <w:spacing w:val="-4"/>
        </w:rPr>
        <w:t> </w:t>
      </w:r>
      <w:r>
        <w:rPr/>
        <w:t>you</w:t>
      </w:r>
      <w:r>
        <w:rPr>
          <w:spacing w:val="-4"/>
        </w:rPr>
        <w:t> </w:t>
      </w:r>
      <w:r>
        <w:rPr/>
        <w:t>out</w:t>
      </w:r>
      <w:r>
        <w:rPr>
          <w:spacing w:val="-4"/>
        </w:rPr>
        <w:t> </w:t>
      </w:r>
      <w:r>
        <w:rPr/>
        <w:t>of</w:t>
      </w:r>
      <w:r>
        <w:rPr>
          <w:spacing w:val="-2"/>
        </w:rPr>
        <w:t> darkness</w:t>
      </w:r>
    </w:p>
    <w:p>
      <w:pPr>
        <w:pStyle w:val="Heading3"/>
        <w:spacing w:before="229"/>
      </w:pPr>
      <w:r>
        <w:rPr/>
        <w:t>Principal</w:t>
      </w:r>
      <w:r>
        <w:rPr>
          <w:spacing w:val="-1"/>
        </w:rPr>
        <w:t> </w:t>
      </w:r>
      <w:r>
        <w:rPr/>
        <w:t>risks</w:t>
      </w:r>
      <w:r>
        <w:rPr>
          <w:spacing w:val="-3"/>
        </w:rPr>
        <w:t> </w:t>
      </w:r>
      <w:r>
        <w:rPr/>
        <w:t>and</w:t>
      </w:r>
      <w:r>
        <w:rPr>
          <w:spacing w:val="-1"/>
        </w:rPr>
        <w:t> </w:t>
      </w:r>
      <w:r>
        <w:rPr>
          <w:spacing w:val="-2"/>
        </w:rPr>
        <w:t>uncertainties</w:t>
      </w:r>
    </w:p>
    <w:p>
      <w:pPr>
        <w:pStyle w:val="BodyText"/>
        <w:spacing w:before="230"/>
        <w:ind w:left="852" w:right="1085"/>
        <w:jc w:val="both"/>
      </w:pPr>
      <w:r>
        <w:rPr/>
        <w:t>The</w:t>
      </w:r>
      <w:r>
        <w:rPr>
          <w:spacing w:val="-4"/>
        </w:rPr>
        <w:t> </w:t>
      </w:r>
      <w:r>
        <w:rPr/>
        <w:t>College</w:t>
      </w:r>
      <w:r>
        <w:rPr>
          <w:spacing w:val="-4"/>
        </w:rPr>
        <w:t> </w:t>
      </w:r>
      <w:r>
        <w:rPr/>
        <w:t>is</w:t>
      </w:r>
      <w:r>
        <w:rPr>
          <w:spacing w:val="-3"/>
        </w:rPr>
        <w:t> </w:t>
      </w:r>
      <w:r>
        <w:rPr/>
        <w:t>re-establishing</w:t>
      </w:r>
      <w:r>
        <w:rPr>
          <w:spacing w:val="-4"/>
        </w:rPr>
        <w:t> </w:t>
      </w:r>
      <w:r>
        <w:rPr/>
        <w:t>its</w:t>
      </w:r>
      <w:r>
        <w:rPr>
          <w:spacing w:val="-3"/>
        </w:rPr>
        <w:t> </w:t>
      </w:r>
      <w:r>
        <w:rPr/>
        <w:t>good</w:t>
      </w:r>
      <w:r>
        <w:rPr>
          <w:spacing w:val="-4"/>
        </w:rPr>
        <w:t> </w:t>
      </w:r>
      <w:r>
        <w:rPr/>
        <w:t>reputation</w:t>
      </w:r>
      <w:r>
        <w:rPr>
          <w:spacing w:val="-2"/>
        </w:rPr>
        <w:t> </w:t>
      </w:r>
      <w:r>
        <w:rPr/>
        <w:t>locally,</w:t>
      </w:r>
      <w:r>
        <w:rPr>
          <w:spacing w:val="-4"/>
        </w:rPr>
        <w:t> </w:t>
      </w:r>
      <w:r>
        <w:rPr/>
        <w:t>regionally,</w:t>
      </w:r>
      <w:r>
        <w:rPr>
          <w:spacing w:val="-4"/>
        </w:rPr>
        <w:t> </w:t>
      </w:r>
      <w:r>
        <w:rPr/>
        <w:t>and</w:t>
      </w:r>
      <w:r>
        <w:rPr>
          <w:spacing w:val="-4"/>
        </w:rPr>
        <w:t> </w:t>
      </w:r>
      <w:r>
        <w:rPr/>
        <w:t>now</w:t>
      </w:r>
      <w:r>
        <w:rPr>
          <w:spacing w:val="-4"/>
        </w:rPr>
        <w:t> </w:t>
      </w:r>
      <w:r>
        <w:rPr/>
        <w:t>onto</w:t>
      </w:r>
      <w:r>
        <w:rPr>
          <w:spacing w:val="-4"/>
        </w:rPr>
        <w:t> </w:t>
      </w:r>
      <w:r>
        <w:rPr/>
        <w:t>the</w:t>
      </w:r>
      <w:r>
        <w:rPr>
          <w:spacing w:val="-4"/>
        </w:rPr>
        <w:t> </w:t>
      </w:r>
      <w:r>
        <w:rPr/>
        <w:t>international stage. Maintaining a quality brand is essential for the College’s success in attracting students and building</w:t>
      </w:r>
      <w:r>
        <w:rPr>
          <w:spacing w:val="-7"/>
        </w:rPr>
        <w:t> </w:t>
      </w:r>
      <w:r>
        <w:rPr/>
        <w:t>external</w:t>
      </w:r>
      <w:r>
        <w:rPr>
          <w:spacing w:val="-7"/>
        </w:rPr>
        <w:t> </w:t>
      </w:r>
      <w:r>
        <w:rPr/>
        <w:t>relationships.</w:t>
      </w:r>
      <w:r>
        <w:rPr>
          <w:spacing w:val="-6"/>
        </w:rPr>
        <w:t> </w:t>
      </w:r>
      <w:r>
        <w:rPr/>
        <w:t>The</w:t>
      </w:r>
      <w:r>
        <w:rPr>
          <w:spacing w:val="-7"/>
        </w:rPr>
        <w:t> </w:t>
      </w:r>
      <w:r>
        <w:rPr/>
        <w:t>College</w:t>
      </w:r>
      <w:r>
        <w:rPr>
          <w:spacing w:val="-7"/>
        </w:rPr>
        <w:t> </w:t>
      </w:r>
      <w:r>
        <w:rPr/>
        <w:t>has</w:t>
      </w:r>
      <w:r>
        <w:rPr>
          <w:spacing w:val="-5"/>
        </w:rPr>
        <w:t> </w:t>
      </w:r>
      <w:r>
        <w:rPr/>
        <w:t>undertaken</w:t>
      </w:r>
      <w:r>
        <w:rPr>
          <w:spacing w:val="-7"/>
        </w:rPr>
        <w:t> </w:t>
      </w:r>
      <w:r>
        <w:rPr/>
        <w:t>further</w:t>
      </w:r>
      <w:r>
        <w:rPr>
          <w:spacing w:val="-5"/>
        </w:rPr>
        <w:t> </w:t>
      </w:r>
      <w:r>
        <w:rPr/>
        <w:t>work</w:t>
      </w:r>
      <w:r>
        <w:rPr>
          <w:spacing w:val="-5"/>
        </w:rPr>
        <w:t> </w:t>
      </w:r>
      <w:r>
        <w:rPr/>
        <w:t>during</w:t>
      </w:r>
      <w:r>
        <w:rPr>
          <w:spacing w:val="-7"/>
        </w:rPr>
        <w:t> </w:t>
      </w:r>
      <w:r>
        <w:rPr/>
        <w:t>the</w:t>
      </w:r>
      <w:r>
        <w:rPr>
          <w:spacing w:val="-7"/>
        </w:rPr>
        <w:t> </w:t>
      </w:r>
      <w:r>
        <w:rPr/>
        <w:t>year</w:t>
      </w:r>
      <w:r>
        <w:rPr>
          <w:spacing w:val="-5"/>
        </w:rPr>
        <w:t> </w:t>
      </w:r>
      <w:r>
        <w:rPr/>
        <w:t>to</w:t>
      </w:r>
      <w:r>
        <w:rPr>
          <w:spacing w:val="-7"/>
        </w:rPr>
        <w:t> </w:t>
      </w:r>
      <w:r>
        <w:rPr/>
        <w:t>develop and embed the system of internal control, including financial, operational and risk management which is designed to protect the College’s assets and reputation. The internal audit process has been aligned to the sector risks and specific College risk determined and experience by management and Governors.</w:t>
      </w:r>
    </w:p>
    <w:p>
      <w:pPr>
        <w:pStyle w:val="BodyText"/>
        <w:spacing w:after="0"/>
        <w:jc w:val="both"/>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Principal</w:t>
      </w:r>
      <w:r>
        <w:rPr>
          <w:b/>
          <w:spacing w:val="-3"/>
          <w:sz w:val="24"/>
        </w:rPr>
        <w:t> </w:t>
      </w:r>
      <w:r>
        <w:rPr>
          <w:b/>
          <w:sz w:val="24"/>
        </w:rPr>
        <w:t>risks</w:t>
      </w:r>
      <w:r>
        <w:rPr>
          <w:b/>
          <w:spacing w:val="-4"/>
          <w:sz w:val="24"/>
        </w:rPr>
        <w:t> </w:t>
      </w:r>
      <w:r>
        <w:rPr>
          <w:b/>
          <w:sz w:val="24"/>
        </w:rPr>
        <w:t>and</w:t>
      </w:r>
      <w:r>
        <w:rPr>
          <w:b/>
          <w:spacing w:val="-4"/>
          <w:sz w:val="24"/>
        </w:rPr>
        <w:t> </w:t>
      </w:r>
      <w:r>
        <w:rPr>
          <w:b/>
          <w:sz w:val="24"/>
        </w:rPr>
        <w:t>uncertainties</w:t>
      </w:r>
      <w:r>
        <w:rPr>
          <w:b/>
          <w:spacing w:val="-13"/>
          <w:sz w:val="24"/>
        </w:rPr>
        <w:t> </w:t>
      </w:r>
      <w:r>
        <w:rPr>
          <w:b/>
          <w:spacing w:val="-2"/>
          <w:sz w:val="24"/>
        </w:rPr>
        <w:t>(continued)</w:t>
      </w:r>
    </w:p>
    <w:p>
      <w:pPr>
        <w:pStyle w:val="BodyText"/>
        <w:spacing w:before="230"/>
        <w:ind w:left="852" w:right="1087"/>
        <w:jc w:val="both"/>
      </w:pPr>
      <w:r>
        <w:rPr/>
        <w:t>The College has updated its risk strategy and register in line with current economic, financial and political market conditions and aligns this to the College’s risk approach and appetite. The revised </w:t>
      </w:r>
      <w:r>
        <w:rPr>
          <w:spacing w:val="-2"/>
        </w:rPr>
        <w:t>risk</w:t>
      </w:r>
      <w:r>
        <w:rPr>
          <w:spacing w:val="-5"/>
        </w:rPr>
        <w:t> </w:t>
      </w:r>
      <w:r>
        <w:rPr>
          <w:spacing w:val="-2"/>
        </w:rPr>
        <w:t>strategy</w:t>
      </w:r>
      <w:r>
        <w:rPr>
          <w:spacing w:val="-5"/>
        </w:rPr>
        <w:t> </w:t>
      </w:r>
      <w:r>
        <w:rPr>
          <w:spacing w:val="-2"/>
        </w:rPr>
        <w:t>was approved</w:t>
      </w:r>
      <w:r>
        <w:rPr>
          <w:spacing w:val="-4"/>
        </w:rPr>
        <w:t> </w:t>
      </w:r>
      <w:r>
        <w:rPr>
          <w:spacing w:val="-2"/>
        </w:rPr>
        <w:t>by</w:t>
      </w:r>
      <w:r>
        <w:rPr>
          <w:spacing w:val="-5"/>
        </w:rPr>
        <w:t> </w:t>
      </w:r>
      <w:r>
        <w:rPr>
          <w:spacing w:val="-2"/>
        </w:rPr>
        <w:t>Corporation</w:t>
      </w:r>
      <w:r>
        <w:rPr>
          <w:spacing w:val="-4"/>
        </w:rPr>
        <w:t> </w:t>
      </w:r>
      <w:r>
        <w:rPr>
          <w:spacing w:val="-2"/>
        </w:rPr>
        <w:t>in</w:t>
      </w:r>
      <w:r>
        <w:rPr>
          <w:spacing w:val="-4"/>
        </w:rPr>
        <w:t> </w:t>
      </w:r>
      <w:r>
        <w:rPr>
          <w:spacing w:val="-2"/>
        </w:rPr>
        <w:t>December</w:t>
      </w:r>
      <w:r>
        <w:rPr>
          <w:spacing w:val="-5"/>
        </w:rPr>
        <w:t> </w:t>
      </w:r>
      <w:r>
        <w:rPr>
          <w:spacing w:val="-2"/>
        </w:rPr>
        <w:t>2022.</w:t>
      </w:r>
      <w:r>
        <w:rPr>
          <w:spacing w:val="-4"/>
        </w:rPr>
        <w:t> </w:t>
      </w:r>
      <w:r>
        <w:rPr>
          <w:spacing w:val="-2"/>
        </w:rPr>
        <w:t>A</w:t>
      </w:r>
      <w:r>
        <w:rPr>
          <w:spacing w:val="-7"/>
        </w:rPr>
        <w:t> </w:t>
      </w:r>
      <w:r>
        <w:rPr>
          <w:spacing w:val="-2"/>
        </w:rPr>
        <w:t>detailed</w:t>
      </w:r>
      <w:r>
        <w:rPr>
          <w:spacing w:val="-4"/>
        </w:rPr>
        <w:t> </w:t>
      </w:r>
      <w:r>
        <w:rPr>
          <w:spacing w:val="-2"/>
        </w:rPr>
        <w:t>and</w:t>
      </w:r>
      <w:r>
        <w:rPr>
          <w:spacing w:val="-7"/>
        </w:rPr>
        <w:t> </w:t>
      </w:r>
      <w:r>
        <w:rPr>
          <w:spacing w:val="-2"/>
        </w:rPr>
        <w:t>comprehensive</w:t>
      </w:r>
      <w:r>
        <w:rPr>
          <w:spacing w:val="-4"/>
        </w:rPr>
        <w:t> </w:t>
      </w:r>
      <w:r>
        <w:rPr>
          <w:spacing w:val="-2"/>
        </w:rPr>
        <w:t>review </w:t>
      </w:r>
      <w:r>
        <w:rPr/>
        <w:t>of</w:t>
      </w:r>
      <w:r>
        <w:rPr>
          <w:spacing w:val="-5"/>
        </w:rPr>
        <w:t> </w:t>
      </w:r>
      <w:r>
        <w:rPr/>
        <w:t>its</w:t>
      </w:r>
      <w:r>
        <w:rPr>
          <w:spacing w:val="-4"/>
        </w:rPr>
        <w:t> </w:t>
      </w:r>
      <w:r>
        <w:rPr/>
        <w:t>approach</w:t>
      </w:r>
      <w:r>
        <w:rPr>
          <w:spacing w:val="-6"/>
        </w:rPr>
        <w:t> </w:t>
      </w:r>
      <w:r>
        <w:rPr/>
        <w:t>to</w:t>
      </w:r>
      <w:r>
        <w:rPr>
          <w:spacing w:val="-6"/>
        </w:rPr>
        <w:t> </w:t>
      </w:r>
      <w:r>
        <w:rPr/>
        <w:t>risk</w:t>
      </w:r>
      <w:r>
        <w:rPr>
          <w:spacing w:val="-4"/>
        </w:rPr>
        <w:t> </w:t>
      </w:r>
      <w:r>
        <w:rPr/>
        <w:t>and</w:t>
      </w:r>
      <w:r>
        <w:rPr>
          <w:spacing w:val="-6"/>
        </w:rPr>
        <w:t> </w:t>
      </w:r>
      <w:r>
        <w:rPr/>
        <w:t>mitigations</w:t>
      </w:r>
      <w:r>
        <w:rPr>
          <w:spacing w:val="-4"/>
        </w:rPr>
        <w:t> </w:t>
      </w:r>
      <w:r>
        <w:rPr/>
        <w:t>methods</w:t>
      </w:r>
      <w:r>
        <w:rPr>
          <w:spacing w:val="-4"/>
        </w:rPr>
        <w:t> </w:t>
      </w:r>
      <w:r>
        <w:rPr/>
        <w:t>took</w:t>
      </w:r>
      <w:r>
        <w:rPr>
          <w:spacing w:val="-4"/>
        </w:rPr>
        <w:t> </w:t>
      </w:r>
      <w:r>
        <w:rPr/>
        <w:t>place</w:t>
      </w:r>
      <w:r>
        <w:rPr>
          <w:spacing w:val="-6"/>
        </w:rPr>
        <w:t> </w:t>
      </w:r>
      <w:r>
        <w:rPr/>
        <w:t>in</w:t>
      </w:r>
      <w:r>
        <w:rPr>
          <w:spacing w:val="-6"/>
        </w:rPr>
        <w:t> </w:t>
      </w:r>
      <w:r>
        <w:rPr/>
        <w:t>2022/2023</w:t>
      </w:r>
      <w:r>
        <w:rPr>
          <w:spacing w:val="-6"/>
        </w:rPr>
        <w:t> </w:t>
      </w:r>
      <w:r>
        <w:rPr/>
        <w:t>and</w:t>
      </w:r>
      <w:r>
        <w:rPr>
          <w:spacing w:val="-6"/>
        </w:rPr>
        <w:t> </w:t>
      </w:r>
      <w:r>
        <w:rPr/>
        <w:t>at</w:t>
      </w:r>
      <w:r>
        <w:rPr>
          <w:spacing w:val="-5"/>
        </w:rPr>
        <w:t> </w:t>
      </w:r>
      <w:r>
        <w:rPr/>
        <w:t>this</w:t>
      </w:r>
      <w:r>
        <w:rPr>
          <w:spacing w:val="-4"/>
        </w:rPr>
        <w:t> </w:t>
      </w:r>
      <w:r>
        <w:rPr/>
        <w:t>stage</w:t>
      </w:r>
      <w:r>
        <w:rPr>
          <w:spacing w:val="-6"/>
        </w:rPr>
        <w:t> </w:t>
      </w:r>
      <w:r>
        <w:rPr/>
        <w:t>we</w:t>
      </w:r>
      <w:r>
        <w:rPr>
          <w:spacing w:val="-6"/>
        </w:rPr>
        <w:t> </w:t>
      </w:r>
      <w:r>
        <w:rPr/>
        <w:t>do</w:t>
      </w:r>
      <w:r>
        <w:rPr>
          <w:spacing w:val="-6"/>
        </w:rPr>
        <w:t> </w:t>
      </w:r>
      <w:r>
        <w:rPr/>
        <w:t>not anticipate any material changes or risks towards to the creation of the revised risk register.</w:t>
      </w:r>
    </w:p>
    <w:p>
      <w:pPr>
        <w:pStyle w:val="BodyText"/>
      </w:pPr>
    </w:p>
    <w:p>
      <w:pPr>
        <w:pStyle w:val="BodyText"/>
        <w:ind w:left="852" w:right="1085"/>
        <w:jc w:val="both"/>
      </w:pPr>
      <w:r>
        <w:rPr/>
        <w:t>The risk register is reviewed monthly by the Executive and Governors receive a termly report to both the Audit Committee and Corporation. The risk register identifies the key risks, the likelihood of those risks occurring, their status, assurance lines and the actions being taken to reduce and mitigate the risks. Risks are prioritised using a consistent scoring system.</w:t>
      </w:r>
      <w:r>
        <w:rPr>
          <w:spacing w:val="40"/>
        </w:rPr>
        <w:t> </w:t>
      </w:r>
      <w:r>
        <w:rPr/>
        <w:t>Respective sub-committees are encouraged to discuss and challenge respective risks concerning their areas of </w:t>
      </w:r>
      <w:r>
        <w:rPr>
          <w:spacing w:val="-2"/>
        </w:rPr>
        <w:t>responsibility.</w:t>
      </w:r>
    </w:p>
    <w:p>
      <w:pPr>
        <w:pStyle w:val="BodyText"/>
        <w:spacing w:before="1"/>
      </w:pPr>
    </w:p>
    <w:p>
      <w:pPr>
        <w:pStyle w:val="BodyText"/>
        <w:spacing w:before="1"/>
        <w:ind w:left="852" w:right="1087"/>
        <w:jc w:val="both"/>
      </w:pPr>
      <w:r>
        <w:rPr/>
        <w:t>Outlined</w:t>
      </w:r>
      <w:r>
        <w:rPr>
          <w:spacing w:val="-10"/>
        </w:rPr>
        <w:t> </w:t>
      </w:r>
      <w:r>
        <w:rPr/>
        <w:t>below</w:t>
      </w:r>
      <w:r>
        <w:rPr>
          <w:spacing w:val="-10"/>
        </w:rPr>
        <w:t> </w:t>
      </w:r>
      <w:r>
        <w:rPr/>
        <w:t>are</w:t>
      </w:r>
      <w:r>
        <w:rPr>
          <w:spacing w:val="-10"/>
        </w:rPr>
        <w:t> </w:t>
      </w:r>
      <w:r>
        <w:rPr/>
        <w:t>the</w:t>
      </w:r>
      <w:r>
        <w:rPr>
          <w:spacing w:val="-10"/>
        </w:rPr>
        <w:t> </w:t>
      </w:r>
      <w:r>
        <w:rPr/>
        <w:t>principal</w:t>
      </w:r>
      <w:r>
        <w:rPr>
          <w:spacing w:val="-13"/>
        </w:rPr>
        <w:t> </w:t>
      </w:r>
      <w:r>
        <w:rPr/>
        <w:t>risk</w:t>
      </w:r>
      <w:r>
        <w:rPr>
          <w:spacing w:val="-11"/>
        </w:rPr>
        <w:t> </w:t>
      </w:r>
      <w:r>
        <w:rPr/>
        <w:t>factors</w:t>
      </w:r>
      <w:r>
        <w:rPr>
          <w:spacing w:val="-11"/>
        </w:rPr>
        <w:t> </w:t>
      </w:r>
      <w:r>
        <w:rPr/>
        <w:t>that</w:t>
      </w:r>
      <w:r>
        <w:rPr>
          <w:spacing w:val="-10"/>
        </w:rPr>
        <w:t> </w:t>
      </w:r>
      <w:r>
        <w:rPr/>
        <w:t>may</w:t>
      </w:r>
      <w:r>
        <w:rPr>
          <w:spacing w:val="-11"/>
        </w:rPr>
        <w:t> </w:t>
      </w:r>
      <w:r>
        <w:rPr/>
        <w:t>affect</w:t>
      </w:r>
      <w:r>
        <w:rPr>
          <w:spacing w:val="-13"/>
        </w:rPr>
        <w:t> </w:t>
      </w:r>
      <w:r>
        <w:rPr/>
        <w:t>the</w:t>
      </w:r>
      <w:r>
        <w:rPr>
          <w:spacing w:val="-13"/>
        </w:rPr>
        <w:t> </w:t>
      </w:r>
      <w:r>
        <w:rPr/>
        <w:t>College.</w:t>
      </w:r>
      <w:r>
        <w:rPr>
          <w:spacing w:val="-10"/>
        </w:rPr>
        <w:t> </w:t>
      </w:r>
      <w:r>
        <w:rPr/>
        <w:t>Not</w:t>
      </w:r>
      <w:r>
        <w:rPr>
          <w:spacing w:val="-10"/>
        </w:rPr>
        <w:t> </w:t>
      </w:r>
      <w:r>
        <w:rPr/>
        <w:t>all</w:t>
      </w:r>
      <w:r>
        <w:rPr>
          <w:spacing w:val="-11"/>
        </w:rPr>
        <w:t> </w:t>
      </w:r>
      <w:r>
        <w:rPr/>
        <w:t>the</w:t>
      </w:r>
      <w:r>
        <w:rPr>
          <w:spacing w:val="-13"/>
        </w:rPr>
        <w:t> </w:t>
      </w:r>
      <w:r>
        <w:rPr/>
        <w:t>factors</w:t>
      </w:r>
      <w:r>
        <w:rPr>
          <w:spacing w:val="-11"/>
        </w:rPr>
        <w:t> </w:t>
      </w:r>
      <w:r>
        <w:rPr/>
        <w:t>are</w:t>
      </w:r>
      <w:r>
        <w:rPr>
          <w:spacing w:val="-10"/>
        </w:rPr>
        <w:t> </w:t>
      </w:r>
      <w:r>
        <w:rPr/>
        <w:t>within the College’s control. Other factors besides those listed below may also adversely affect the </w:t>
      </w:r>
      <w:r>
        <w:rPr>
          <w:spacing w:val="-2"/>
        </w:rPr>
        <w:t>College:</w:t>
      </w:r>
    </w:p>
    <w:p>
      <w:pPr>
        <w:pStyle w:val="BodyText"/>
      </w:pPr>
    </w:p>
    <w:p>
      <w:pPr>
        <w:pStyle w:val="ListParagraph"/>
        <w:numPr>
          <w:ilvl w:val="0"/>
          <w:numId w:val="3"/>
        </w:numPr>
        <w:tabs>
          <w:tab w:pos="1572" w:val="left" w:leader="none"/>
        </w:tabs>
        <w:spacing w:line="273" w:lineRule="auto" w:before="0" w:after="0"/>
        <w:ind w:left="1572" w:right="1087" w:hanging="360"/>
        <w:jc w:val="both"/>
        <w:rPr>
          <w:sz w:val="20"/>
        </w:rPr>
      </w:pPr>
      <w:r>
        <w:rPr>
          <w:sz w:val="20"/>
        </w:rPr>
        <w:t>Inflation and increasing costs - high levels of inflation and minimum wage increases compared to the funding increases have a financial impact upon the College. Mitigations include budget spend restrictions, regular reforecasting to provide early warning of the impact, negotiation of contracts with suppliers.</w:t>
      </w:r>
    </w:p>
    <w:p>
      <w:pPr>
        <w:pStyle w:val="ListParagraph"/>
        <w:numPr>
          <w:ilvl w:val="0"/>
          <w:numId w:val="3"/>
        </w:numPr>
        <w:tabs>
          <w:tab w:pos="1572" w:val="left" w:leader="none"/>
        </w:tabs>
        <w:spacing w:line="273" w:lineRule="auto" w:before="7" w:after="0"/>
        <w:ind w:left="1572" w:right="1086" w:hanging="360"/>
        <w:jc w:val="both"/>
        <w:rPr>
          <w:sz w:val="20"/>
        </w:rPr>
      </w:pPr>
      <w:r>
        <w:rPr>
          <w:sz w:val="20"/>
        </w:rPr>
        <w:t>Business Continuity/cyber-attacks - Cyber-attacks are increasingly more aggressive and more frequent and so the risk is a failure to ensure all College data and systems are protected, secure and available. Mitigations include dedicated cyber security centre, business continuity plan, cyber strategy, insurance cover, robust disaster recovery plans, cyber essentials etc.</w:t>
      </w:r>
    </w:p>
    <w:p>
      <w:pPr>
        <w:pStyle w:val="ListParagraph"/>
        <w:numPr>
          <w:ilvl w:val="0"/>
          <w:numId w:val="3"/>
        </w:numPr>
        <w:tabs>
          <w:tab w:pos="1571" w:val="left" w:leader="none"/>
        </w:tabs>
        <w:spacing w:line="273" w:lineRule="auto" w:before="6" w:after="0"/>
        <w:ind w:left="1571" w:right="1086" w:hanging="360"/>
        <w:jc w:val="both"/>
        <w:rPr>
          <w:sz w:val="20"/>
        </w:rPr>
      </w:pPr>
      <w:r>
        <w:rPr>
          <w:sz w:val="20"/>
        </w:rPr>
        <w:t>Regulatory Compliance – The College has experienced historical poor controls and performed</w:t>
      </w:r>
      <w:r>
        <w:rPr>
          <w:spacing w:val="-12"/>
          <w:sz w:val="20"/>
        </w:rPr>
        <w:t> </w:t>
      </w:r>
      <w:r>
        <w:rPr>
          <w:sz w:val="20"/>
        </w:rPr>
        <w:t>in</w:t>
      </w:r>
      <w:r>
        <w:rPr>
          <w:spacing w:val="-12"/>
          <w:sz w:val="20"/>
        </w:rPr>
        <w:t> </w:t>
      </w:r>
      <w:r>
        <w:rPr>
          <w:sz w:val="20"/>
        </w:rPr>
        <w:t>relation</w:t>
      </w:r>
      <w:r>
        <w:rPr>
          <w:spacing w:val="-12"/>
          <w:sz w:val="20"/>
        </w:rPr>
        <w:t> </w:t>
      </w:r>
      <w:r>
        <w:rPr>
          <w:sz w:val="20"/>
        </w:rPr>
        <w:t>to</w:t>
      </w:r>
      <w:r>
        <w:rPr>
          <w:spacing w:val="-10"/>
          <w:sz w:val="20"/>
        </w:rPr>
        <w:t> </w:t>
      </w:r>
      <w:r>
        <w:rPr>
          <w:sz w:val="20"/>
        </w:rPr>
        <w:t>funding</w:t>
      </w:r>
      <w:r>
        <w:rPr>
          <w:spacing w:val="-12"/>
          <w:sz w:val="20"/>
        </w:rPr>
        <w:t> </w:t>
      </w:r>
      <w:r>
        <w:rPr>
          <w:sz w:val="20"/>
        </w:rPr>
        <w:t>compliance.</w:t>
      </w:r>
      <w:r>
        <w:rPr>
          <w:spacing w:val="-12"/>
          <w:sz w:val="20"/>
        </w:rPr>
        <w:t> </w:t>
      </w:r>
      <w:r>
        <w:rPr>
          <w:sz w:val="20"/>
        </w:rPr>
        <w:t>However</w:t>
      </w:r>
      <w:r>
        <w:rPr>
          <w:spacing w:val="-9"/>
          <w:sz w:val="20"/>
        </w:rPr>
        <w:t> </w:t>
      </w:r>
      <w:r>
        <w:rPr>
          <w:sz w:val="20"/>
        </w:rPr>
        <w:t>new</w:t>
      </w:r>
      <w:r>
        <w:rPr>
          <w:spacing w:val="-12"/>
          <w:sz w:val="20"/>
        </w:rPr>
        <w:t> </w:t>
      </w:r>
      <w:r>
        <w:rPr>
          <w:sz w:val="20"/>
        </w:rPr>
        <w:t>fundamental</w:t>
      </w:r>
      <w:r>
        <w:rPr>
          <w:spacing w:val="-13"/>
          <w:sz w:val="20"/>
        </w:rPr>
        <w:t> </w:t>
      </w:r>
      <w:r>
        <w:rPr>
          <w:sz w:val="20"/>
        </w:rPr>
        <w:t>controls,</w:t>
      </w:r>
      <w:r>
        <w:rPr>
          <w:spacing w:val="-12"/>
          <w:sz w:val="20"/>
        </w:rPr>
        <w:t> </w:t>
      </w:r>
      <w:r>
        <w:rPr>
          <w:sz w:val="20"/>
        </w:rPr>
        <w:t>Executive oversight and reporting, internal audit and Governance focus has been introduced to mitigate these risks.</w:t>
      </w:r>
    </w:p>
    <w:p>
      <w:pPr>
        <w:pStyle w:val="ListParagraph"/>
        <w:numPr>
          <w:ilvl w:val="0"/>
          <w:numId w:val="3"/>
        </w:numPr>
        <w:tabs>
          <w:tab w:pos="1571" w:val="left" w:leader="none"/>
        </w:tabs>
        <w:spacing w:line="273" w:lineRule="auto" w:before="7" w:after="0"/>
        <w:ind w:left="1571" w:right="1087" w:hanging="360"/>
        <w:jc w:val="both"/>
        <w:rPr>
          <w:sz w:val="20"/>
        </w:rPr>
      </w:pPr>
      <w:r>
        <w:rPr>
          <w:sz w:val="20"/>
        </w:rPr>
        <w:t>Ageing estates/sustainability – The College has an ageing estate which creates issues in relation to our sustainability strategy. Mitigation includes an estates strategy, appointment of a bids and funding Director, estates rationalisation and utilisation strategy and estates refresh/investment cycle has been completed.</w:t>
      </w:r>
    </w:p>
    <w:p>
      <w:pPr>
        <w:pStyle w:val="BodyText"/>
        <w:spacing w:before="202"/>
        <w:ind w:left="851" w:right="1088"/>
        <w:jc w:val="both"/>
      </w:pPr>
      <w:r>
        <w:rPr/>
        <w:t>Members</w:t>
      </w:r>
      <w:r>
        <w:rPr>
          <w:spacing w:val="-3"/>
        </w:rPr>
        <w:t> </w:t>
      </w:r>
      <w:r>
        <w:rPr/>
        <w:t>required</w:t>
      </w:r>
      <w:r>
        <w:rPr>
          <w:spacing w:val="-4"/>
        </w:rPr>
        <w:t> </w:t>
      </w:r>
      <w:r>
        <w:rPr/>
        <w:t>further</w:t>
      </w:r>
      <w:r>
        <w:rPr>
          <w:spacing w:val="-1"/>
        </w:rPr>
        <w:t> </w:t>
      </w:r>
      <w:r>
        <w:rPr/>
        <w:t>details</w:t>
      </w:r>
      <w:r>
        <w:rPr>
          <w:spacing w:val="-3"/>
        </w:rPr>
        <w:t> </w:t>
      </w:r>
      <w:r>
        <w:rPr/>
        <w:t>of</w:t>
      </w:r>
      <w:r>
        <w:rPr>
          <w:spacing w:val="-4"/>
        </w:rPr>
        <w:t> </w:t>
      </w:r>
      <w:r>
        <w:rPr/>
        <w:t>the</w:t>
      </w:r>
      <w:r>
        <w:rPr>
          <w:spacing w:val="-4"/>
        </w:rPr>
        <w:t> </w:t>
      </w:r>
      <w:r>
        <w:rPr/>
        <w:t>risk</w:t>
      </w:r>
      <w:r>
        <w:rPr>
          <w:spacing w:val="-3"/>
        </w:rPr>
        <w:t> </w:t>
      </w:r>
      <w:r>
        <w:rPr/>
        <w:t>of</w:t>
      </w:r>
      <w:r>
        <w:rPr>
          <w:spacing w:val="-2"/>
        </w:rPr>
        <w:t> </w:t>
      </w:r>
      <w:r>
        <w:rPr/>
        <w:t>Reinforced</w:t>
      </w:r>
      <w:r>
        <w:rPr>
          <w:spacing w:val="-2"/>
        </w:rPr>
        <w:t> </w:t>
      </w:r>
      <w:r>
        <w:rPr/>
        <w:t>Autoclaved</w:t>
      </w:r>
      <w:r>
        <w:rPr>
          <w:spacing w:val="-2"/>
        </w:rPr>
        <w:t> </w:t>
      </w:r>
      <w:r>
        <w:rPr/>
        <w:t>Aerated</w:t>
      </w:r>
      <w:r>
        <w:rPr>
          <w:spacing w:val="-2"/>
        </w:rPr>
        <w:t> </w:t>
      </w:r>
      <w:r>
        <w:rPr/>
        <w:t>Concrete</w:t>
      </w:r>
      <w:r>
        <w:rPr>
          <w:spacing w:val="-4"/>
        </w:rPr>
        <w:t> </w:t>
      </w:r>
      <w:r>
        <w:rPr/>
        <w:t>(RAAC)</w:t>
      </w:r>
      <w:r>
        <w:rPr>
          <w:spacing w:val="-1"/>
        </w:rPr>
        <w:t> </w:t>
      </w:r>
      <w:r>
        <w:rPr/>
        <w:t>in the College buildings, to which it was confirmed that a survey has been completed to identify any risk areas, no RAAC was found and the College is confident the risk related to this issue is low.</w:t>
      </w:r>
    </w:p>
    <w:p>
      <w:pPr>
        <w:pStyle w:val="BodyText"/>
        <w:spacing w:after="0"/>
        <w:jc w:val="both"/>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Stakeholder</w:t>
      </w:r>
      <w:r>
        <w:rPr>
          <w:b/>
          <w:spacing w:val="-6"/>
          <w:sz w:val="24"/>
        </w:rPr>
        <w:t> </w:t>
      </w:r>
      <w:r>
        <w:rPr>
          <w:b/>
          <w:spacing w:val="-2"/>
          <w:sz w:val="24"/>
        </w:rPr>
        <w:t>Relationships</w:t>
      </w:r>
    </w:p>
    <w:p>
      <w:pPr>
        <w:pStyle w:val="BodyText"/>
        <w:spacing w:before="230"/>
        <w:ind w:left="852" w:right="1085"/>
        <w:jc w:val="both"/>
      </w:pPr>
      <w:r>
        <w:rPr/>
        <w:t>In</w:t>
      </w:r>
      <w:r>
        <w:rPr>
          <w:spacing w:val="-11"/>
        </w:rPr>
        <w:t> </w:t>
      </w:r>
      <w:r>
        <w:rPr/>
        <w:t>line</w:t>
      </w:r>
      <w:r>
        <w:rPr>
          <w:spacing w:val="-11"/>
        </w:rPr>
        <w:t> </w:t>
      </w:r>
      <w:r>
        <w:rPr/>
        <w:t>with</w:t>
      </w:r>
      <w:r>
        <w:rPr>
          <w:spacing w:val="-9"/>
        </w:rPr>
        <w:t> </w:t>
      </w:r>
      <w:r>
        <w:rPr/>
        <w:t>other</w:t>
      </w:r>
      <w:r>
        <w:rPr>
          <w:spacing w:val="-10"/>
        </w:rPr>
        <w:t> </w:t>
      </w:r>
      <w:r>
        <w:rPr/>
        <w:t>Colleges</w:t>
      </w:r>
      <w:r>
        <w:rPr>
          <w:spacing w:val="-7"/>
        </w:rPr>
        <w:t> </w:t>
      </w:r>
      <w:r>
        <w:rPr/>
        <w:t>and</w:t>
      </w:r>
      <w:r>
        <w:rPr>
          <w:spacing w:val="-11"/>
        </w:rPr>
        <w:t> </w:t>
      </w:r>
      <w:r>
        <w:rPr/>
        <w:t>with</w:t>
      </w:r>
      <w:r>
        <w:rPr>
          <w:spacing w:val="-9"/>
        </w:rPr>
        <w:t> </w:t>
      </w:r>
      <w:r>
        <w:rPr/>
        <w:t>universities,</w:t>
      </w:r>
      <w:r>
        <w:rPr>
          <w:spacing w:val="-11"/>
        </w:rPr>
        <w:t> </w:t>
      </w:r>
      <w:r>
        <w:rPr/>
        <w:t>the</w:t>
      </w:r>
      <w:r>
        <w:rPr>
          <w:spacing w:val="-11"/>
        </w:rPr>
        <w:t> </w:t>
      </w:r>
      <w:r>
        <w:rPr/>
        <w:t>College</w:t>
      </w:r>
      <w:r>
        <w:rPr>
          <w:spacing w:val="-9"/>
        </w:rPr>
        <w:t> </w:t>
      </w:r>
      <w:r>
        <w:rPr/>
        <w:t>has</w:t>
      </w:r>
      <w:r>
        <w:rPr>
          <w:spacing w:val="-7"/>
        </w:rPr>
        <w:t> </w:t>
      </w:r>
      <w:r>
        <w:rPr/>
        <w:t>many</w:t>
      </w:r>
      <w:r>
        <w:rPr>
          <w:spacing w:val="-10"/>
        </w:rPr>
        <w:t> </w:t>
      </w:r>
      <w:r>
        <w:rPr/>
        <w:t>stakeholders.</w:t>
      </w:r>
      <w:r>
        <w:rPr>
          <w:spacing w:val="34"/>
        </w:rPr>
        <w:t> </w:t>
      </w:r>
      <w:r>
        <w:rPr/>
        <w:t>These</w:t>
      </w:r>
      <w:r>
        <w:rPr>
          <w:spacing w:val="-8"/>
        </w:rPr>
        <w:t> </w:t>
      </w:r>
      <w:r>
        <w:rPr/>
        <w:t>include (non-exhaustive list):</w:t>
      </w:r>
    </w:p>
    <w:p>
      <w:pPr>
        <w:pStyle w:val="BodyText"/>
        <w:spacing w:before="2"/>
      </w:pPr>
    </w:p>
    <w:p>
      <w:pPr>
        <w:pStyle w:val="ListParagraph"/>
        <w:numPr>
          <w:ilvl w:val="0"/>
          <w:numId w:val="3"/>
        </w:numPr>
        <w:tabs>
          <w:tab w:pos="1572" w:val="left" w:leader="none"/>
        </w:tabs>
        <w:spacing w:line="244" w:lineRule="exact" w:before="0" w:after="0"/>
        <w:ind w:left="1572" w:right="0" w:hanging="360"/>
        <w:jc w:val="left"/>
        <w:rPr>
          <w:sz w:val="20"/>
        </w:rPr>
      </w:pPr>
      <w:r>
        <w:rPr>
          <w:sz w:val="20"/>
        </w:rPr>
        <w:t>Current</w:t>
      </w:r>
      <w:r>
        <w:rPr>
          <w:spacing w:val="-8"/>
          <w:sz w:val="20"/>
        </w:rPr>
        <w:t> </w:t>
      </w:r>
      <w:r>
        <w:rPr>
          <w:sz w:val="20"/>
        </w:rPr>
        <w:t>future</w:t>
      </w:r>
      <w:r>
        <w:rPr>
          <w:spacing w:val="-5"/>
          <w:sz w:val="20"/>
        </w:rPr>
        <w:t> </w:t>
      </w:r>
      <w:r>
        <w:rPr>
          <w:sz w:val="20"/>
        </w:rPr>
        <w:t>and</w:t>
      </w:r>
      <w:r>
        <w:rPr>
          <w:spacing w:val="-6"/>
          <w:sz w:val="20"/>
        </w:rPr>
        <w:t> </w:t>
      </w:r>
      <w:r>
        <w:rPr>
          <w:sz w:val="20"/>
        </w:rPr>
        <w:t>past</w:t>
      </w:r>
      <w:r>
        <w:rPr>
          <w:spacing w:val="-7"/>
          <w:sz w:val="20"/>
        </w:rPr>
        <w:t> </w:t>
      </w:r>
      <w:r>
        <w:rPr>
          <w:spacing w:val="-2"/>
          <w:sz w:val="20"/>
        </w:rPr>
        <w:t>students.</w:t>
      </w:r>
    </w:p>
    <w:p>
      <w:pPr>
        <w:pStyle w:val="ListParagraph"/>
        <w:numPr>
          <w:ilvl w:val="0"/>
          <w:numId w:val="3"/>
        </w:numPr>
        <w:tabs>
          <w:tab w:pos="1572" w:val="left" w:leader="none"/>
        </w:tabs>
        <w:spacing w:line="242" w:lineRule="exact" w:before="0" w:after="0"/>
        <w:ind w:left="1572" w:right="0" w:hanging="360"/>
        <w:jc w:val="left"/>
        <w:rPr>
          <w:sz w:val="20"/>
        </w:rPr>
      </w:pPr>
      <w:r>
        <w:rPr>
          <w:sz w:val="20"/>
        </w:rPr>
        <w:t>Staff</w:t>
      </w:r>
      <w:r>
        <w:rPr>
          <w:spacing w:val="-5"/>
          <w:sz w:val="20"/>
        </w:rPr>
        <w:t> </w:t>
      </w:r>
      <w:r>
        <w:rPr>
          <w:sz w:val="20"/>
        </w:rPr>
        <w:t>and</w:t>
      </w:r>
      <w:r>
        <w:rPr>
          <w:spacing w:val="-6"/>
          <w:sz w:val="20"/>
        </w:rPr>
        <w:t> </w:t>
      </w:r>
      <w:r>
        <w:rPr>
          <w:sz w:val="20"/>
        </w:rPr>
        <w:t>their</w:t>
      </w:r>
      <w:r>
        <w:rPr>
          <w:spacing w:val="-5"/>
          <w:sz w:val="20"/>
        </w:rPr>
        <w:t> </w:t>
      </w:r>
      <w:r>
        <w:rPr>
          <w:sz w:val="20"/>
        </w:rPr>
        <w:t>trade</w:t>
      </w:r>
      <w:r>
        <w:rPr>
          <w:spacing w:val="-6"/>
          <w:sz w:val="20"/>
        </w:rPr>
        <w:t> </w:t>
      </w:r>
      <w:r>
        <w:rPr>
          <w:spacing w:val="-2"/>
          <w:sz w:val="20"/>
        </w:rPr>
        <w:t>unions.</w:t>
      </w:r>
    </w:p>
    <w:p>
      <w:pPr>
        <w:pStyle w:val="ListParagraph"/>
        <w:numPr>
          <w:ilvl w:val="0"/>
          <w:numId w:val="3"/>
        </w:numPr>
        <w:tabs>
          <w:tab w:pos="1572" w:val="left" w:leader="none"/>
        </w:tabs>
        <w:spacing w:line="244" w:lineRule="exact" w:before="0" w:after="0"/>
        <w:ind w:left="1572" w:right="0" w:hanging="360"/>
        <w:jc w:val="left"/>
        <w:rPr>
          <w:sz w:val="20"/>
        </w:rPr>
      </w:pPr>
      <w:r>
        <w:rPr>
          <w:spacing w:val="-2"/>
          <w:sz w:val="20"/>
        </w:rPr>
        <w:t>Governors.</w:t>
      </w:r>
    </w:p>
    <w:p>
      <w:pPr>
        <w:pStyle w:val="ListParagraph"/>
        <w:numPr>
          <w:ilvl w:val="0"/>
          <w:numId w:val="3"/>
        </w:numPr>
        <w:tabs>
          <w:tab w:pos="1572" w:val="left" w:leader="none"/>
        </w:tabs>
        <w:spacing w:line="244" w:lineRule="exact" w:before="0" w:after="0"/>
        <w:ind w:left="1572" w:right="0" w:hanging="360"/>
        <w:jc w:val="left"/>
        <w:rPr>
          <w:sz w:val="20"/>
        </w:rPr>
      </w:pPr>
      <w:r>
        <w:rPr>
          <w:sz w:val="20"/>
        </w:rPr>
        <w:t>Funding</w:t>
      </w:r>
      <w:r>
        <w:rPr>
          <w:spacing w:val="-10"/>
          <w:sz w:val="20"/>
        </w:rPr>
        <w:t> </w:t>
      </w:r>
      <w:r>
        <w:rPr>
          <w:spacing w:val="-2"/>
          <w:sz w:val="20"/>
        </w:rPr>
        <w:t>agencies.</w:t>
      </w:r>
    </w:p>
    <w:p>
      <w:pPr>
        <w:pStyle w:val="ListParagraph"/>
        <w:numPr>
          <w:ilvl w:val="0"/>
          <w:numId w:val="3"/>
        </w:numPr>
        <w:tabs>
          <w:tab w:pos="1572" w:val="left" w:leader="none"/>
        </w:tabs>
        <w:spacing w:line="244" w:lineRule="exact" w:before="0" w:after="0"/>
        <w:ind w:left="1572" w:right="0" w:hanging="360"/>
        <w:jc w:val="left"/>
        <w:rPr>
          <w:sz w:val="20"/>
        </w:rPr>
      </w:pPr>
      <w:r>
        <w:rPr>
          <w:sz w:val="20"/>
        </w:rPr>
        <w:t>Local,</w:t>
      </w:r>
      <w:r>
        <w:rPr>
          <w:spacing w:val="-8"/>
          <w:sz w:val="20"/>
        </w:rPr>
        <w:t> </w:t>
      </w:r>
      <w:r>
        <w:rPr>
          <w:sz w:val="20"/>
        </w:rPr>
        <w:t>regional</w:t>
      </w:r>
      <w:r>
        <w:rPr>
          <w:spacing w:val="-9"/>
          <w:sz w:val="20"/>
        </w:rPr>
        <w:t> </w:t>
      </w:r>
      <w:r>
        <w:rPr>
          <w:sz w:val="20"/>
        </w:rPr>
        <w:t>and</w:t>
      </w:r>
      <w:r>
        <w:rPr>
          <w:spacing w:val="-7"/>
          <w:sz w:val="20"/>
        </w:rPr>
        <w:t> </w:t>
      </w:r>
      <w:r>
        <w:rPr>
          <w:sz w:val="20"/>
        </w:rPr>
        <w:t>national</w:t>
      </w:r>
      <w:r>
        <w:rPr>
          <w:spacing w:val="-9"/>
          <w:sz w:val="20"/>
        </w:rPr>
        <w:t> </w:t>
      </w:r>
      <w:r>
        <w:rPr>
          <w:sz w:val="20"/>
        </w:rPr>
        <w:t>employers</w:t>
      </w:r>
      <w:r>
        <w:rPr>
          <w:spacing w:val="-8"/>
          <w:sz w:val="20"/>
        </w:rPr>
        <w:t> </w:t>
      </w:r>
      <w:r>
        <w:rPr>
          <w:sz w:val="20"/>
        </w:rPr>
        <w:t>and</w:t>
      </w:r>
      <w:r>
        <w:rPr>
          <w:spacing w:val="-9"/>
          <w:sz w:val="20"/>
        </w:rPr>
        <w:t> </w:t>
      </w:r>
      <w:r>
        <w:rPr>
          <w:sz w:val="20"/>
        </w:rPr>
        <w:t>representative</w:t>
      </w:r>
      <w:r>
        <w:rPr>
          <w:spacing w:val="-10"/>
          <w:sz w:val="20"/>
        </w:rPr>
        <w:t> </w:t>
      </w:r>
      <w:r>
        <w:rPr>
          <w:spacing w:val="-2"/>
          <w:sz w:val="20"/>
        </w:rPr>
        <w:t>bodies.</w:t>
      </w:r>
    </w:p>
    <w:p>
      <w:pPr>
        <w:pStyle w:val="ListParagraph"/>
        <w:numPr>
          <w:ilvl w:val="0"/>
          <w:numId w:val="3"/>
        </w:numPr>
        <w:tabs>
          <w:tab w:pos="1572" w:val="left" w:leader="none"/>
        </w:tabs>
        <w:spacing w:line="244" w:lineRule="exact" w:before="0" w:after="0"/>
        <w:ind w:left="1572" w:right="0" w:hanging="360"/>
        <w:jc w:val="left"/>
        <w:rPr>
          <w:sz w:val="20"/>
        </w:rPr>
      </w:pPr>
      <w:r>
        <w:rPr>
          <w:sz w:val="20"/>
        </w:rPr>
        <w:t>Regional</w:t>
      </w:r>
      <w:r>
        <w:rPr>
          <w:spacing w:val="-7"/>
          <w:sz w:val="20"/>
        </w:rPr>
        <w:t> </w:t>
      </w:r>
      <w:r>
        <w:rPr>
          <w:sz w:val="20"/>
        </w:rPr>
        <w:t>and</w:t>
      </w:r>
      <w:r>
        <w:rPr>
          <w:spacing w:val="-4"/>
          <w:sz w:val="20"/>
        </w:rPr>
        <w:t> </w:t>
      </w:r>
      <w:r>
        <w:rPr>
          <w:sz w:val="20"/>
        </w:rPr>
        <w:t>national</w:t>
      </w:r>
      <w:r>
        <w:rPr>
          <w:spacing w:val="-7"/>
          <w:sz w:val="20"/>
        </w:rPr>
        <w:t> </w:t>
      </w:r>
      <w:r>
        <w:rPr>
          <w:sz w:val="20"/>
        </w:rPr>
        <w:t>FE</w:t>
      </w:r>
      <w:r>
        <w:rPr>
          <w:spacing w:val="-4"/>
          <w:sz w:val="20"/>
        </w:rPr>
        <w:t> </w:t>
      </w:r>
      <w:r>
        <w:rPr>
          <w:spacing w:val="-2"/>
          <w:sz w:val="20"/>
        </w:rPr>
        <w:t>institutions.</w:t>
      </w:r>
    </w:p>
    <w:p>
      <w:pPr>
        <w:pStyle w:val="ListParagraph"/>
        <w:numPr>
          <w:ilvl w:val="0"/>
          <w:numId w:val="3"/>
        </w:numPr>
        <w:tabs>
          <w:tab w:pos="1571" w:val="left" w:leader="none"/>
        </w:tabs>
        <w:spacing w:line="244" w:lineRule="exact" w:before="0" w:after="0"/>
        <w:ind w:left="1571" w:right="0" w:hanging="360"/>
        <w:jc w:val="left"/>
        <w:rPr>
          <w:sz w:val="20"/>
        </w:rPr>
      </w:pPr>
      <w:r>
        <w:rPr>
          <w:sz w:val="20"/>
        </w:rPr>
        <w:t>Hull</w:t>
      </w:r>
      <w:r>
        <w:rPr>
          <w:spacing w:val="-11"/>
          <w:sz w:val="20"/>
        </w:rPr>
        <w:t> </w:t>
      </w:r>
      <w:r>
        <w:rPr>
          <w:sz w:val="20"/>
        </w:rPr>
        <w:t>Business</w:t>
      </w:r>
      <w:r>
        <w:rPr>
          <w:spacing w:val="-9"/>
          <w:sz w:val="20"/>
        </w:rPr>
        <w:t> </w:t>
      </w:r>
      <w:r>
        <w:rPr>
          <w:sz w:val="20"/>
        </w:rPr>
        <w:t>Improvement</w:t>
      </w:r>
      <w:r>
        <w:rPr>
          <w:spacing w:val="-8"/>
          <w:sz w:val="20"/>
        </w:rPr>
        <w:t> </w:t>
      </w:r>
      <w:r>
        <w:rPr>
          <w:spacing w:val="-2"/>
          <w:sz w:val="20"/>
        </w:rPr>
        <w:t>District.</w:t>
      </w:r>
    </w:p>
    <w:p>
      <w:pPr>
        <w:pStyle w:val="ListParagraph"/>
        <w:numPr>
          <w:ilvl w:val="0"/>
          <w:numId w:val="3"/>
        </w:numPr>
        <w:tabs>
          <w:tab w:pos="1571" w:val="left" w:leader="none"/>
        </w:tabs>
        <w:spacing w:line="244" w:lineRule="exact" w:before="0" w:after="0"/>
        <w:ind w:left="1571" w:right="0" w:hanging="360"/>
        <w:jc w:val="left"/>
        <w:rPr>
          <w:sz w:val="20"/>
        </w:rPr>
      </w:pPr>
      <w:r>
        <w:rPr>
          <w:sz w:val="20"/>
        </w:rPr>
        <w:t>Hull</w:t>
      </w:r>
      <w:r>
        <w:rPr>
          <w:spacing w:val="-7"/>
          <w:sz w:val="20"/>
        </w:rPr>
        <w:t> </w:t>
      </w:r>
      <w:r>
        <w:rPr>
          <w:sz w:val="20"/>
        </w:rPr>
        <w:t>Chamber</w:t>
      </w:r>
      <w:r>
        <w:rPr>
          <w:spacing w:val="-4"/>
          <w:sz w:val="20"/>
        </w:rPr>
        <w:t> </w:t>
      </w:r>
      <w:r>
        <w:rPr>
          <w:sz w:val="20"/>
        </w:rPr>
        <w:t>of</w:t>
      </w:r>
      <w:r>
        <w:rPr>
          <w:spacing w:val="-6"/>
          <w:sz w:val="20"/>
        </w:rPr>
        <w:t> </w:t>
      </w:r>
      <w:r>
        <w:rPr>
          <w:spacing w:val="-2"/>
          <w:sz w:val="20"/>
        </w:rPr>
        <w:t>Commerce.</w:t>
      </w:r>
    </w:p>
    <w:p>
      <w:pPr>
        <w:pStyle w:val="ListParagraph"/>
        <w:numPr>
          <w:ilvl w:val="0"/>
          <w:numId w:val="3"/>
        </w:numPr>
        <w:tabs>
          <w:tab w:pos="1571" w:val="left" w:leader="none"/>
        </w:tabs>
        <w:spacing w:line="244" w:lineRule="exact" w:before="0" w:after="0"/>
        <w:ind w:left="1571" w:right="0" w:hanging="360"/>
        <w:jc w:val="left"/>
        <w:rPr>
          <w:sz w:val="20"/>
        </w:rPr>
      </w:pPr>
      <w:r>
        <w:rPr>
          <w:sz w:val="20"/>
        </w:rPr>
        <w:t>Hull</w:t>
      </w:r>
      <w:r>
        <w:rPr>
          <w:spacing w:val="-6"/>
          <w:sz w:val="20"/>
        </w:rPr>
        <w:t> </w:t>
      </w:r>
      <w:r>
        <w:rPr>
          <w:sz w:val="20"/>
        </w:rPr>
        <w:t>Post</w:t>
      </w:r>
      <w:r>
        <w:rPr>
          <w:spacing w:val="-6"/>
          <w:sz w:val="20"/>
        </w:rPr>
        <w:t> </w:t>
      </w:r>
      <w:r>
        <w:rPr>
          <w:sz w:val="20"/>
        </w:rPr>
        <w:t>16</w:t>
      </w:r>
      <w:r>
        <w:rPr>
          <w:spacing w:val="-3"/>
          <w:sz w:val="20"/>
        </w:rPr>
        <w:t> </w:t>
      </w:r>
      <w:r>
        <w:rPr>
          <w:sz w:val="20"/>
        </w:rPr>
        <w:t>Partnership</w:t>
      </w:r>
      <w:r>
        <w:rPr>
          <w:spacing w:val="-5"/>
          <w:sz w:val="20"/>
        </w:rPr>
        <w:t> </w:t>
      </w:r>
      <w:r>
        <w:rPr>
          <w:sz w:val="20"/>
        </w:rPr>
        <w:t>and</w:t>
      </w:r>
      <w:r>
        <w:rPr>
          <w:spacing w:val="-5"/>
          <w:sz w:val="20"/>
        </w:rPr>
        <w:t> </w:t>
      </w:r>
      <w:r>
        <w:rPr>
          <w:sz w:val="20"/>
        </w:rPr>
        <w:t>local</w:t>
      </w:r>
      <w:r>
        <w:rPr>
          <w:spacing w:val="-6"/>
          <w:sz w:val="20"/>
        </w:rPr>
        <w:t> </w:t>
      </w:r>
      <w:r>
        <w:rPr>
          <w:spacing w:val="-2"/>
          <w:sz w:val="20"/>
        </w:rPr>
        <w:t>schools.</w:t>
      </w:r>
    </w:p>
    <w:p>
      <w:pPr>
        <w:pStyle w:val="ListParagraph"/>
        <w:numPr>
          <w:ilvl w:val="0"/>
          <w:numId w:val="3"/>
        </w:numPr>
        <w:tabs>
          <w:tab w:pos="1571" w:val="left" w:leader="none"/>
        </w:tabs>
        <w:spacing w:line="244" w:lineRule="exact" w:before="0" w:after="0"/>
        <w:ind w:left="1571" w:right="0" w:hanging="360"/>
        <w:jc w:val="left"/>
        <w:rPr>
          <w:sz w:val="20"/>
        </w:rPr>
      </w:pPr>
      <w:r>
        <w:rPr>
          <w:sz w:val="20"/>
        </w:rPr>
        <w:t>Local</w:t>
      </w:r>
      <w:r>
        <w:rPr>
          <w:spacing w:val="-10"/>
          <w:sz w:val="20"/>
        </w:rPr>
        <w:t> </w:t>
      </w:r>
      <w:r>
        <w:rPr>
          <w:sz w:val="20"/>
        </w:rPr>
        <w:t>Enterprise</w:t>
      </w:r>
      <w:r>
        <w:rPr>
          <w:spacing w:val="-8"/>
          <w:sz w:val="20"/>
        </w:rPr>
        <w:t> </w:t>
      </w:r>
      <w:r>
        <w:rPr>
          <w:spacing w:val="-2"/>
          <w:sz w:val="20"/>
        </w:rPr>
        <w:t>Partnerships.</w:t>
      </w:r>
    </w:p>
    <w:p>
      <w:pPr>
        <w:pStyle w:val="ListParagraph"/>
        <w:numPr>
          <w:ilvl w:val="0"/>
          <w:numId w:val="3"/>
        </w:numPr>
        <w:tabs>
          <w:tab w:pos="1571" w:val="left" w:leader="none"/>
        </w:tabs>
        <w:spacing w:line="242" w:lineRule="exact" w:before="0" w:after="0"/>
        <w:ind w:left="1571" w:right="0" w:hanging="360"/>
        <w:jc w:val="left"/>
        <w:rPr>
          <w:sz w:val="20"/>
        </w:rPr>
      </w:pPr>
      <w:r>
        <w:rPr>
          <w:sz w:val="20"/>
        </w:rPr>
        <w:t>Local</w:t>
      </w:r>
      <w:r>
        <w:rPr>
          <w:spacing w:val="-8"/>
          <w:sz w:val="20"/>
        </w:rPr>
        <w:t> </w:t>
      </w:r>
      <w:r>
        <w:rPr>
          <w:sz w:val="20"/>
        </w:rPr>
        <w:t>authorities,</w:t>
      </w:r>
      <w:r>
        <w:rPr>
          <w:spacing w:val="-8"/>
          <w:sz w:val="20"/>
        </w:rPr>
        <w:t> </w:t>
      </w:r>
      <w:r>
        <w:rPr>
          <w:sz w:val="20"/>
        </w:rPr>
        <w:t>specifically</w:t>
      </w:r>
      <w:r>
        <w:rPr>
          <w:spacing w:val="-7"/>
          <w:sz w:val="20"/>
        </w:rPr>
        <w:t> </w:t>
      </w:r>
      <w:r>
        <w:rPr>
          <w:sz w:val="20"/>
        </w:rPr>
        <w:t>Hull</w:t>
      </w:r>
      <w:r>
        <w:rPr>
          <w:spacing w:val="-7"/>
          <w:sz w:val="20"/>
        </w:rPr>
        <w:t> </w:t>
      </w:r>
      <w:r>
        <w:rPr>
          <w:sz w:val="20"/>
        </w:rPr>
        <w:t>City</w:t>
      </w:r>
      <w:r>
        <w:rPr>
          <w:spacing w:val="-8"/>
          <w:sz w:val="20"/>
        </w:rPr>
        <w:t> </w:t>
      </w:r>
      <w:r>
        <w:rPr>
          <w:sz w:val="20"/>
        </w:rPr>
        <w:t>Council</w:t>
      </w:r>
      <w:r>
        <w:rPr>
          <w:spacing w:val="-7"/>
          <w:sz w:val="20"/>
        </w:rPr>
        <w:t> </w:t>
      </w:r>
      <w:r>
        <w:rPr>
          <w:sz w:val="20"/>
        </w:rPr>
        <w:t>and</w:t>
      </w:r>
      <w:r>
        <w:rPr>
          <w:spacing w:val="-6"/>
          <w:sz w:val="20"/>
        </w:rPr>
        <w:t> </w:t>
      </w:r>
      <w:r>
        <w:rPr>
          <w:sz w:val="20"/>
        </w:rPr>
        <w:t>Riding</w:t>
      </w:r>
      <w:r>
        <w:rPr>
          <w:spacing w:val="-8"/>
          <w:sz w:val="20"/>
        </w:rPr>
        <w:t> </w:t>
      </w:r>
      <w:r>
        <w:rPr>
          <w:sz w:val="20"/>
        </w:rPr>
        <w:t>of</w:t>
      </w:r>
      <w:r>
        <w:rPr>
          <w:spacing w:val="-7"/>
          <w:sz w:val="20"/>
        </w:rPr>
        <w:t> </w:t>
      </w:r>
      <w:r>
        <w:rPr>
          <w:sz w:val="20"/>
        </w:rPr>
        <w:t>East</w:t>
      </w:r>
      <w:r>
        <w:rPr>
          <w:spacing w:val="-6"/>
          <w:sz w:val="20"/>
        </w:rPr>
        <w:t> </w:t>
      </w:r>
      <w:r>
        <w:rPr>
          <w:sz w:val="20"/>
        </w:rPr>
        <w:t>Yorkshire</w:t>
      </w:r>
      <w:r>
        <w:rPr>
          <w:spacing w:val="-6"/>
          <w:sz w:val="20"/>
        </w:rPr>
        <w:t> </w:t>
      </w:r>
      <w:r>
        <w:rPr>
          <w:spacing w:val="-2"/>
          <w:sz w:val="20"/>
        </w:rPr>
        <w:t>Council.</w:t>
      </w:r>
    </w:p>
    <w:p>
      <w:pPr>
        <w:pStyle w:val="ListParagraph"/>
        <w:numPr>
          <w:ilvl w:val="0"/>
          <w:numId w:val="3"/>
        </w:numPr>
        <w:tabs>
          <w:tab w:pos="1571" w:val="left" w:leader="none"/>
        </w:tabs>
        <w:spacing w:line="244" w:lineRule="exact" w:before="0" w:after="0"/>
        <w:ind w:left="1571" w:right="0" w:hanging="360"/>
        <w:jc w:val="left"/>
        <w:rPr>
          <w:sz w:val="20"/>
        </w:rPr>
      </w:pPr>
      <w:r>
        <w:rPr>
          <w:sz w:val="20"/>
        </w:rPr>
        <w:t>Local</w:t>
      </w:r>
      <w:r>
        <w:rPr>
          <w:spacing w:val="-10"/>
          <w:sz w:val="20"/>
        </w:rPr>
        <w:t> </w:t>
      </w:r>
      <w:r>
        <w:rPr>
          <w:sz w:val="20"/>
        </w:rPr>
        <w:t>community</w:t>
      </w:r>
      <w:r>
        <w:rPr>
          <w:spacing w:val="-7"/>
          <w:sz w:val="20"/>
        </w:rPr>
        <w:t> </w:t>
      </w:r>
      <w:r>
        <w:rPr>
          <w:spacing w:val="-2"/>
          <w:sz w:val="20"/>
        </w:rPr>
        <w:t>groups.</w:t>
      </w:r>
    </w:p>
    <w:p>
      <w:pPr>
        <w:pStyle w:val="ListParagraph"/>
        <w:numPr>
          <w:ilvl w:val="0"/>
          <w:numId w:val="3"/>
        </w:numPr>
        <w:tabs>
          <w:tab w:pos="1571" w:val="left" w:leader="none"/>
        </w:tabs>
        <w:spacing w:line="244" w:lineRule="exact" w:before="0" w:after="0"/>
        <w:ind w:left="1571" w:right="0" w:hanging="360"/>
        <w:jc w:val="left"/>
        <w:rPr>
          <w:sz w:val="20"/>
        </w:rPr>
      </w:pPr>
      <w:r>
        <w:rPr>
          <w:sz w:val="20"/>
        </w:rPr>
        <w:t>Partner</w:t>
      </w:r>
      <w:r>
        <w:rPr>
          <w:spacing w:val="-9"/>
          <w:sz w:val="20"/>
        </w:rPr>
        <w:t> </w:t>
      </w:r>
      <w:r>
        <w:rPr>
          <w:sz w:val="20"/>
        </w:rPr>
        <w:t>training</w:t>
      </w:r>
      <w:r>
        <w:rPr>
          <w:spacing w:val="-10"/>
          <w:sz w:val="20"/>
        </w:rPr>
        <w:t> </w:t>
      </w:r>
      <w:r>
        <w:rPr>
          <w:spacing w:val="-2"/>
          <w:sz w:val="20"/>
        </w:rPr>
        <w:t>providers.</w:t>
      </w:r>
    </w:p>
    <w:p>
      <w:pPr>
        <w:pStyle w:val="ListParagraph"/>
        <w:numPr>
          <w:ilvl w:val="0"/>
          <w:numId w:val="3"/>
        </w:numPr>
        <w:tabs>
          <w:tab w:pos="1571" w:val="left" w:leader="none"/>
        </w:tabs>
        <w:spacing w:line="244" w:lineRule="exact" w:before="0" w:after="0"/>
        <w:ind w:left="1571" w:right="0" w:hanging="360"/>
        <w:jc w:val="left"/>
        <w:rPr>
          <w:sz w:val="20"/>
        </w:rPr>
      </w:pPr>
      <w:r>
        <w:rPr>
          <w:sz w:val="20"/>
        </w:rPr>
        <w:t>Parents</w:t>
      </w:r>
      <w:r>
        <w:rPr>
          <w:spacing w:val="-8"/>
          <w:sz w:val="20"/>
        </w:rPr>
        <w:t> </w:t>
      </w:r>
      <w:r>
        <w:rPr>
          <w:sz w:val="20"/>
        </w:rPr>
        <w:t>and</w:t>
      </w:r>
      <w:r>
        <w:rPr>
          <w:spacing w:val="-6"/>
          <w:sz w:val="20"/>
        </w:rPr>
        <w:t> </w:t>
      </w:r>
      <w:r>
        <w:rPr>
          <w:spacing w:val="-2"/>
          <w:sz w:val="20"/>
        </w:rPr>
        <w:t>caregivers.</w:t>
      </w:r>
    </w:p>
    <w:p>
      <w:pPr>
        <w:pStyle w:val="ListParagraph"/>
        <w:numPr>
          <w:ilvl w:val="0"/>
          <w:numId w:val="3"/>
        </w:numPr>
        <w:tabs>
          <w:tab w:pos="1571" w:val="left" w:leader="none"/>
        </w:tabs>
        <w:spacing w:line="244" w:lineRule="exact" w:before="0" w:after="0"/>
        <w:ind w:left="1571" w:right="0" w:hanging="360"/>
        <w:jc w:val="left"/>
        <w:rPr>
          <w:sz w:val="20"/>
        </w:rPr>
      </w:pPr>
      <w:r>
        <w:rPr>
          <w:spacing w:val="-2"/>
          <w:sz w:val="20"/>
        </w:rPr>
        <w:t>Professional</w:t>
      </w:r>
      <w:r>
        <w:rPr>
          <w:spacing w:val="8"/>
          <w:sz w:val="20"/>
        </w:rPr>
        <w:t> </w:t>
      </w:r>
      <w:r>
        <w:rPr>
          <w:spacing w:val="-2"/>
          <w:sz w:val="20"/>
        </w:rPr>
        <w:t>bodies.</w:t>
      </w:r>
    </w:p>
    <w:p>
      <w:pPr>
        <w:pStyle w:val="ListParagraph"/>
        <w:numPr>
          <w:ilvl w:val="0"/>
          <w:numId w:val="3"/>
        </w:numPr>
        <w:tabs>
          <w:tab w:pos="1571" w:val="left" w:leader="none"/>
        </w:tabs>
        <w:spacing w:line="244" w:lineRule="exact" w:before="0" w:after="0"/>
        <w:ind w:left="1571" w:right="0" w:hanging="360"/>
        <w:jc w:val="left"/>
        <w:rPr>
          <w:sz w:val="20"/>
        </w:rPr>
      </w:pPr>
      <w:r>
        <w:rPr>
          <w:sz w:val="20"/>
        </w:rPr>
        <w:t>Universities,</w:t>
      </w:r>
      <w:r>
        <w:rPr>
          <w:spacing w:val="-8"/>
          <w:sz w:val="20"/>
        </w:rPr>
        <w:t> </w:t>
      </w:r>
      <w:r>
        <w:rPr>
          <w:sz w:val="20"/>
        </w:rPr>
        <w:t>including</w:t>
      </w:r>
      <w:r>
        <w:rPr>
          <w:spacing w:val="-10"/>
          <w:sz w:val="20"/>
        </w:rPr>
        <w:t> </w:t>
      </w:r>
      <w:r>
        <w:rPr>
          <w:sz w:val="20"/>
        </w:rPr>
        <w:t>The</w:t>
      </w:r>
      <w:r>
        <w:rPr>
          <w:spacing w:val="-8"/>
          <w:sz w:val="20"/>
        </w:rPr>
        <w:t> </w:t>
      </w:r>
      <w:r>
        <w:rPr>
          <w:sz w:val="20"/>
        </w:rPr>
        <w:t>University</w:t>
      </w:r>
      <w:r>
        <w:rPr>
          <w:spacing w:val="-8"/>
          <w:sz w:val="20"/>
        </w:rPr>
        <w:t> </w:t>
      </w:r>
      <w:r>
        <w:rPr>
          <w:sz w:val="20"/>
        </w:rPr>
        <w:t>of</w:t>
      </w:r>
      <w:r>
        <w:rPr>
          <w:spacing w:val="-8"/>
          <w:sz w:val="20"/>
        </w:rPr>
        <w:t> </w:t>
      </w:r>
      <w:r>
        <w:rPr>
          <w:spacing w:val="-4"/>
          <w:sz w:val="20"/>
        </w:rPr>
        <w:t>Hull.</w:t>
      </w:r>
    </w:p>
    <w:p>
      <w:pPr>
        <w:pStyle w:val="BodyText"/>
        <w:spacing w:before="227"/>
        <w:ind w:left="851" w:right="1088"/>
        <w:jc w:val="both"/>
      </w:pPr>
      <w:r>
        <w:rPr/>
        <w:t>The College recognises the importance of these relationships and engages in regular communication with stakeholders.</w:t>
      </w:r>
      <w:r>
        <w:rPr>
          <w:spacing w:val="40"/>
        </w:rPr>
        <w:t> </w:t>
      </w:r>
      <w:r>
        <w:rPr/>
        <w:t>Employer reference groups support each of the College’s technical areas.</w:t>
      </w:r>
    </w:p>
    <w:p>
      <w:pPr>
        <w:pStyle w:val="BodyText"/>
        <w:spacing w:after="0"/>
        <w:jc w:val="both"/>
        <w:sectPr>
          <w:pgSz w:w="11910" w:h="16850"/>
          <w:pgMar w:header="727" w:footer="399" w:top="1520" w:bottom="580" w:left="566" w:right="708"/>
        </w:sectPr>
      </w:pPr>
    </w:p>
    <w:p>
      <w:pPr>
        <w:pStyle w:val="BodyText"/>
        <w:rPr>
          <w:sz w:val="24"/>
        </w:rPr>
      </w:pPr>
      <w:r>
        <w:rPr>
          <w:sz w:val="24"/>
        </w:rPr>
        <mc:AlternateContent>
          <mc:Choice Requires="wps">
            <w:drawing>
              <wp:anchor distT="0" distB="0" distL="0" distR="0" allowOverlap="1" layoutInCell="1" locked="0" behindDoc="0" simplePos="0" relativeHeight="15729152">
                <wp:simplePos x="0" y="0"/>
                <wp:positionH relativeFrom="page">
                  <wp:posOffset>882396</wp:posOffset>
                </wp:positionH>
                <wp:positionV relativeFrom="page">
                  <wp:posOffset>966203</wp:posOffset>
                </wp:positionV>
                <wp:extent cx="5556885" cy="63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15729152" id="docshape13" filled="true" fillcolor="#000000" stroked="false">
                <v:fill type="solid"/>
                <w10:wrap type="none"/>
              </v:rect>
            </w:pict>
          </mc:Fallback>
        </mc:AlternateContent>
      </w:r>
    </w:p>
    <w:p>
      <w:pPr>
        <w:pStyle w:val="Heading3"/>
      </w:pPr>
      <w:r>
        <w:rPr/>
        <w:t>Equal</w:t>
      </w:r>
      <w:r>
        <w:rPr>
          <w:spacing w:val="-5"/>
        </w:rPr>
        <w:t> </w:t>
      </w:r>
      <w:r>
        <w:rPr/>
        <w:t>opportunities</w:t>
      </w:r>
      <w:r>
        <w:rPr>
          <w:spacing w:val="-5"/>
        </w:rPr>
        <w:t> </w:t>
      </w:r>
      <w:r>
        <w:rPr/>
        <w:t>and</w:t>
      </w:r>
      <w:r>
        <w:rPr>
          <w:spacing w:val="-3"/>
        </w:rPr>
        <w:t> </w:t>
      </w:r>
      <w:r>
        <w:rPr/>
        <w:t>employment</w:t>
      </w:r>
      <w:r>
        <w:rPr>
          <w:spacing w:val="-5"/>
        </w:rPr>
        <w:t> </w:t>
      </w:r>
      <w:r>
        <w:rPr/>
        <w:t>of</w:t>
      </w:r>
      <w:r>
        <w:rPr>
          <w:spacing w:val="-4"/>
        </w:rPr>
        <w:t> </w:t>
      </w:r>
      <w:r>
        <w:rPr/>
        <w:t>disabled</w:t>
      </w:r>
      <w:r>
        <w:rPr>
          <w:spacing w:val="-3"/>
        </w:rPr>
        <w:t> </w:t>
      </w:r>
      <w:r>
        <w:rPr>
          <w:spacing w:val="-2"/>
        </w:rPr>
        <w:t>persons</w:t>
      </w:r>
    </w:p>
    <w:p>
      <w:pPr>
        <w:pStyle w:val="BodyText"/>
        <w:spacing w:before="275"/>
        <w:ind w:left="852" w:right="1087"/>
        <w:jc w:val="both"/>
      </w:pPr>
      <w:r>
        <w:rPr/>
        <w:t>The College is committed to ensuring equality of opportunity for all who learn and work here. We respect and value positively the diversity of our internal community and pay particular regard to those protected characteristics as defined within the Equality Act 2010.</w:t>
      </w:r>
    </w:p>
    <w:p>
      <w:pPr>
        <w:pStyle w:val="BodyText"/>
        <w:spacing w:before="229"/>
        <w:ind w:left="852" w:right="1086"/>
        <w:jc w:val="both"/>
      </w:pPr>
      <w:r>
        <w:rPr/>
        <w:t>It strives vigorously to remove barriers which place people at a disadvantage and actively combat </w:t>
      </w:r>
      <w:r>
        <w:rPr>
          <w:spacing w:val="-2"/>
        </w:rPr>
        <w:t>discrimination.</w:t>
      </w:r>
    </w:p>
    <w:p>
      <w:pPr>
        <w:pStyle w:val="BodyText"/>
        <w:spacing w:before="2"/>
      </w:pPr>
    </w:p>
    <w:p>
      <w:pPr>
        <w:pStyle w:val="BodyText"/>
        <w:ind w:left="852" w:right="1088"/>
        <w:jc w:val="both"/>
      </w:pPr>
      <w:r>
        <w:rPr/>
        <w:t>The College provides Governors with an annual Equality and Diversity report, which is also made available on the College’s internal and external websites.</w:t>
      </w:r>
    </w:p>
    <w:p>
      <w:pPr>
        <w:pStyle w:val="BodyText"/>
        <w:spacing w:before="44"/>
      </w:pPr>
    </w:p>
    <w:p>
      <w:pPr>
        <w:pStyle w:val="BodyText"/>
        <w:ind w:left="852" w:right="1085"/>
        <w:jc w:val="both"/>
      </w:pPr>
      <w:r>
        <w:rPr/>
        <w:t>The College actively promotes vacancies using appropriate methods to appeal to a diverse range of people. The College is a ‘Disability Confident’ organisation, guaranteeing interviews for any applicants with</w:t>
      </w:r>
      <w:r>
        <w:rPr>
          <w:spacing w:val="-2"/>
        </w:rPr>
        <w:t> </w:t>
      </w:r>
      <w:r>
        <w:rPr/>
        <w:t>a</w:t>
      </w:r>
      <w:r>
        <w:rPr>
          <w:spacing w:val="-2"/>
        </w:rPr>
        <w:t> </w:t>
      </w:r>
      <w:r>
        <w:rPr/>
        <w:t>disability that</w:t>
      </w:r>
      <w:r>
        <w:rPr>
          <w:spacing w:val="-2"/>
        </w:rPr>
        <w:t> </w:t>
      </w:r>
      <w:r>
        <w:rPr/>
        <w:t>meet</w:t>
      </w:r>
      <w:r>
        <w:rPr>
          <w:spacing w:val="-2"/>
        </w:rPr>
        <w:t> </w:t>
      </w:r>
      <w:r>
        <w:rPr/>
        <w:t>the essential</w:t>
      </w:r>
      <w:r>
        <w:rPr>
          <w:spacing w:val="-3"/>
        </w:rPr>
        <w:t> </w:t>
      </w:r>
      <w:r>
        <w:rPr/>
        <w:t>criteria</w:t>
      </w:r>
      <w:r>
        <w:rPr>
          <w:spacing w:val="-2"/>
        </w:rPr>
        <w:t> </w:t>
      </w:r>
      <w:r>
        <w:rPr/>
        <w:t>on the person</w:t>
      </w:r>
      <w:r>
        <w:rPr>
          <w:spacing w:val="-2"/>
        </w:rPr>
        <w:t> </w:t>
      </w:r>
      <w:r>
        <w:rPr/>
        <w:t>specification;</w:t>
      </w:r>
      <w:r>
        <w:rPr>
          <w:spacing w:val="-2"/>
        </w:rPr>
        <w:t> </w:t>
      </w:r>
      <w:r>
        <w:rPr/>
        <w:t>providing an inclusive and accessible recruitment process, with reasonable adjustments made where required and continued support for disabled employees, again, making reasonable adjustments where needed.</w:t>
      </w:r>
      <w:r>
        <w:rPr>
          <w:spacing w:val="40"/>
        </w:rPr>
        <w:t> </w:t>
      </w:r>
      <w:r>
        <w:rPr/>
        <w:t>Where an existing employee becomes disabled, every effort is made to ensure that employment with the College continues. The College’s policy is to provide training, career development and opportunities for promotion, which are, as far as possible, identical to those for other employees.</w:t>
      </w:r>
    </w:p>
    <w:p>
      <w:pPr>
        <w:pStyle w:val="BodyText"/>
        <w:spacing w:before="2"/>
      </w:pPr>
    </w:p>
    <w:p>
      <w:pPr>
        <w:pStyle w:val="BodyText"/>
        <w:ind w:left="852" w:right="1087"/>
        <w:jc w:val="both"/>
      </w:pPr>
      <w:r>
        <w:rPr/>
        <w:t>The</w:t>
      </w:r>
      <w:r>
        <w:rPr>
          <w:spacing w:val="-1"/>
        </w:rPr>
        <w:t> </w:t>
      </w:r>
      <w:r>
        <w:rPr/>
        <w:t>College</w:t>
      </w:r>
      <w:r>
        <w:rPr>
          <w:spacing w:val="-1"/>
        </w:rPr>
        <w:t> </w:t>
      </w:r>
      <w:r>
        <w:rPr/>
        <w:t>has also</w:t>
      </w:r>
      <w:r>
        <w:rPr>
          <w:spacing w:val="-1"/>
        </w:rPr>
        <w:t> </w:t>
      </w:r>
      <w:r>
        <w:rPr/>
        <w:t>committed</w:t>
      </w:r>
      <w:r>
        <w:rPr>
          <w:spacing w:val="-1"/>
        </w:rPr>
        <w:t> </w:t>
      </w:r>
      <w:r>
        <w:rPr/>
        <w:t>to</w:t>
      </w:r>
      <w:r>
        <w:rPr>
          <w:spacing w:val="-1"/>
        </w:rPr>
        <w:t> </w:t>
      </w:r>
      <w:r>
        <w:rPr/>
        <w:t>the ‘Mindful</w:t>
      </w:r>
      <w:r>
        <w:rPr>
          <w:spacing w:val="-2"/>
        </w:rPr>
        <w:t> </w:t>
      </w:r>
      <w:r>
        <w:rPr/>
        <w:t>Employer’ initiative to assist</w:t>
      </w:r>
      <w:r>
        <w:rPr>
          <w:spacing w:val="-1"/>
        </w:rPr>
        <w:t> </w:t>
      </w:r>
      <w:r>
        <w:rPr/>
        <w:t>the mental health and wellbeing</w:t>
      </w:r>
      <w:r>
        <w:rPr>
          <w:spacing w:val="-4"/>
        </w:rPr>
        <w:t> </w:t>
      </w:r>
      <w:r>
        <w:rPr/>
        <w:t>of</w:t>
      </w:r>
      <w:r>
        <w:rPr>
          <w:spacing w:val="-6"/>
        </w:rPr>
        <w:t> </w:t>
      </w:r>
      <w:r>
        <w:rPr/>
        <w:t>staff.</w:t>
      </w:r>
      <w:r>
        <w:rPr>
          <w:spacing w:val="-6"/>
        </w:rPr>
        <w:t> </w:t>
      </w:r>
      <w:r>
        <w:rPr/>
        <w:t>The</w:t>
      </w:r>
      <w:r>
        <w:rPr>
          <w:spacing w:val="-7"/>
        </w:rPr>
        <w:t> </w:t>
      </w:r>
      <w:r>
        <w:rPr/>
        <w:t>College</w:t>
      </w:r>
      <w:r>
        <w:rPr>
          <w:spacing w:val="-7"/>
        </w:rPr>
        <w:t> </w:t>
      </w:r>
      <w:r>
        <w:rPr/>
        <w:t>ensures</w:t>
      </w:r>
      <w:r>
        <w:rPr>
          <w:spacing w:val="-5"/>
        </w:rPr>
        <w:t> </w:t>
      </w:r>
      <w:r>
        <w:rPr/>
        <w:t>that</w:t>
      </w:r>
      <w:r>
        <w:rPr>
          <w:spacing w:val="-6"/>
        </w:rPr>
        <w:t> </w:t>
      </w:r>
      <w:r>
        <w:rPr/>
        <w:t>all</w:t>
      </w:r>
      <w:r>
        <w:rPr>
          <w:spacing w:val="-7"/>
        </w:rPr>
        <w:t> </w:t>
      </w:r>
      <w:r>
        <w:rPr/>
        <w:t>staff</w:t>
      </w:r>
      <w:r>
        <w:rPr>
          <w:spacing w:val="-6"/>
        </w:rPr>
        <w:t> </w:t>
      </w:r>
      <w:r>
        <w:rPr/>
        <w:t>undertake</w:t>
      </w:r>
      <w:r>
        <w:rPr>
          <w:spacing w:val="-7"/>
        </w:rPr>
        <w:t> </w:t>
      </w:r>
      <w:r>
        <w:rPr/>
        <w:t>regular</w:t>
      </w:r>
      <w:r>
        <w:rPr>
          <w:spacing w:val="-5"/>
        </w:rPr>
        <w:t> </w:t>
      </w:r>
      <w:r>
        <w:rPr/>
        <w:t>training</w:t>
      </w:r>
      <w:r>
        <w:rPr>
          <w:spacing w:val="-7"/>
        </w:rPr>
        <w:t> </w:t>
      </w:r>
      <w:r>
        <w:rPr/>
        <w:t>on</w:t>
      </w:r>
      <w:r>
        <w:rPr>
          <w:spacing w:val="-7"/>
        </w:rPr>
        <w:t> </w:t>
      </w:r>
      <w:r>
        <w:rPr/>
        <w:t>safeguarding,</w:t>
      </w:r>
      <w:r>
        <w:rPr>
          <w:spacing w:val="-6"/>
        </w:rPr>
        <w:t> </w:t>
      </w:r>
      <w:r>
        <w:rPr/>
        <w:t>the Prevent duty and equality and diversity.</w:t>
      </w:r>
    </w:p>
    <w:p>
      <w:pPr>
        <w:pStyle w:val="BodyText"/>
        <w:spacing w:before="45"/>
      </w:pPr>
    </w:p>
    <w:p>
      <w:pPr>
        <w:pStyle w:val="Heading3"/>
      </w:pPr>
      <w:r>
        <w:rPr/>
        <w:t>Disability,</w:t>
      </w:r>
      <w:r>
        <w:rPr>
          <w:spacing w:val="-3"/>
        </w:rPr>
        <w:t> </w:t>
      </w:r>
      <w:r>
        <w:rPr/>
        <w:t>equality</w:t>
      </w:r>
      <w:r>
        <w:rPr>
          <w:spacing w:val="-2"/>
        </w:rPr>
        <w:t> </w:t>
      </w:r>
      <w:r>
        <w:rPr/>
        <w:t>and</w:t>
      </w:r>
      <w:r>
        <w:rPr>
          <w:spacing w:val="-3"/>
        </w:rPr>
        <w:t> </w:t>
      </w:r>
      <w:r>
        <w:rPr/>
        <w:t>diversity</w:t>
      </w:r>
      <w:r>
        <w:rPr>
          <w:spacing w:val="-2"/>
        </w:rPr>
        <w:t> statement</w:t>
      </w:r>
    </w:p>
    <w:p>
      <w:pPr>
        <w:pStyle w:val="BodyText"/>
        <w:spacing w:before="230"/>
        <w:ind w:left="852" w:right="1087"/>
        <w:jc w:val="both"/>
      </w:pPr>
      <w:r>
        <w:rPr/>
        <w:t>The</w:t>
      </w:r>
      <w:r>
        <w:rPr>
          <w:spacing w:val="-14"/>
        </w:rPr>
        <w:t> </w:t>
      </w:r>
      <w:r>
        <w:rPr/>
        <w:t>College</w:t>
      </w:r>
      <w:r>
        <w:rPr>
          <w:spacing w:val="-14"/>
        </w:rPr>
        <w:t> </w:t>
      </w:r>
      <w:r>
        <w:rPr/>
        <w:t>seeks</w:t>
      </w:r>
      <w:r>
        <w:rPr>
          <w:spacing w:val="-12"/>
        </w:rPr>
        <w:t> </w:t>
      </w:r>
      <w:r>
        <w:rPr/>
        <w:t>to</w:t>
      </w:r>
      <w:r>
        <w:rPr>
          <w:spacing w:val="-14"/>
        </w:rPr>
        <w:t> </w:t>
      </w:r>
      <w:r>
        <w:rPr/>
        <w:t>fulfil</w:t>
      </w:r>
      <w:r>
        <w:rPr>
          <w:spacing w:val="-14"/>
        </w:rPr>
        <w:t> </w:t>
      </w:r>
      <w:r>
        <w:rPr/>
        <w:t>the</w:t>
      </w:r>
      <w:r>
        <w:rPr>
          <w:spacing w:val="-14"/>
        </w:rPr>
        <w:t> </w:t>
      </w:r>
      <w:r>
        <w:rPr/>
        <w:t>requirements</w:t>
      </w:r>
      <w:r>
        <w:rPr>
          <w:spacing w:val="-12"/>
        </w:rPr>
        <w:t> </w:t>
      </w:r>
      <w:r>
        <w:rPr/>
        <w:t>of</w:t>
      </w:r>
      <w:r>
        <w:rPr>
          <w:spacing w:val="-14"/>
        </w:rPr>
        <w:t> </w:t>
      </w:r>
      <w:r>
        <w:rPr/>
        <w:t>the</w:t>
      </w:r>
      <w:r>
        <w:rPr>
          <w:spacing w:val="-14"/>
        </w:rPr>
        <w:t> </w:t>
      </w:r>
      <w:r>
        <w:rPr/>
        <w:t>Equality</w:t>
      </w:r>
      <w:r>
        <w:rPr>
          <w:spacing w:val="-12"/>
        </w:rPr>
        <w:t> </w:t>
      </w:r>
      <w:r>
        <w:rPr/>
        <w:t>Act</w:t>
      </w:r>
      <w:r>
        <w:rPr>
          <w:spacing w:val="-14"/>
        </w:rPr>
        <w:t> </w:t>
      </w:r>
      <w:r>
        <w:rPr/>
        <w:t>2010</w:t>
      </w:r>
      <w:r>
        <w:rPr>
          <w:spacing w:val="-14"/>
        </w:rPr>
        <w:t> </w:t>
      </w:r>
      <w:r>
        <w:rPr/>
        <w:t>and</w:t>
      </w:r>
      <w:r>
        <w:rPr>
          <w:spacing w:val="-11"/>
        </w:rPr>
        <w:t> </w:t>
      </w:r>
      <w:r>
        <w:rPr/>
        <w:t>Special</w:t>
      </w:r>
      <w:r>
        <w:rPr>
          <w:spacing w:val="-12"/>
        </w:rPr>
        <w:t> </w:t>
      </w:r>
      <w:r>
        <w:rPr/>
        <w:t>Educational</w:t>
      </w:r>
      <w:r>
        <w:rPr>
          <w:spacing w:val="-14"/>
        </w:rPr>
        <w:t> </w:t>
      </w:r>
      <w:r>
        <w:rPr/>
        <w:t>Needs and Disability Act 2011 as follows:</w:t>
      </w:r>
    </w:p>
    <w:p>
      <w:pPr>
        <w:pStyle w:val="BodyText"/>
        <w:spacing w:before="2"/>
      </w:pPr>
    </w:p>
    <w:p>
      <w:pPr>
        <w:pStyle w:val="ListParagraph"/>
        <w:numPr>
          <w:ilvl w:val="0"/>
          <w:numId w:val="4"/>
        </w:numPr>
        <w:tabs>
          <w:tab w:pos="1134" w:val="left" w:leader="none"/>
        </w:tabs>
        <w:spacing w:line="244" w:lineRule="exact" w:before="0" w:after="0"/>
        <w:ind w:left="1134" w:right="0" w:hanging="282"/>
        <w:jc w:val="both"/>
        <w:rPr>
          <w:rFonts w:ascii="Symbol" w:hAnsi="Symbol"/>
          <w:sz w:val="20"/>
        </w:rPr>
      </w:pPr>
      <w:r>
        <w:rPr>
          <w:sz w:val="20"/>
        </w:rPr>
        <w:t>Disability</w:t>
      </w:r>
      <w:r>
        <w:rPr>
          <w:spacing w:val="-9"/>
          <w:sz w:val="20"/>
        </w:rPr>
        <w:t> </w:t>
      </w:r>
      <w:r>
        <w:rPr>
          <w:sz w:val="20"/>
        </w:rPr>
        <w:t>considerations</w:t>
      </w:r>
      <w:r>
        <w:rPr>
          <w:spacing w:val="-9"/>
          <w:sz w:val="20"/>
        </w:rPr>
        <w:t> </w:t>
      </w:r>
      <w:r>
        <w:rPr>
          <w:sz w:val="20"/>
        </w:rPr>
        <w:t>are</w:t>
      </w:r>
      <w:r>
        <w:rPr>
          <w:spacing w:val="-9"/>
          <w:sz w:val="20"/>
        </w:rPr>
        <w:t> </w:t>
      </w:r>
      <w:r>
        <w:rPr>
          <w:sz w:val="20"/>
        </w:rPr>
        <w:t>built</w:t>
      </w:r>
      <w:r>
        <w:rPr>
          <w:spacing w:val="-8"/>
          <w:sz w:val="20"/>
        </w:rPr>
        <w:t> </w:t>
      </w:r>
      <w:r>
        <w:rPr>
          <w:sz w:val="20"/>
        </w:rPr>
        <w:t>into</w:t>
      </w:r>
      <w:r>
        <w:rPr>
          <w:spacing w:val="-9"/>
          <w:sz w:val="20"/>
        </w:rPr>
        <w:t> </w:t>
      </w:r>
      <w:r>
        <w:rPr>
          <w:sz w:val="20"/>
        </w:rPr>
        <w:t>the</w:t>
      </w:r>
      <w:r>
        <w:rPr>
          <w:spacing w:val="-9"/>
          <w:sz w:val="20"/>
        </w:rPr>
        <w:t> </w:t>
      </w:r>
      <w:r>
        <w:rPr>
          <w:sz w:val="20"/>
        </w:rPr>
        <w:t>College’s</w:t>
      </w:r>
      <w:r>
        <w:rPr>
          <w:spacing w:val="-9"/>
          <w:sz w:val="20"/>
        </w:rPr>
        <w:t> </w:t>
      </w:r>
      <w:r>
        <w:rPr>
          <w:sz w:val="20"/>
        </w:rPr>
        <w:t>accommodation</w:t>
      </w:r>
      <w:r>
        <w:rPr>
          <w:spacing w:val="-9"/>
          <w:sz w:val="20"/>
        </w:rPr>
        <w:t> </w:t>
      </w:r>
      <w:r>
        <w:rPr>
          <w:spacing w:val="-2"/>
          <w:sz w:val="20"/>
        </w:rPr>
        <w:t>strategy.</w:t>
      </w:r>
    </w:p>
    <w:p>
      <w:pPr>
        <w:pStyle w:val="ListParagraph"/>
        <w:numPr>
          <w:ilvl w:val="0"/>
          <w:numId w:val="4"/>
        </w:numPr>
        <w:tabs>
          <w:tab w:pos="1133" w:val="left" w:leader="none"/>
          <w:tab w:pos="1135" w:val="left" w:leader="none"/>
        </w:tabs>
        <w:spacing w:line="240" w:lineRule="auto" w:before="0" w:after="0"/>
        <w:ind w:left="1135" w:right="1084" w:hanging="284"/>
        <w:jc w:val="both"/>
        <w:rPr>
          <w:rFonts w:ascii="Symbol" w:hAnsi="Symbol"/>
          <w:sz w:val="20"/>
        </w:rPr>
      </w:pPr>
      <w:r>
        <w:rPr>
          <w:sz w:val="20"/>
        </w:rPr>
        <w:t>The College has a member of staff appointed as the Equality &amp; Diversity Officer and who provides</w:t>
      </w:r>
      <w:r>
        <w:rPr>
          <w:spacing w:val="-10"/>
          <w:sz w:val="20"/>
        </w:rPr>
        <w:t> </w:t>
      </w:r>
      <w:r>
        <w:rPr>
          <w:sz w:val="20"/>
        </w:rPr>
        <w:t>information,</w:t>
      </w:r>
      <w:r>
        <w:rPr>
          <w:spacing w:val="-11"/>
          <w:sz w:val="20"/>
        </w:rPr>
        <w:t> </w:t>
      </w:r>
      <w:r>
        <w:rPr>
          <w:sz w:val="20"/>
        </w:rPr>
        <w:t>advice</w:t>
      </w:r>
      <w:r>
        <w:rPr>
          <w:spacing w:val="-14"/>
          <w:sz w:val="20"/>
        </w:rPr>
        <w:t> </w:t>
      </w:r>
      <w:r>
        <w:rPr>
          <w:sz w:val="20"/>
        </w:rPr>
        <w:t>and</w:t>
      </w:r>
      <w:r>
        <w:rPr>
          <w:spacing w:val="-11"/>
          <w:sz w:val="20"/>
        </w:rPr>
        <w:t> </w:t>
      </w:r>
      <w:r>
        <w:rPr>
          <w:sz w:val="20"/>
        </w:rPr>
        <w:t>arranges</w:t>
      </w:r>
      <w:r>
        <w:rPr>
          <w:spacing w:val="-12"/>
          <w:sz w:val="20"/>
        </w:rPr>
        <w:t> </w:t>
      </w:r>
      <w:r>
        <w:rPr>
          <w:sz w:val="20"/>
        </w:rPr>
        <w:t>support</w:t>
      </w:r>
      <w:r>
        <w:rPr>
          <w:spacing w:val="-14"/>
          <w:sz w:val="20"/>
        </w:rPr>
        <w:t> </w:t>
      </w:r>
      <w:r>
        <w:rPr>
          <w:sz w:val="20"/>
        </w:rPr>
        <w:t>where</w:t>
      </w:r>
      <w:r>
        <w:rPr>
          <w:spacing w:val="-14"/>
          <w:sz w:val="20"/>
        </w:rPr>
        <w:t> </w:t>
      </w:r>
      <w:r>
        <w:rPr>
          <w:sz w:val="20"/>
        </w:rPr>
        <w:t>necessary</w:t>
      </w:r>
      <w:r>
        <w:rPr>
          <w:spacing w:val="-12"/>
          <w:sz w:val="20"/>
        </w:rPr>
        <w:t> </w:t>
      </w:r>
      <w:r>
        <w:rPr>
          <w:sz w:val="20"/>
        </w:rPr>
        <w:t>for</w:t>
      </w:r>
      <w:r>
        <w:rPr>
          <w:spacing w:val="-10"/>
          <w:sz w:val="20"/>
        </w:rPr>
        <w:t> </w:t>
      </w:r>
      <w:r>
        <w:rPr>
          <w:sz w:val="20"/>
        </w:rPr>
        <w:t>students</w:t>
      </w:r>
      <w:r>
        <w:rPr>
          <w:spacing w:val="-12"/>
          <w:sz w:val="20"/>
        </w:rPr>
        <w:t> </w:t>
      </w:r>
      <w:r>
        <w:rPr>
          <w:sz w:val="20"/>
        </w:rPr>
        <w:t>with</w:t>
      </w:r>
      <w:r>
        <w:rPr>
          <w:spacing w:val="-14"/>
          <w:sz w:val="20"/>
        </w:rPr>
        <w:t> </w:t>
      </w:r>
      <w:r>
        <w:rPr>
          <w:sz w:val="20"/>
        </w:rPr>
        <w:t>disabilities as well as Director of Learner and Customer Services who has responsibility for supporting SEND learners.</w:t>
      </w:r>
    </w:p>
    <w:p>
      <w:pPr>
        <w:pStyle w:val="ListParagraph"/>
        <w:numPr>
          <w:ilvl w:val="0"/>
          <w:numId w:val="4"/>
        </w:numPr>
        <w:tabs>
          <w:tab w:pos="1133" w:val="left" w:leader="none"/>
          <w:tab w:pos="1135" w:val="left" w:leader="none"/>
        </w:tabs>
        <w:spacing w:line="237" w:lineRule="auto" w:before="0" w:after="0"/>
        <w:ind w:left="1135" w:right="1087" w:hanging="284"/>
        <w:jc w:val="both"/>
        <w:rPr>
          <w:rFonts w:ascii="Symbol" w:hAnsi="Symbol"/>
          <w:sz w:val="20"/>
        </w:rPr>
      </w:pPr>
      <w:r>
        <w:rPr>
          <w:sz w:val="20"/>
        </w:rPr>
        <w:t>The College can provide a range of specialist equipment for students to use and has a variety of assistive technology available.</w:t>
      </w:r>
    </w:p>
    <w:p>
      <w:pPr>
        <w:pStyle w:val="ListParagraph"/>
        <w:numPr>
          <w:ilvl w:val="0"/>
          <w:numId w:val="4"/>
        </w:numPr>
        <w:tabs>
          <w:tab w:pos="1134" w:val="left" w:leader="none"/>
          <w:tab w:pos="1136" w:val="left" w:leader="none"/>
        </w:tabs>
        <w:spacing w:line="240" w:lineRule="auto" w:before="1" w:after="0"/>
        <w:ind w:left="1136" w:right="1087" w:hanging="284"/>
        <w:jc w:val="both"/>
        <w:rPr>
          <w:rFonts w:ascii="Symbol" w:hAnsi="Symbol"/>
          <w:sz w:val="20"/>
        </w:rPr>
      </w:pPr>
      <w:r>
        <w:rPr>
          <w:sz w:val="20"/>
        </w:rPr>
        <w:t>Specialist programmes are described in the College’s prospectuses, and achievement and destinations are recorded and published on the College website and within appropriate </w:t>
      </w:r>
      <w:r>
        <w:rPr>
          <w:spacing w:val="-2"/>
          <w:sz w:val="20"/>
        </w:rPr>
        <w:t>publications.</w:t>
      </w:r>
    </w:p>
    <w:p>
      <w:pPr>
        <w:pStyle w:val="ListParagraph"/>
        <w:numPr>
          <w:ilvl w:val="0"/>
          <w:numId w:val="4"/>
        </w:numPr>
        <w:tabs>
          <w:tab w:pos="1134" w:val="left" w:leader="none"/>
        </w:tabs>
        <w:spacing w:line="243" w:lineRule="exact" w:before="0" w:after="0"/>
        <w:ind w:left="1134" w:right="0" w:hanging="282"/>
        <w:jc w:val="both"/>
        <w:rPr>
          <w:rFonts w:ascii="Symbol" w:hAnsi="Symbol"/>
          <w:sz w:val="20"/>
        </w:rPr>
      </w:pPr>
      <w:r>
        <w:rPr>
          <w:sz w:val="20"/>
        </w:rPr>
        <w:t>Counselling</w:t>
      </w:r>
      <w:r>
        <w:rPr>
          <w:spacing w:val="-6"/>
          <w:sz w:val="20"/>
        </w:rPr>
        <w:t> </w:t>
      </w:r>
      <w:r>
        <w:rPr>
          <w:sz w:val="20"/>
        </w:rPr>
        <w:t>and</w:t>
      </w:r>
      <w:r>
        <w:rPr>
          <w:spacing w:val="-7"/>
          <w:sz w:val="20"/>
        </w:rPr>
        <w:t> </w:t>
      </w:r>
      <w:r>
        <w:rPr>
          <w:sz w:val="20"/>
        </w:rPr>
        <w:t>welfare</w:t>
      </w:r>
      <w:r>
        <w:rPr>
          <w:spacing w:val="-7"/>
          <w:sz w:val="20"/>
        </w:rPr>
        <w:t> </w:t>
      </w:r>
      <w:r>
        <w:rPr>
          <w:sz w:val="20"/>
        </w:rPr>
        <w:t>services</w:t>
      </w:r>
      <w:r>
        <w:rPr>
          <w:spacing w:val="-6"/>
          <w:sz w:val="20"/>
        </w:rPr>
        <w:t> </w:t>
      </w:r>
      <w:r>
        <w:rPr>
          <w:sz w:val="20"/>
        </w:rPr>
        <w:t>are</w:t>
      </w:r>
      <w:r>
        <w:rPr>
          <w:spacing w:val="-6"/>
          <w:sz w:val="20"/>
        </w:rPr>
        <w:t> </w:t>
      </w:r>
      <w:r>
        <w:rPr>
          <w:sz w:val="20"/>
        </w:rPr>
        <w:t>outlined</w:t>
      </w:r>
      <w:r>
        <w:rPr>
          <w:spacing w:val="-6"/>
          <w:sz w:val="20"/>
        </w:rPr>
        <w:t> </w:t>
      </w:r>
      <w:r>
        <w:rPr>
          <w:sz w:val="20"/>
        </w:rPr>
        <w:t>in</w:t>
      </w:r>
      <w:r>
        <w:rPr>
          <w:spacing w:val="-7"/>
          <w:sz w:val="20"/>
        </w:rPr>
        <w:t> </w:t>
      </w:r>
      <w:r>
        <w:rPr>
          <w:sz w:val="20"/>
        </w:rPr>
        <w:t>student</w:t>
      </w:r>
      <w:r>
        <w:rPr>
          <w:spacing w:val="-6"/>
          <w:sz w:val="20"/>
        </w:rPr>
        <w:t> </w:t>
      </w:r>
      <w:r>
        <w:rPr>
          <w:sz w:val="20"/>
        </w:rPr>
        <w:t>Induction</w:t>
      </w:r>
      <w:r>
        <w:rPr>
          <w:spacing w:val="-7"/>
          <w:sz w:val="20"/>
        </w:rPr>
        <w:t> </w:t>
      </w:r>
      <w:r>
        <w:rPr>
          <w:sz w:val="20"/>
        </w:rPr>
        <w:t>and</w:t>
      </w:r>
      <w:r>
        <w:rPr>
          <w:spacing w:val="-6"/>
          <w:sz w:val="20"/>
        </w:rPr>
        <w:t> </w:t>
      </w:r>
      <w:r>
        <w:rPr>
          <w:sz w:val="20"/>
        </w:rPr>
        <w:t>available</w:t>
      </w:r>
      <w:r>
        <w:rPr>
          <w:spacing w:val="-5"/>
          <w:sz w:val="20"/>
        </w:rPr>
        <w:t> </w:t>
      </w:r>
      <w:r>
        <w:rPr>
          <w:sz w:val="20"/>
        </w:rPr>
        <w:t>on</w:t>
      </w:r>
      <w:r>
        <w:rPr>
          <w:spacing w:val="-7"/>
          <w:sz w:val="20"/>
        </w:rPr>
        <w:t> </w:t>
      </w:r>
      <w:r>
        <w:rPr>
          <w:spacing w:val="-2"/>
          <w:sz w:val="20"/>
        </w:rPr>
        <w:t>CANVAS.</w:t>
      </w:r>
    </w:p>
    <w:p>
      <w:pPr>
        <w:pStyle w:val="BodyText"/>
        <w:spacing w:before="20"/>
      </w:pPr>
    </w:p>
    <w:p>
      <w:pPr>
        <w:pStyle w:val="Heading3"/>
        <w:spacing w:before="1"/>
      </w:pPr>
      <w:r>
        <w:rPr/>
        <w:t>Corporate</w:t>
      </w:r>
      <w:r>
        <w:rPr>
          <w:spacing w:val="-2"/>
        </w:rPr>
        <w:t> </w:t>
      </w:r>
      <w:r>
        <w:rPr/>
        <w:t>and</w:t>
      </w:r>
      <w:r>
        <w:rPr>
          <w:spacing w:val="-3"/>
        </w:rPr>
        <w:t> </w:t>
      </w:r>
      <w:r>
        <w:rPr/>
        <w:t>social</w:t>
      </w:r>
      <w:r>
        <w:rPr>
          <w:spacing w:val="-4"/>
        </w:rPr>
        <w:t> </w:t>
      </w:r>
      <w:r>
        <w:rPr/>
        <w:t>responsibility</w:t>
      </w:r>
      <w:r>
        <w:rPr>
          <w:spacing w:val="-1"/>
        </w:rPr>
        <w:t> </w:t>
      </w:r>
      <w:r>
        <w:rPr>
          <w:spacing w:val="-2"/>
        </w:rPr>
        <w:t>statement</w:t>
      </w:r>
    </w:p>
    <w:p>
      <w:pPr>
        <w:pStyle w:val="BodyText"/>
        <w:spacing w:before="251"/>
        <w:ind w:left="852" w:right="1087"/>
        <w:jc w:val="both"/>
      </w:pPr>
      <w:r>
        <w:rPr/>
        <w:t>The College, by its very nature develops young people and adults to realise their potential and develop skills needed for the businesses of Hull.</w:t>
      </w:r>
    </w:p>
    <w:p>
      <w:pPr>
        <w:pStyle w:val="BodyText"/>
        <w:spacing w:before="1"/>
      </w:pPr>
    </w:p>
    <w:p>
      <w:pPr>
        <w:pStyle w:val="BodyText"/>
        <w:ind w:left="852" w:right="1085"/>
        <w:jc w:val="both"/>
      </w:pPr>
      <w:r>
        <w:rPr/>
        <w:t>Nearly half of the city’s communities are the most deprived in England and more than half of our children</w:t>
      </w:r>
      <w:r>
        <w:rPr>
          <w:spacing w:val="-9"/>
        </w:rPr>
        <w:t> </w:t>
      </w:r>
      <w:r>
        <w:rPr/>
        <w:t>live</w:t>
      </w:r>
      <w:r>
        <w:rPr>
          <w:spacing w:val="-9"/>
        </w:rPr>
        <w:t> </w:t>
      </w:r>
      <w:r>
        <w:rPr/>
        <w:t>in</w:t>
      </w:r>
      <w:r>
        <w:rPr>
          <w:spacing w:val="-9"/>
        </w:rPr>
        <w:t> </w:t>
      </w:r>
      <w:r>
        <w:rPr/>
        <w:t>families</w:t>
      </w:r>
      <w:r>
        <w:rPr>
          <w:spacing w:val="-7"/>
        </w:rPr>
        <w:t> </w:t>
      </w:r>
      <w:r>
        <w:rPr/>
        <w:t>with</w:t>
      </w:r>
      <w:r>
        <w:rPr>
          <w:spacing w:val="-7"/>
        </w:rPr>
        <w:t> </w:t>
      </w:r>
      <w:r>
        <w:rPr/>
        <w:t>absolute</w:t>
      </w:r>
      <w:r>
        <w:rPr>
          <w:spacing w:val="-9"/>
        </w:rPr>
        <w:t> </w:t>
      </w:r>
      <w:r>
        <w:rPr/>
        <w:t>or</w:t>
      </w:r>
      <w:r>
        <w:rPr>
          <w:spacing w:val="-8"/>
        </w:rPr>
        <w:t> </w:t>
      </w:r>
      <w:r>
        <w:rPr/>
        <w:t>relatively</w:t>
      </w:r>
      <w:r>
        <w:rPr>
          <w:spacing w:val="-7"/>
        </w:rPr>
        <w:t> </w:t>
      </w:r>
      <w:r>
        <w:rPr/>
        <w:t>low</w:t>
      </w:r>
      <w:r>
        <w:rPr>
          <w:spacing w:val="-9"/>
        </w:rPr>
        <w:t> </w:t>
      </w:r>
      <w:r>
        <w:rPr/>
        <w:t>income.</w:t>
      </w:r>
      <w:r>
        <w:rPr>
          <w:spacing w:val="38"/>
        </w:rPr>
        <w:t> </w:t>
      </w:r>
      <w:r>
        <w:rPr/>
        <w:t>Over</w:t>
      </w:r>
      <w:r>
        <w:rPr>
          <w:spacing w:val="-8"/>
        </w:rPr>
        <w:t> </w:t>
      </w:r>
      <w:r>
        <w:rPr/>
        <w:t>70%</w:t>
      </w:r>
      <w:r>
        <w:rPr>
          <w:spacing w:val="-8"/>
        </w:rPr>
        <w:t> </w:t>
      </w:r>
      <w:r>
        <w:rPr/>
        <w:t>of</w:t>
      </w:r>
      <w:r>
        <w:rPr>
          <w:spacing w:val="-9"/>
        </w:rPr>
        <w:t> </w:t>
      </w:r>
      <w:r>
        <w:rPr/>
        <w:t>our</w:t>
      </w:r>
      <w:r>
        <w:rPr>
          <w:spacing w:val="-8"/>
        </w:rPr>
        <w:t> </w:t>
      </w:r>
      <w:r>
        <w:rPr/>
        <w:t>students</w:t>
      </w:r>
      <w:r>
        <w:rPr>
          <w:spacing w:val="-7"/>
        </w:rPr>
        <w:t> </w:t>
      </w:r>
      <w:r>
        <w:rPr/>
        <w:t>come</w:t>
      </w:r>
      <w:r>
        <w:rPr>
          <w:spacing w:val="-9"/>
        </w:rPr>
        <w:t> </w:t>
      </w:r>
      <w:r>
        <w:rPr/>
        <w:t>from areas</w:t>
      </w:r>
      <w:r>
        <w:rPr>
          <w:spacing w:val="-12"/>
        </w:rPr>
        <w:t> </w:t>
      </w:r>
      <w:r>
        <w:rPr/>
        <w:t>of</w:t>
      </w:r>
      <w:r>
        <w:rPr>
          <w:spacing w:val="-11"/>
        </w:rPr>
        <w:t> </w:t>
      </w:r>
      <w:r>
        <w:rPr/>
        <w:t>deprivation.</w:t>
      </w:r>
      <w:r>
        <w:rPr>
          <w:spacing w:val="32"/>
        </w:rPr>
        <w:t> </w:t>
      </w:r>
      <w:r>
        <w:rPr/>
        <w:t>Hull</w:t>
      </w:r>
      <w:r>
        <w:rPr>
          <w:spacing w:val="-12"/>
        </w:rPr>
        <w:t> </w:t>
      </w:r>
      <w:r>
        <w:rPr/>
        <w:t>College</w:t>
      </w:r>
      <w:r>
        <w:rPr>
          <w:spacing w:val="-11"/>
        </w:rPr>
        <w:t> </w:t>
      </w:r>
      <w:r>
        <w:rPr/>
        <w:t>plays</w:t>
      </w:r>
      <w:r>
        <w:rPr>
          <w:spacing w:val="-10"/>
        </w:rPr>
        <w:t> </w:t>
      </w:r>
      <w:r>
        <w:rPr/>
        <w:t>a</w:t>
      </w:r>
      <w:r>
        <w:rPr>
          <w:spacing w:val="-11"/>
        </w:rPr>
        <w:t> </w:t>
      </w:r>
      <w:r>
        <w:rPr/>
        <w:t>pivotal</w:t>
      </w:r>
      <w:r>
        <w:rPr>
          <w:spacing w:val="-12"/>
        </w:rPr>
        <w:t> </w:t>
      </w:r>
      <w:r>
        <w:rPr/>
        <w:t>role</w:t>
      </w:r>
      <w:r>
        <w:rPr>
          <w:spacing w:val="-11"/>
        </w:rPr>
        <w:t> </w:t>
      </w:r>
      <w:r>
        <w:rPr/>
        <w:t>in</w:t>
      </w:r>
      <w:r>
        <w:rPr>
          <w:spacing w:val="-11"/>
        </w:rPr>
        <w:t> </w:t>
      </w:r>
      <w:r>
        <w:rPr/>
        <w:t>re-engaging</w:t>
      </w:r>
      <w:r>
        <w:rPr>
          <w:spacing w:val="-11"/>
        </w:rPr>
        <w:t> </w:t>
      </w:r>
      <w:r>
        <w:rPr/>
        <w:t>those</w:t>
      </w:r>
      <w:r>
        <w:rPr>
          <w:spacing w:val="-11"/>
        </w:rPr>
        <w:t> </w:t>
      </w:r>
      <w:r>
        <w:rPr/>
        <w:t>young</w:t>
      </w:r>
      <w:r>
        <w:rPr>
          <w:spacing w:val="-11"/>
        </w:rPr>
        <w:t> </w:t>
      </w:r>
      <w:r>
        <w:rPr/>
        <w:t>people</w:t>
      </w:r>
      <w:r>
        <w:rPr>
          <w:spacing w:val="-11"/>
        </w:rPr>
        <w:t> </w:t>
      </w:r>
      <w:r>
        <w:rPr/>
        <w:t>and</w:t>
      </w:r>
      <w:r>
        <w:rPr>
          <w:spacing w:val="-11"/>
        </w:rPr>
        <w:t> </w:t>
      </w:r>
      <w:r>
        <w:rPr/>
        <w:t>adults at risk of becoming distanced and excluded from employment and wider society.</w:t>
      </w:r>
    </w:p>
    <w:p>
      <w:pPr>
        <w:pStyle w:val="BodyText"/>
        <w:spacing w:after="0"/>
        <w:jc w:val="both"/>
        <w:sectPr>
          <w:headerReference w:type="default" r:id="rId10"/>
          <w:footerReference w:type="default" r:id="rId11"/>
          <w:pgSz w:w="11910" w:h="16850"/>
          <w:pgMar w:header="727" w:footer="399" w:top="2080" w:bottom="580" w:left="566" w:right="708"/>
        </w:sectPr>
      </w:pPr>
    </w:p>
    <w:p>
      <w:pPr>
        <w:pStyle w:val="BodyText"/>
        <w:rPr>
          <w:sz w:val="24"/>
        </w:rPr>
      </w:pPr>
      <w:r>
        <w:rPr>
          <w:sz w:val="24"/>
        </w:rPr>
        <mc:AlternateContent>
          <mc:Choice Requires="wps">
            <w:drawing>
              <wp:anchor distT="0" distB="0" distL="0" distR="0" allowOverlap="1" layoutInCell="1" locked="0" behindDoc="0" simplePos="0" relativeHeight="15730176">
                <wp:simplePos x="0" y="0"/>
                <wp:positionH relativeFrom="page">
                  <wp:posOffset>882396</wp:posOffset>
                </wp:positionH>
                <wp:positionV relativeFrom="page">
                  <wp:posOffset>966203</wp:posOffset>
                </wp:positionV>
                <wp:extent cx="5797550" cy="63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15730176" id="docshape17" filled="true" fillcolor="#000000" stroked="false">
                <v:fill type="solid"/>
                <w10:wrap type="none"/>
              </v:rect>
            </w:pict>
          </mc:Fallback>
        </mc:AlternateContent>
      </w:r>
    </w:p>
    <w:p>
      <w:pPr>
        <w:pStyle w:val="Heading3"/>
        <w:jc w:val="both"/>
      </w:pPr>
      <w:r>
        <w:rPr/>
        <w:t>Trade</w:t>
      </w:r>
      <w:r>
        <w:rPr>
          <w:spacing w:val="-1"/>
        </w:rPr>
        <w:t> </w:t>
      </w:r>
      <w:r>
        <w:rPr/>
        <w:t>Union</w:t>
      </w:r>
      <w:r>
        <w:rPr>
          <w:spacing w:val="-2"/>
        </w:rPr>
        <w:t> </w:t>
      </w:r>
      <w:r>
        <w:rPr/>
        <w:t>facility </w:t>
      </w:r>
      <w:r>
        <w:rPr>
          <w:spacing w:val="-4"/>
        </w:rPr>
        <w:t>time</w:t>
      </w:r>
    </w:p>
    <w:p>
      <w:pPr>
        <w:pStyle w:val="BodyText"/>
        <w:spacing w:before="251"/>
        <w:ind w:left="852" w:right="1052"/>
        <w:jc w:val="both"/>
      </w:pPr>
      <w:r>
        <w:rPr/>
        <w:t>The</w:t>
      </w:r>
      <w:r>
        <w:rPr>
          <w:spacing w:val="-4"/>
        </w:rPr>
        <w:t> </w:t>
      </w:r>
      <w:r>
        <w:rPr/>
        <w:t>Trade</w:t>
      </w:r>
      <w:r>
        <w:rPr>
          <w:spacing w:val="-2"/>
        </w:rPr>
        <w:t> </w:t>
      </w:r>
      <w:r>
        <w:rPr/>
        <w:t>Union</w:t>
      </w:r>
      <w:r>
        <w:rPr>
          <w:spacing w:val="-2"/>
        </w:rPr>
        <w:t> </w:t>
      </w:r>
      <w:r>
        <w:rPr/>
        <w:t>(Facility</w:t>
      </w:r>
      <w:r>
        <w:rPr>
          <w:spacing w:val="-3"/>
        </w:rPr>
        <w:t> </w:t>
      </w:r>
      <w:r>
        <w:rPr/>
        <w:t>Time</w:t>
      </w:r>
      <w:r>
        <w:rPr>
          <w:spacing w:val="-2"/>
        </w:rPr>
        <w:t> </w:t>
      </w:r>
      <w:r>
        <w:rPr/>
        <w:t>Publication</w:t>
      </w:r>
      <w:r>
        <w:rPr>
          <w:spacing w:val="-4"/>
        </w:rPr>
        <w:t> </w:t>
      </w:r>
      <w:r>
        <w:rPr/>
        <w:t>Requirements)</w:t>
      </w:r>
      <w:r>
        <w:rPr>
          <w:spacing w:val="-3"/>
        </w:rPr>
        <w:t> </w:t>
      </w:r>
      <w:r>
        <w:rPr/>
        <w:t>Regulations</w:t>
      </w:r>
      <w:r>
        <w:rPr>
          <w:spacing w:val="-3"/>
        </w:rPr>
        <w:t> </w:t>
      </w:r>
      <w:r>
        <w:rPr/>
        <w:t>2017</w:t>
      </w:r>
      <w:r>
        <w:rPr>
          <w:spacing w:val="-4"/>
        </w:rPr>
        <w:t> </w:t>
      </w:r>
      <w:r>
        <w:rPr/>
        <w:t>require</w:t>
      </w:r>
      <w:r>
        <w:rPr>
          <w:spacing w:val="-4"/>
        </w:rPr>
        <w:t> </w:t>
      </w:r>
      <w:r>
        <w:rPr/>
        <w:t>the</w:t>
      </w:r>
      <w:r>
        <w:rPr>
          <w:spacing w:val="-4"/>
        </w:rPr>
        <w:t> </w:t>
      </w:r>
      <w:r>
        <w:rPr/>
        <w:t>College</w:t>
      </w:r>
      <w:r>
        <w:rPr>
          <w:spacing w:val="-4"/>
        </w:rPr>
        <w:t> </w:t>
      </w:r>
      <w:r>
        <w:rPr/>
        <w:t>to publish information on facility time arrangements for trade union officials at the College.</w:t>
      </w:r>
    </w:p>
    <w:p>
      <w:pPr>
        <w:pStyle w:val="BodyText"/>
        <w:spacing w:before="1"/>
      </w:pPr>
    </w:p>
    <w:p>
      <w:pPr>
        <w:spacing w:before="0"/>
        <w:ind w:left="852" w:right="0" w:firstLine="0"/>
        <w:jc w:val="both"/>
        <w:rPr>
          <w:b/>
          <w:sz w:val="20"/>
        </w:rPr>
      </w:pPr>
      <w:r>
        <w:rPr>
          <w:b/>
          <w:sz w:val="20"/>
        </w:rPr>
        <w:t>Relevant</w:t>
      </w:r>
      <w:r>
        <w:rPr>
          <w:b/>
          <w:spacing w:val="-11"/>
          <w:sz w:val="20"/>
        </w:rPr>
        <w:t> </w:t>
      </w:r>
      <w:r>
        <w:rPr>
          <w:b/>
          <w:sz w:val="20"/>
        </w:rPr>
        <w:t>Union</w:t>
      </w:r>
      <w:r>
        <w:rPr>
          <w:b/>
          <w:spacing w:val="-8"/>
          <w:sz w:val="20"/>
        </w:rPr>
        <w:t> </w:t>
      </w:r>
      <w:r>
        <w:rPr>
          <w:b/>
          <w:spacing w:val="-2"/>
          <w:sz w:val="20"/>
        </w:rPr>
        <w:t>officials</w:t>
      </w:r>
    </w:p>
    <w:p>
      <w:pPr>
        <w:pStyle w:val="BodyText"/>
        <w:spacing w:before="1"/>
        <w:rPr>
          <w:b/>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3"/>
        <w:gridCol w:w="3780"/>
      </w:tblGrid>
      <w:tr>
        <w:trPr>
          <w:trHeight w:val="460" w:hRule="atLeast"/>
        </w:trPr>
        <w:tc>
          <w:tcPr>
            <w:tcW w:w="4903" w:type="dxa"/>
          </w:tcPr>
          <w:p>
            <w:pPr>
              <w:pStyle w:val="TableParagraph"/>
              <w:spacing w:line="230" w:lineRule="exact"/>
              <w:ind w:left="107"/>
              <w:rPr>
                <w:sz w:val="20"/>
              </w:rPr>
            </w:pPr>
            <w:r>
              <w:rPr>
                <w:sz w:val="20"/>
              </w:rPr>
              <w:t>Numbers</w:t>
            </w:r>
            <w:r>
              <w:rPr>
                <w:spacing w:val="-6"/>
                <w:sz w:val="20"/>
              </w:rPr>
              <w:t> </w:t>
            </w:r>
            <w:r>
              <w:rPr>
                <w:sz w:val="20"/>
              </w:rPr>
              <w:t>of</w:t>
            </w:r>
            <w:r>
              <w:rPr>
                <w:spacing w:val="-7"/>
                <w:sz w:val="20"/>
              </w:rPr>
              <w:t> </w:t>
            </w:r>
            <w:r>
              <w:rPr>
                <w:sz w:val="20"/>
              </w:rPr>
              <w:t>employees</w:t>
            </w:r>
            <w:r>
              <w:rPr>
                <w:spacing w:val="-6"/>
                <w:sz w:val="20"/>
              </w:rPr>
              <w:t> </w:t>
            </w:r>
            <w:r>
              <w:rPr>
                <w:sz w:val="20"/>
              </w:rPr>
              <w:t>who</w:t>
            </w:r>
            <w:r>
              <w:rPr>
                <w:spacing w:val="-7"/>
                <w:sz w:val="20"/>
              </w:rPr>
              <w:t> </w:t>
            </w:r>
            <w:r>
              <w:rPr>
                <w:sz w:val="20"/>
              </w:rPr>
              <w:t>were</w:t>
            </w:r>
            <w:r>
              <w:rPr>
                <w:spacing w:val="-7"/>
                <w:sz w:val="20"/>
              </w:rPr>
              <w:t> </w:t>
            </w:r>
            <w:r>
              <w:rPr>
                <w:sz w:val="20"/>
              </w:rPr>
              <w:t>relevant</w:t>
            </w:r>
            <w:r>
              <w:rPr>
                <w:spacing w:val="-7"/>
                <w:sz w:val="20"/>
              </w:rPr>
              <w:t> </w:t>
            </w:r>
            <w:r>
              <w:rPr>
                <w:sz w:val="20"/>
              </w:rPr>
              <w:t>Union officials during the relevant period</w:t>
            </w:r>
          </w:p>
        </w:tc>
        <w:tc>
          <w:tcPr>
            <w:tcW w:w="3780" w:type="dxa"/>
          </w:tcPr>
          <w:p>
            <w:pPr>
              <w:pStyle w:val="TableParagraph"/>
              <w:spacing w:line="229" w:lineRule="exact"/>
              <w:ind w:right="1628"/>
              <w:jc w:val="right"/>
              <w:rPr>
                <w:sz w:val="20"/>
              </w:rPr>
            </w:pPr>
            <w:r>
              <w:rPr>
                <w:sz w:val="20"/>
              </w:rPr>
              <w:t>FTE</w:t>
            </w:r>
            <w:r>
              <w:rPr>
                <w:spacing w:val="-9"/>
                <w:sz w:val="20"/>
              </w:rPr>
              <w:t> </w:t>
            </w:r>
            <w:r>
              <w:rPr>
                <w:sz w:val="20"/>
              </w:rPr>
              <w:t>employee</w:t>
            </w:r>
            <w:r>
              <w:rPr>
                <w:spacing w:val="-7"/>
                <w:sz w:val="20"/>
              </w:rPr>
              <w:t> </w:t>
            </w:r>
            <w:r>
              <w:rPr>
                <w:spacing w:val="-2"/>
                <w:sz w:val="20"/>
              </w:rPr>
              <w:t>number</w:t>
            </w:r>
          </w:p>
        </w:tc>
      </w:tr>
      <w:tr>
        <w:trPr>
          <w:trHeight w:val="230" w:hRule="atLeast"/>
        </w:trPr>
        <w:tc>
          <w:tcPr>
            <w:tcW w:w="4903" w:type="dxa"/>
          </w:tcPr>
          <w:p>
            <w:pPr>
              <w:pStyle w:val="TableParagraph"/>
              <w:spacing w:line="210" w:lineRule="exact"/>
              <w:ind w:left="7"/>
              <w:jc w:val="center"/>
              <w:rPr>
                <w:sz w:val="20"/>
              </w:rPr>
            </w:pPr>
            <w:r>
              <w:rPr>
                <w:spacing w:val="-10"/>
                <w:sz w:val="20"/>
              </w:rPr>
              <w:t>5</w:t>
            </w:r>
          </w:p>
        </w:tc>
        <w:tc>
          <w:tcPr>
            <w:tcW w:w="3780" w:type="dxa"/>
          </w:tcPr>
          <w:p>
            <w:pPr>
              <w:pStyle w:val="TableParagraph"/>
              <w:spacing w:line="210" w:lineRule="exact"/>
              <w:ind w:right="1687"/>
              <w:jc w:val="right"/>
              <w:rPr>
                <w:sz w:val="20"/>
              </w:rPr>
            </w:pPr>
            <w:r>
              <w:rPr>
                <w:spacing w:val="-4"/>
                <w:sz w:val="20"/>
              </w:rPr>
              <w:t>4.45</w:t>
            </w:r>
          </w:p>
        </w:tc>
      </w:tr>
    </w:tbl>
    <w:p>
      <w:pPr>
        <w:spacing w:before="227"/>
        <w:ind w:left="852" w:right="0" w:firstLine="0"/>
        <w:jc w:val="both"/>
        <w:rPr>
          <w:b/>
          <w:sz w:val="20"/>
        </w:rPr>
      </w:pPr>
      <w:r>
        <w:rPr>
          <w:b/>
          <w:sz w:val="20"/>
        </w:rPr>
        <w:t>Percentage</w:t>
      </w:r>
      <w:r>
        <w:rPr>
          <w:b/>
          <w:spacing w:val="-8"/>
          <w:sz w:val="20"/>
        </w:rPr>
        <w:t> </w:t>
      </w:r>
      <w:r>
        <w:rPr>
          <w:b/>
          <w:sz w:val="20"/>
        </w:rPr>
        <w:t>of</w:t>
      </w:r>
      <w:r>
        <w:rPr>
          <w:b/>
          <w:spacing w:val="-7"/>
          <w:sz w:val="20"/>
        </w:rPr>
        <w:t> </w:t>
      </w:r>
      <w:r>
        <w:rPr>
          <w:b/>
          <w:sz w:val="20"/>
        </w:rPr>
        <w:t>time</w:t>
      </w:r>
      <w:r>
        <w:rPr>
          <w:b/>
          <w:spacing w:val="-8"/>
          <w:sz w:val="20"/>
        </w:rPr>
        <w:t> </w:t>
      </w:r>
      <w:r>
        <w:rPr>
          <w:b/>
          <w:sz w:val="20"/>
        </w:rPr>
        <w:t>spent</w:t>
      </w:r>
      <w:r>
        <w:rPr>
          <w:b/>
          <w:spacing w:val="-5"/>
          <w:sz w:val="20"/>
        </w:rPr>
        <w:t> </w:t>
      </w:r>
      <w:r>
        <w:rPr>
          <w:b/>
          <w:sz w:val="20"/>
        </w:rPr>
        <w:t>on</w:t>
      </w:r>
      <w:r>
        <w:rPr>
          <w:b/>
          <w:spacing w:val="-7"/>
          <w:sz w:val="20"/>
        </w:rPr>
        <w:t> </w:t>
      </w:r>
      <w:r>
        <w:rPr>
          <w:b/>
          <w:sz w:val="20"/>
        </w:rPr>
        <w:t>facility</w:t>
      </w:r>
      <w:r>
        <w:rPr>
          <w:b/>
          <w:spacing w:val="-7"/>
          <w:sz w:val="20"/>
        </w:rPr>
        <w:t> </w:t>
      </w:r>
      <w:r>
        <w:rPr>
          <w:b/>
          <w:spacing w:val="-4"/>
          <w:sz w:val="20"/>
        </w:rPr>
        <w:t>time</w:t>
      </w:r>
    </w:p>
    <w:p>
      <w:pPr>
        <w:pStyle w:val="BodyText"/>
        <w:spacing w:before="1" w:after="1"/>
        <w:rPr>
          <w:b/>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1"/>
        <w:gridCol w:w="2837"/>
      </w:tblGrid>
      <w:tr>
        <w:trPr>
          <w:trHeight w:val="230" w:hRule="atLeast"/>
        </w:trPr>
        <w:tc>
          <w:tcPr>
            <w:tcW w:w="2971" w:type="dxa"/>
          </w:tcPr>
          <w:p>
            <w:pPr>
              <w:pStyle w:val="TableParagraph"/>
              <w:spacing w:line="210" w:lineRule="exact"/>
              <w:ind w:left="107"/>
              <w:rPr>
                <w:sz w:val="20"/>
              </w:rPr>
            </w:pPr>
            <w:r>
              <w:rPr>
                <w:sz w:val="20"/>
              </w:rPr>
              <w:t>Percentage</w:t>
            </w:r>
            <w:r>
              <w:rPr>
                <w:spacing w:val="-8"/>
                <w:sz w:val="20"/>
              </w:rPr>
              <w:t> </w:t>
            </w:r>
            <w:r>
              <w:rPr>
                <w:sz w:val="20"/>
              </w:rPr>
              <w:t>of</w:t>
            </w:r>
            <w:r>
              <w:rPr>
                <w:spacing w:val="-8"/>
                <w:sz w:val="20"/>
              </w:rPr>
              <w:t> </w:t>
            </w:r>
            <w:r>
              <w:rPr>
                <w:spacing w:val="-4"/>
                <w:sz w:val="20"/>
              </w:rPr>
              <w:t>time</w:t>
            </w:r>
          </w:p>
        </w:tc>
        <w:tc>
          <w:tcPr>
            <w:tcW w:w="2837" w:type="dxa"/>
          </w:tcPr>
          <w:p>
            <w:pPr>
              <w:pStyle w:val="TableParagraph"/>
              <w:spacing w:line="210" w:lineRule="exact"/>
              <w:ind w:left="108"/>
              <w:rPr>
                <w:sz w:val="20"/>
              </w:rPr>
            </w:pPr>
            <w:r>
              <w:rPr>
                <w:sz w:val="20"/>
              </w:rPr>
              <w:t>Number</w:t>
            </w:r>
            <w:r>
              <w:rPr>
                <w:spacing w:val="-6"/>
                <w:sz w:val="20"/>
              </w:rPr>
              <w:t> </w:t>
            </w:r>
            <w:r>
              <w:rPr>
                <w:sz w:val="20"/>
              </w:rPr>
              <w:t>of</w:t>
            </w:r>
            <w:r>
              <w:rPr>
                <w:spacing w:val="-4"/>
                <w:sz w:val="20"/>
              </w:rPr>
              <w:t> </w:t>
            </w:r>
            <w:r>
              <w:rPr>
                <w:spacing w:val="-2"/>
                <w:sz w:val="20"/>
              </w:rPr>
              <w:t>employees</w:t>
            </w:r>
          </w:p>
        </w:tc>
      </w:tr>
      <w:tr>
        <w:trPr>
          <w:trHeight w:val="229" w:hRule="atLeast"/>
        </w:trPr>
        <w:tc>
          <w:tcPr>
            <w:tcW w:w="2971" w:type="dxa"/>
          </w:tcPr>
          <w:p>
            <w:pPr>
              <w:pStyle w:val="TableParagraph"/>
              <w:spacing w:line="210" w:lineRule="exact"/>
              <w:ind w:left="107"/>
              <w:rPr>
                <w:sz w:val="20"/>
              </w:rPr>
            </w:pPr>
            <w:r>
              <w:rPr>
                <w:spacing w:val="-5"/>
                <w:sz w:val="20"/>
              </w:rPr>
              <w:t>0%</w:t>
            </w:r>
          </w:p>
        </w:tc>
        <w:tc>
          <w:tcPr>
            <w:tcW w:w="2837" w:type="dxa"/>
          </w:tcPr>
          <w:p>
            <w:pPr>
              <w:pStyle w:val="TableParagraph"/>
              <w:spacing w:line="210" w:lineRule="exact"/>
              <w:ind w:left="5" w:right="1"/>
              <w:jc w:val="center"/>
              <w:rPr>
                <w:sz w:val="20"/>
              </w:rPr>
            </w:pPr>
            <w:r>
              <w:rPr>
                <w:spacing w:val="-10"/>
                <w:sz w:val="20"/>
              </w:rPr>
              <w:t>-</w:t>
            </w:r>
          </w:p>
        </w:tc>
      </w:tr>
      <w:tr>
        <w:trPr>
          <w:trHeight w:val="230" w:hRule="atLeast"/>
        </w:trPr>
        <w:tc>
          <w:tcPr>
            <w:tcW w:w="2971" w:type="dxa"/>
          </w:tcPr>
          <w:p>
            <w:pPr>
              <w:pStyle w:val="TableParagraph"/>
              <w:spacing w:line="210" w:lineRule="exact"/>
              <w:ind w:left="107"/>
              <w:rPr>
                <w:sz w:val="20"/>
              </w:rPr>
            </w:pPr>
            <w:r>
              <w:rPr>
                <w:spacing w:val="-2"/>
                <w:sz w:val="20"/>
              </w:rPr>
              <w:t>1-</w:t>
            </w:r>
            <w:r>
              <w:rPr>
                <w:spacing w:val="-5"/>
                <w:sz w:val="20"/>
              </w:rPr>
              <w:t>50%</w:t>
            </w:r>
          </w:p>
        </w:tc>
        <w:tc>
          <w:tcPr>
            <w:tcW w:w="2837" w:type="dxa"/>
          </w:tcPr>
          <w:p>
            <w:pPr>
              <w:pStyle w:val="TableParagraph"/>
              <w:spacing w:line="210" w:lineRule="exact"/>
              <w:ind w:left="5"/>
              <w:jc w:val="center"/>
              <w:rPr>
                <w:sz w:val="20"/>
              </w:rPr>
            </w:pPr>
            <w:r>
              <w:rPr>
                <w:spacing w:val="-10"/>
                <w:sz w:val="20"/>
              </w:rPr>
              <w:t>5</w:t>
            </w:r>
          </w:p>
        </w:tc>
      </w:tr>
      <w:tr>
        <w:trPr>
          <w:trHeight w:val="230" w:hRule="atLeast"/>
        </w:trPr>
        <w:tc>
          <w:tcPr>
            <w:tcW w:w="2971" w:type="dxa"/>
          </w:tcPr>
          <w:p>
            <w:pPr>
              <w:pStyle w:val="TableParagraph"/>
              <w:spacing w:line="210" w:lineRule="exact"/>
              <w:ind w:left="107"/>
              <w:rPr>
                <w:sz w:val="20"/>
              </w:rPr>
            </w:pPr>
            <w:r>
              <w:rPr>
                <w:spacing w:val="-2"/>
                <w:sz w:val="20"/>
              </w:rPr>
              <w:t>51-</w:t>
            </w:r>
            <w:r>
              <w:rPr>
                <w:spacing w:val="-5"/>
                <w:sz w:val="20"/>
              </w:rPr>
              <w:t>99%</w:t>
            </w:r>
          </w:p>
        </w:tc>
        <w:tc>
          <w:tcPr>
            <w:tcW w:w="2837" w:type="dxa"/>
          </w:tcPr>
          <w:p>
            <w:pPr>
              <w:pStyle w:val="TableParagraph"/>
              <w:spacing w:line="210" w:lineRule="exact"/>
              <w:ind w:left="5" w:right="1"/>
              <w:jc w:val="center"/>
              <w:rPr>
                <w:sz w:val="20"/>
              </w:rPr>
            </w:pPr>
            <w:r>
              <w:rPr>
                <w:spacing w:val="-10"/>
                <w:sz w:val="20"/>
              </w:rPr>
              <w:t>-</w:t>
            </w:r>
          </w:p>
        </w:tc>
      </w:tr>
      <w:tr>
        <w:trPr>
          <w:trHeight w:val="229" w:hRule="atLeast"/>
        </w:trPr>
        <w:tc>
          <w:tcPr>
            <w:tcW w:w="2971" w:type="dxa"/>
          </w:tcPr>
          <w:p>
            <w:pPr>
              <w:pStyle w:val="TableParagraph"/>
              <w:spacing w:line="210" w:lineRule="exact"/>
              <w:ind w:left="107"/>
              <w:rPr>
                <w:sz w:val="20"/>
              </w:rPr>
            </w:pPr>
            <w:r>
              <w:rPr>
                <w:spacing w:val="-4"/>
                <w:sz w:val="20"/>
              </w:rPr>
              <w:t>100%</w:t>
            </w:r>
          </w:p>
        </w:tc>
        <w:tc>
          <w:tcPr>
            <w:tcW w:w="2837" w:type="dxa"/>
          </w:tcPr>
          <w:p>
            <w:pPr>
              <w:pStyle w:val="TableParagraph"/>
              <w:spacing w:line="210" w:lineRule="exact"/>
              <w:ind w:left="5" w:right="1"/>
              <w:jc w:val="center"/>
              <w:rPr>
                <w:sz w:val="20"/>
              </w:rPr>
            </w:pPr>
            <w:r>
              <w:rPr>
                <w:spacing w:val="-10"/>
                <w:sz w:val="20"/>
              </w:rPr>
              <w:t>-</w:t>
            </w:r>
          </w:p>
        </w:tc>
      </w:tr>
    </w:tbl>
    <w:p>
      <w:pPr>
        <w:pStyle w:val="BodyText"/>
        <w:spacing w:before="1"/>
        <w:rPr>
          <w:b/>
        </w:rPr>
      </w:pPr>
    </w:p>
    <w:p>
      <w:pPr>
        <w:spacing w:before="0"/>
        <w:ind w:left="852" w:right="0" w:firstLine="0"/>
        <w:jc w:val="both"/>
        <w:rPr>
          <w:b/>
          <w:sz w:val="20"/>
        </w:rPr>
      </w:pPr>
      <w:r>
        <w:rPr>
          <w:b/>
          <w:sz w:val="20"/>
        </w:rPr>
        <w:t>Percentage</w:t>
      </w:r>
      <w:r>
        <w:rPr>
          <w:b/>
          <w:spacing w:val="-7"/>
          <w:sz w:val="20"/>
        </w:rPr>
        <w:t> </w:t>
      </w:r>
      <w:r>
        <w:rPr>
          <w:b/>
          <w:sz w:val="20"/>
        </w:rPr>
        <w:t>of</w:t>
      </w:r>
      <w:r>
        <w:rPr>
          <w:b/>
          <w:spacing w:val="-6"/>
          <w:sz w:val="20"/>
        </w:rPr>
        <w:t> </w:t>
      </w:r>
      <w:r>
        <w:rPr>
          <w:b/>
          <w:sz w:val="20"/>
        </w:rPr>
        <w:t>pay</w:t>
      </w:r>
      <w:r>
        <w:rPr>
          <w:b/>
          <w:spacing w:val="-7"/>
          <w:sz w:val="20"/>
        </w:rPr>
        <w:t> </w:t>
      </w:r>
      <w:r>
        <w:rPr>
          <w:b/>
          <w:sz w:val="20"/>
        </w:rPr>
        <w:t>bill</w:t>
      </w:r>
      <w:r>
        <w:rPr>
          <w:b/>
          <w:spacing w:val="-5"/>
          <w:sz w:val="20"/>
        </w:rPr>
        <w:t> </w:t>
      </w:r>
      <w:r>
        <w:rPr>
          <w:b/>
          <w:sz w:val="20"/>
        </w:rPr>
        <w:t>spent</w:t>
      </w:r>
      <w:r>
        <w:rPr>
          <w:b/>
          <w:spacing w:val="-6"/>
          <w:sz w:val="20"/>
        </w:rPr>
        <w:t> </w:t>
      </w:r>
      <w:r>
        <w:rPr>
          <w:b/>
          <w:sz w:val="20"/>
        </w:rPr>
        <w:t>on</w:t>
      </w:r>
      <w:r>
        <w:rPr>
          <w:b/>
          <w:spacing w:val="-6"/>
          <w:sz w:val="20"/>
        </w:rPr>
        <w:t> </w:t>
      </w:r>
      <w:r>
        <w:rPr>
          <w:b/>
          <w:sz w:val="20"/>
        </w:rPr>
        <w:t>facility</w:t>
      </w:r>
      <w:r>
        <w:rPr>
          <w:b/>
          <w:spacing w:val="-7"/>
          <w:sz w:val="20"/>
        </w:rPr>
        <w:t> </w:t>
      </w:r>
      <w:r>
        <w:rPr>
          <w:b/>
          <w:spacing w:val="-4"/>
          <w:sz w:val="20"/>
        </w:rPr>
        <w:t>time</w:t>
      </w:r>
    </w:p>
    <w:p>
      <w:pPr>
        <w:pStyle w:val="BodyText"/>
        <w:spacing w:before="1" w:after="1"/>
        <w:rPr>
          <w:b/>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8"/>
        <w:gridCol w:w="3920"/>
      </w:tblGrid>
      <w:tr>
        <w:trPr>
          <w:trHeight w:val="230" w:hRule="atLeast"/>
        </w:trPr>
        <w:tc>
          <w:tcPr>
            <w:tcW w:w="5098" w:type="dxa"/>
          </w:tcPr>
          <w:p>
            <w:pPr>
              <w:pStyle w:val="TableParagraph"/>
              <w:spacing w:line="210" w:lineRule="exact"/>
              <w:ind w:left="107"/>
              <w:rPr>
                <w:sz w:val="20"/>
              </w:rPr>
            </w:pPr>
            <w:r>
              <w:rPr>
                <w:sz w:val="20"/>
              </w:rPr>
              <w:t>Total</w:t>
            </w:r>
            <w:r>
              <w:rPr>
                <w:spacing w:val="-7"/>
                <w:sz w:val="20"/>
              </w:rPr>
              <w:t> </w:t>
            </w:r>
            <w:r>
              <w:rPr>
                <w:sz w:val="20"/>
              </w:rPr>
              <w:t>cost</w:t>
            </w:r>
            <w:r>
              <w:rPr>
                <w:spacing w:val="-4"/>
                <w:sz w:val="20"/>
              </w:rPr>
              <w:t> </w:t>
            </w:r>
            <w:r>
              <w:rPr>
                <w:sz w:val="20"/>
              </w:rPr>
              <w:t>of</w:t>
            </w:r>
            <w:r>
              <w:rPr>
                <w:spacing w:val="-6"/>
                <w:sz w:val="20"/>
              </w:rPr>
              <w:t> </w:t>
            </w:r>
            <w:r>
              <w:rPr>
                <w:sz w:val="20"/>
              </w:rPr>
              <w:t>facility</w:t>
            </w:r>
            <w:r>
              <w:rPr>
                <w:spacing w:val="-5"/>
                <w:sz w:val="20"/>
              </w:rPr>
              <w:t> </w:t>
            </w:r>
            <w:r>
              <w:rPr>
                <w:spacing w:val="-4"/>
                <w:sz w:val="20"/>
              </w:rPr>
              <w:t>time</w:t>
            </w:r>
          </w:p>
        </w:tc>
        <w:tc>
          <w:tcPr>
            <w:tcW w:w="3920" w:type="dxa"/>
          </w:tcPr>
          <w:p>
            <w:pPr>
              <w:pStyle w:val="TableParagraph"/>
              <w:spacing w:line="210" w:lineRule="exact"/>
              <w:ind w:left="5"/>
              <w:jc w:val="center"/>
              <w:rPr>
                <w:sz w:val="20"/>
              </w:rPr>
            </w:pPr>
            <w:r>
              <w:rPr>
                <w:spacing w:val="-2"/>
                <w:sz w:val="20"/>
              </w:rPr>
              <w:t>£9,772</w:t>
            </w:r>
          </w:p>
        </w:tc>
      </w:tr>
      <w:tr>
        <w:trPr>
          <w:trHeight w:val="229" w:hRule="atLeast"/>
        </w:trPr>
        <w:tc>
          <w:tcPr>
            <w:tcW w:w="5098" w:type="dxa"/>
          </w:tcPr>
          <w:p>
            <w:pPr>
              <w:pStyle w:val="TableParagraph"/>
              <w:spacing w:line="210" w:lineRule="exact"/>
              <w:ind w:left="107"/>
              <w:rPr>
                <w:sz w:val="20"/>
              </w:rPr>
            </w:pPr>
            <w:r>
              <w:rPr>
                <w:sz w:val="20"/>
              </w:rPr>
              <w:t>Total</w:t>
            </w:r>
            <w:r>
              <w:rPr>
                <w:spacing w:val="-7"/>
                <w:sz w:val="20"/>
              </w:rPr>
              <w:t> </w:t>
            </w:r>
            <w:r>
              <w:rPr>
                <w:sz w:val="20"/>
              </w:rPr>
              <w:t>pay</w:t>
            </w:r>
            <w:r>
              <w:rPr>
                <w:spacing w:val="-6"/>
                <w:sz w:val="20"/>
              </w:rPr>
              <w:t> </w:t>
            </w:r>
            <w:r>
              <w:rPr>
                <w:spacing w:val="-4"/>
                <w:sz w:val="20"/>
              </w:rPr>
              <w:t>bill</w:t>
            </w:r>
          </w:p>
        </w:tc>
        <w:tc>
          <w:tcPr>
            <w:tcW w:w="3920" w:type="dxa"/>
          </w:tcPr>
          <w:p>
            <w:pPr>
              <w:pStyle w:val="TableParagraph"/>
              <w:spacing w:line="210" w:lineRule="exact"/>
              <w:ind w:left="5"/>
              <w:jc w:val="center"/>
              <w:rPr>
                <w:sz w:val="20"/>
              </w:rPr>
            </w:pPr>
            <w:r>
              <w:rPr>
                <w:spacing w:val="-2"/>
                <w:sz w:val="20"/>
              </w:rPr>
              <w:t>£16,336,000</w:t>
            </w:r>
          </w:p>
        </w:tc>
      </w:tr>
      <w:tr>
        <w:trPr>
          <w:trHeight w:val="230" w:hRule="atLeast"/>
        </w:trPr>
        <w:tc>
          <w:tcPr>
            <w:tcW w:w="5098" w:type="dxa"/>
          </w:tcPr>
          <w:p>
            <w:pPr>
              <w:pStyle w:val="TableParagraph"/>
              <w:spacing w:line="210" w:lineRule="exact"/>
              <w:ind w:left="107"/>
              <w:rPr>
                <w:sz w:val="20"/>
              </w:rPr>
            </w:pPr>
            <w:r>
              <w:rPr>
                <w:sz w:val="20"/>
              </w:rPr>
              <w:t>Percentage</w:t>
            </w:r>
            <w:r>
              <w:rPr>
                <w:spacing w:val="-5"/>
                <w:sz w:val="20"/>
              </w:rPr>
              <w:t> </w:t>
            </w:r>
            <w:r>
              <w:rPr>
                <w:sz w:val="20"/>
              </w:rPr>
              <w:t>of</w:t>
            </w:r>
            <w:r>
              <w:rPr>
                <w:spacing w:val="-6"/>
                <w:sz w:val="20"/>
              </w:rPr>
              <w:t> </w:t>
            </w:r>
            <w:r>
              <w:rPr>
                <w:sz w:val="20"/>
              </w:rPr>
              <w:t>total</w:t>
            </w:r>
            <w:r>
              <w:rPr>
                <w:spacing w:val="-7"/>
                <w:sz w:val="20"/>
              </w:rPr>
              <w:t> </w:t>
            </w:r>
            <w:r>
              <w:rPr>
                <w:sz w:val="20"/>
              </w:rPr>
              <w:t>bill</w:t>
            </w:r>
            <w:r>
              <w:rPr>
                <w:spacing w:val="-7"/>
                <w:sz w:val="20"/>
              </w:rPr>
              <w:t> </w:t>
            </w:r>
            <w:r>
              <w:rPr>
                <w:sz w:val="20"/>
              </w:rPr>
              <w:t>spent</w:t>
            </w:r>
            <w:r>
              <w:rPr>
                <w:spacing w:val="-7"/>
                <w:sz w:val="20"/>
              </w:rPr>
              <w:t> </w:t>
            </w:r>
            <w:r>
              <w:rPr>
                <w:sz w:val="20"/>
              </w:rPr>
              <w:t>on</w:t>
            </w:r>
            <w:r>
              <w:rPr>
                <w:spacing w:val="-4"/>
                <w:sz w:val="20"/>
              </w:rPr>
              <w:t> </w:t>
            </w:r>
            <w:r>
              <w:rPr>
                <w:sz w:val="20"/>
              </w:rPr>
              <w:t>facility</w:t>
            </w:r>
            <w:r>
              <w:rPr>
                <w:spacing w:val="-5"/>
                <w:sz w:val="20"/>
              </w:rPr>
              <w:t> </w:t>
            </w:r>
            <w:r>
              <w:rPr>
                <w:spacing w:val="-4"/>
                <w:sz w:val="20"/>
              </w:rPr>
              <w:t>time</w:t>
            </w:r>
          </w:p>
        </w:tc>
        <w:tc>
          <w:tcPr>
            <w:tcW w:w="3920" w:type="dxa"/>
          </w:tcPr>
          <w:p>
            <w:pPr>
              <w:pStyle w:val="TableParagraph"/>
              <w:spacing w:line="210" w:lineRule="exact"/>
              <w:ind w:left="5" w:right="3"/>
              <w:jc w:val="center"/>
              <w:rPr>
                <w:sz w:val="20"/>
              </w:rPr>
            </w:pPr>
            <w:r>
              <w:rPr>
                <w:spacing w:val="-2"/>
                <w:sz w:val="20"/>
              </w:rPr>
              <w:t>0.06%</w:t>
            </w:r>
          </w:p>
        </w:tc>
      </w:tr>
    </w:tbl>
    <w:p>
      <w:pPr>
        <w:pStyle w:val="BodyText"/>
        <w:rPr>
          <w:b/>
        </w:rPr>
      </w:pPr>
    </w:p>
    <w:p>
      <w:pPr>
        <w:spacing w:before="0"/>
        <w:ind w:left="852" w:right="0" w:firstLine="0"/>
        <w:jc w:val="both"/>
        <w:rPr>
          <w:b/>
          <w:sz w:val="20"/>
        </w:rPr>
      </w:pPr>
      <w:r>
        <w:rPr>
          <w:b/>
          <w:sz w:val="20"/>
        </w:rPr>
        <w:t>Paid</w:t>
      </w:r>
      <w:r>
        <w:rPr>
          <w:b/>
          <w:spacing w:val="-6"/>
          <w:sz w:val="20"/>
        </w:rPr>
        <w:t> </w:t>
      </w:r>
      <w:r>
        <w:rPr>
          <w:b/>
          <w:sz w:val="20"/>
        </w:rPr>
        <w:t>Trade</w:t>
      </w:r>
      <w:r>
        <w:rPr>
          <w:b/>
          <w:spacing w:val="-6"/>
          <w:sz w:val="20"/>
        </w:rPr>
        <w:t> </w:t>
      </w:r>
      <w:r>
        <w:rPr>
          <w:b/>
          <w:sz w:val="20"/>
        </w:rPr>
        <w:t>Union</w:t>
      </w:r>
      <w:r>
        <w:rPr>
          <w:b/>
          <w:spacing w:val="-6"/>
          <w:sz w:val="20"/>
        </w:rPr>
        <w:t> </w:t>
      </w:r>
      <w:r>
        <w:rPr>
          <w:b/>
          <w:spacing w:val="-2"/>
          <w:sz w:val="20"/>
        </w:rPr>
        <w:t>activities</w:t>
      </w:r>
    </w:p>
    <w:p>
      <w:pPr>
        <w:pStyle w:val="BodyText"/>
        <w:spacing w:before="10" w:after="1"/>
        <w:rPr>
          <w:b/>
          <w:sz w:val="19"/>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8"/>
        <w:gridCol w:w="3684"/>
      </w:tblGrid>
      <w:tr>
        <w:trPr>
          <w:trHeight w:val="460" w:hRule="atLeast"/>
        </w:trPr>
        <w:tc>
          <w:tcPr>
            <w:tcW w:w="4958" w:type="dxa"/>
          </w:tcPr>
          <w:p>
            <w:pPr>
              <w:pStyle w:val="TableParagraph"/>
              <w:spacing w:line="230" w:lineRule="exact"/>
              <w:ind w:left="107" w:right="828"/>
              <w:rPr>
                <w:sz w:val="20"/>
              </w:rPr>
            </w:pPr>
            <w:r>
              <w:rPr>
                <w:sz w:val="20"/>
              </w:rPr>
              <w:t>Time</w:t>
            </w:r>
            <w:r>
              <w:rPr>
                <w:spacing w:val="-6"/>
                <w:sz w:val="20"/>
              </w:rPr>
              <w:t> </w:t>
            </w:r>
            <w:r>
              <w:rPr>
                <w:sz w:val="20"/>
              </w:rPr>
              <w:t>spent</w:t>
            </w:r>
            <w:r>
              <w:rPr>
                <w:spacing w:val="-4"/>
                <w:sz w:val="20"/>
              </w:rPr>
              <w:t> </w:t>
            </w:r>
            <w:r>
              <w:rPr>
                <w:sz w:val="20"/>
              </w:rPr>
              <w:t>on</w:t>
            </w:r>
            <w:r>
              <w:rPr>
                <w:spacing w:val="-4"/>
                <w:sz w:val="20"/>
              </w:rPr>
              <w:t> </w:t>
            </w:r>
            <w:r>
              <w:rPr>
                <w:sz w:val="20"/>
              </w:rPr>
              <w:t>paid</w:t>
            </w:r>
            <w:r>
              <w:rPr>
                <w:spacing w:val="-6"/>
                <w:sz w:val="20"/>
              </w:rPr>
              <w:t> </w:t>
            </w:r>
            <w:r>
              <w:rPr>
                <w:sz w:val="20"/>
              </w:rPr>
              <w:t>trade</w:t>
            </w:r>
            <w:r>
              <w:rPr>
                <w:spacing w:val="-6"/>
                <w:sz w:val="20"/>
              </w:rPr>
              <w:t> </w:t>
            </w:r>
            <w:r>
              <w:rPr>
                <w:sz w:val="20"/>
              </w:rPr>
              <w:t>union</w:t>
            </w:r>
            <w:r>
              <w:rPr>
                <w:spacing w:val="-6"/>
                <w:sz w:val="20"/>
              </w:rPr>
              <w:t> </w:t>
            </w:r>
            <w:r>
              <w:rPr>
                <w:sz w:val="20"/>
              </w:rPr>
              <w:t>activities</w:t>
            </w:r>
            <w:r>
              <w:rPr>
                <w:spacing w:val="-5"/>
                <w:sz w:val="20"/>
              </w:rPr>
              <w:t> </w:t>
            </w:r>
            <w:r>
              <w:rPr>
                <w:sz w:val="20"/>
              </w:rPr>
              <w:t>as</w:t>
            </w:r>
            <w:r>
              <w:rPr>
                <w:spacing w:val="-5"/>
                <w:sz w:val="20"/>
              </w:rPr>
              <w:t> </w:t>
            </w:r>
            <w:r>
              <w:rPr>
                <w:sz w:val="20"/>
              </w:rPr>
              <w:t>a percentage of total paid facility time</w:t>
            </w:r>
          </w:p>
        </w:tc>
        <w:tc>
          <w:tcPr>
            <w:tcW w:w="3684" w:type="dxa"/>
          </w:tcPr>
          <w:p>
            <w:pPr>
              <w:pStyle w:val="TableParagraph"/>
              <w:spacing w:line="229" w:lineRule="exact"/>
              <w:ind w:left="2"/>
              <w:jc w:val="center"/>
              <w:rPr>
                <w:sz w:val="20"/>
              </w:rPr>
            </w:pPr>
            <w:r>
              <w:rPr>
                <w:spacing w:val="-4"/>
                <w:sz w:val="20"/>
              </w:rPr>
              <w:t>100%</w:t>
            </w:r>
          </w:p>
        </w:tc>
      </w:tr>
    </w:tbl>
    <w:p>
      <w:pPr>
        <w:pStyle w:val="BodyText"/>
        <w:rPr>
          <w:b/>
        </w:rPr>
      </w:pPr>
    </w:p>
    <w:p>
      <w:pPr>
        <w:spacing w:before="0"/>
        <w:ind w:left="852" w:right="0" w:firstLine="0"/>
        <w:jc w:val="both"/>
        <w:rPr>
          <w:b/>
          <w:sz w:val="20"/>
        </w:rPr>
      </w:pPr>
      <w:r>
        <w:rPr>
          <w:b/>
          <w:sz w:val="20"/>
        </w:rPr>
        <w:t>Going</w:t>
      </w:r>
      <w:r>
        <w:rPr>
          <w:b/>
          <w:spacing w:val="-6"/>
          <w:sz w:val="20"/>
        </w:rPr>
        <w:t> </w:t>
      </w:r>
      <w:r>
        <w:rPr>
          <w:b/>
          <w:spacing w:val="-2"/>
          <w:sz w:val="20"/>
        </w:rPr>
        <w:t>concern</w:t>
      </w:r>
    </w:p>
    <w:p>
      <w:pPr>
        <w:pStyle w:val="BodyText"/>
        <w:ind w:left="852" w:right="707"/>
        <w:jc w:val="both"/>
      </w:pPr>
      <w:r>
        <w:rPr/>
        <w:t>The College maintains a close focus on balancing strength and availability of liquid resources to meet both short-term and longer-term financial needs, considering the continuing financial, operational and structural developments within the FE sector.</w:t>
      </w:r>
    </w:p>
    <w:p>
      <w:pPr>
        <w:pStyle w:val="BodyText"/>
      </w:pPr>
    </w:p>
    <w:p>
      <w:pPr>
        <w:pStyle w:val="BodyText"/>
        <w:ind w:left="852" w:right="708"/>
        <w:jc w:val="both"/>
      </w:pPr>
      <w:r>
        <w:rPr/>
        <w:t>After</w:t>
      </w:r>
      <w:r>
        <w:rPr>
          <w:spacing w:val="-9"/>
        </w:rPr>
        <w:t> </w:t>
      </w:r>
      <w:r>
        <w:rPr/>
        <w:t>making</w:t>
      </w:r>
      <w:r>
        <w:rPr>
          <w:spacing w:val="-10"/>
        </w:rPr>
        <w:t> </w:t>
      </w:r>
      <w:r>
        <w:rPr/>
        <w:t>appropriate</w:t>
      </w:r>
      <w:r>
        <w:rPr>
          <w:spacing w:val="-10"/>
        </w:rPr>
        <w:t> </w:t>
      </w:r>
      <w:r>
        <w:rPr/>
        <w:t>enquiries,</w:t>
      </w:r>
      <w:r>
        <w:rPr>
          <w:spacing w:val="-10"/>
        </w:rPr>
        <w:t> </w:t>
      </w:r>
      <w:r>
        <w:rPr/>
        <w:t>the</w:t>
      </w:r>
      <w:r>
        <w:rPr>
          <w:spacing w:val="-10"/>
        </w:rPr>
        <w:t> </w:t>
      </w:r>
      <w:r>
        <w:rPr/>
        <w:t>College</w:t>
      </w:r>
      <w:r>
        <w:rPr>
          <w:spacing w:val="-10"/>
        </w:rPr>
        <w:t> </w:t>
      </w:r>
      <w:r>
        <w:rPr/>
        <w:t>has</w:t>
      </w:r>
      <w:r>
        <w:rPr>
          <w:spacing w:val="-8"/>
        </w:rPr>
        <w:t> </w:t>
      </w:r>
      <w:r>
        <w:rPr/>
        <w:t>determined</w:t>
      </w:r>
      <w:r>
        <w:rPr>
          <w:spacing w:val="-10"/>
        </w:rPr>
        <w:t> </w:t>
      </w:r>
      <w:r>
        <w:rPr/>
        <w:t>that</w:t>
      </w:r>
      <w:r>
        <w:rPr>
          <w:spacing w:val="-10"/>
        </w:rPr>
        <w:t> </w:t>
      </w:r>
      <w:r>
        <w:rPr/>
        <w:t>it</w:t>
      </w:r>
      <w:r>
        <w:rPr>
          <w:spacing w:val="-10"/>
        </w:rPr>
        <w:t> </w:t>
      </w:r>
      <w:r>
        <w:rPr/>
        <w:t>has</w:t>
      </w:r>
      <w:r>
        <w:rPr>
          <w:spacing w:val="-8"/>
        </w:rPr>
        <w:t> </w:t>
      </w:r>
      <w:r>
        <w:rPr/>
        <w:t>adequate</w:t>
      </w:r>
      <w:r>
        <w:rPr>
          <w:spacing w:val="-10"/>
        </w:rPr>
        <w:t> </w:t>
      </w:r>
      <w:r>
        <w:rPr/>
        <w:t>financial</w:t>
      </w:r>
      <w:r>
        <w:rPr>
          <w:spacing w:val="-10"/>
        </w:rPr>
        <w:t> </w:t>
      </w:r>
      <w:r>
        <w:rPr/>
        <w:t>resources to</w:t>
      </w:r>
      <w:r>
        <w:rPr>
          <w:spacing w:val="-1"/>
        </w:rPr>
        <w:t> </w:t>
      </w:r>
      <w:r>
        <w:rPr/>
        <w:t>continue in operational existence</w:t>
      </w:r>
      <w:r>
        <w:rPr>
          <w:spacing w:val="-1"/>
        </w:rPr>
        <w:t> </w:t>
      </w:r>
      <w:r>
        <w:rPr/>
        <w:t>to</w:t>
      </w:r>
      <w:r>
        <w:rPr>
          <w:spacing w:val="-1"/>
        </w:rPr>
        <w:t> </w:t>
      </w:r>
      <w:r>
        <w:rPr/>
        <w:t>at least 31 July 2025,</w:t>
      </w:r>
      <w:r>
        <w:rPr>
          <w:spacing w:val="-1"/>
        </w:rPr>
        <w:t> </w:t>
      </w:r>
      <w:r>
        <w:rPr/>
        <w:t>the period of its current</w:t>
      </w:r>
      <w:r>
        <w:rPr>
          <w:spacing w:val="-1"/>
        </w:rPr>
        <w:t> </w:t>
      </w:r>
      <w:r>
        <w:rPr/>
        <w:t>financial</w:t>
      </w:r>
      <w:r>
        <w:rPr>
          <w:spacing w:val="-2"/>
        </w:rPr>
        <w:t> </w:t>
      </w:r>
      <w:r>
        <w:rPr/>
        <w:t>plan</w:t>
      </w:r>
      <w:r>
        <w:rPr>
          <w:spacing w:val="-1"/>
        </w:rPr>
        <w:t> </w:t>
      </w:r>
      <w:r>
        <w:rPr/>
        <w:t>and cashflow and continues to adopt the going concern basis in preparing these financial statements.</w:t>
      </w:r>
    </w:p>
    <w:p>
      <w:pPr>
        <w:pStyle w:val="BodyText"/>
        <w:spacing w:before="2"/>
      </w:pPr>
    </w:p>
    <w:p>
      <w:pPr>
        <w:pStyle w:val="BodyText"/>
        <w:ind w:left="852"/>
      </w:pPr>
      <w:r>
        <w:rPr/>
        <w:t>This</w:t>
      </w:r>
      <w:r>
        <w:rPr>
          <w:spacing w:val="-7"/>
        </w:rPr>
        <w:t> </w:t>
      </w:r>
      <w:r>
        <w:rPr/>
        <w:t>assessment</w:t>
      </w:r>
      <w:r>
        <w:rPr>
          <w:spacing w:val="-5"/>
        </w:rPr>
        <w:t> </w:t>
      </w:r>
      <w:r>
        <w:rPr/>
        <w:t>is</w:t>
      </w:r>
      <w:r>
        <w:rPr>
          <w:spacing w:val="-7"/>
        </w:rPr>
        <w:t> </w:t>
      </w:r>
      <w:r>
        <w:rPr/>
        <w:t>based</w:t>
      </w:r>
      <w:r>
        <w:rPr>
          <w:spacing w:val="-5"/>
        </w:rPr>
        <w:t> </w:t>
      </w:r>
      <w:r>
        <w:rPr/>
        <w:t>upon</w:t>
      </w:r>
      <w:r>
        <w:rPr>
          <w:spacing w:val="-6"/>
        </w:rPr>
        <w:t> </w:t>
      </w:r>
      <w:r>
        <w:rPr/>
        <w:t>the</w:t>
      </w:r>
      <w:r>
        <w:rPr>
          <w:spacing w:val="-5"/>
        </w:rPr>
        <w:t> </w:t>
      </w:r>
      <w:r>
        <w:rPr>
          <w:spacing w:val="-2"/>
        </w:rPr>
        <w:t>following:</w:t>
      </w:r>
    </w:p>
    <w:p>
      <w:pPr>
        <w:pStyle w:val="ListParagraph"/>
        <w:numPr>
          <w:ilvl w:val="0"/>
          <w:numId w:val="4"/>
        </w:numPr>
        <w:tabs>
          <w:tab w:pos="1133" w:val="left" w:leader="none"/>
          <w:tab w:pos="1135" w:val="left" w:leader="none"/>
        </w:tabs>
        <w:spacing w:line="237" w:lineRule="auto" w:before="3" w:after="0"/>
        <w:ind w:left="1135" w:right="709" w:hanging="284"/>
        <w:jc w:val="left"/>
        <w:rPr>
          <w:rFonts w:ascii="Symbol" w:hAnsi="Symbol"/>
          <w:sz w:val="20"/>
        </w:rPr>
      </w:pPr>
      <w:r>
        <w:rPr>
          <w:sz w:val="20"/>
        </w:rPr>
        <w:t>The two-year Financial Plan for the period to 31 July 2025; which includes Income &amp; Expenditure, cashflow and balance sheets by month;</w:t>
      </w:r>
    </w:p>
    <w:p>
      <w:pPr>
        <w:pStyle w:val="ListParagraph"/>
        <w:numPr>
          <w:ilvl w:val="0"/>
          <w:numId w:val="4"/>
        </w:numPr>
        <w:tabs>
          <w:tab w:pos="1134" w:val="left" w:leader="none"/>
        </w:tabs>
        <w:spacing w:line="244" w:lineRule="exact" w:before="1" w:after="0"/>
        <w:ind w:left="1134" w:right="0" w:hanging="282"/>
        <w:jc w:val="left"/>
        <w:rPr>
          <w:rFonts w:ascii="Symbol" w:hAnsi="Symbol"/>
          <w:sz w:val="20"/>
        </w:rPr>
      </w:pPr>
      <w:r>
        <w:rPr>
          <w:spacing w:val="-2"/>
          <w:sz w:val="20"/>
        </w:rPr>
        <w:t>An</w:t>
      </w:r>
      <w:r>
        <w:rPr>
          <w:spacing w:val="-4"/>
          <w:sz w:val="20"/>
        </w:rPr>
        <w:t> </w:t>
      </w:r>
      <w:r>
        <w:rPr>
          <w:spacing w:val="-2"/>
          <w:sz w:val="20"/>
        </w:rPr>
        <w:t>assessment</w:t>
      </w:r>
      <w:r>
        <w:rPr>
          <w:spacing w:val="-3"/>
          <w:sz w:val="20"/>
        </w:rPr>
        <w:t> </w:t>
      </w:r>
      <w:r>
        <w:rPr>
          <w:spacing w:val="-2"/>
          <w:sz w:val="20"/>
        </w:rPr>
        <w:t>of</w:t>
      </w:r>
      <w:r>
        <w:rPr>
          <w:spacing w:val="-3"/>
          <w:sz w:val="20"/>
        </w:rPr>
        <w:t> </w:t>
      </w:r>
      <w:r>
        <w:rPr>
          <w:spacing w:val="-2"/>
          <w:sz w:val="20"/>
        </w:rPr>
        <w:t>the</w:t>
      </w:r>
      <w:r>
        <w:rPr>
          <w:spacing w:val="-3"/>
          <w:sz w:val="20"/>
        </w:rPr>
        <w:t> </w:t>
      </w:r>
      <w:r>
        <w:rPr>
          <w:spacing w:val="-2"/>
          <w:sz w:val="20"/>
        </w:rPr>
        <w:t>College’s</w:t>
      </w:r>
      <w:r>
        <w:rPr>
          <w:spacing w:val="-4"/>
          <w:sz w:val="20"/>
        </w:rPr>
        <w:t> </w:t>
      </w:r>
      <w:r>
        <w:rPr>
          <w:spacing w:val="-2"/>
          <w:sz w:val="20"/>
        </w:rPr>
        <w:t>short,</w:t>
      </w:r>
      <w:r>
        <w:rPr>
          <w:spacing w:val="-3"/>
          <w:sz w:val="20"/>
        </w:rPr>
        <w:t> </w:t>
      </w:r>
      <w:r>
        <w:rPr>
          <w:spacing w:val="-2"/>
          <w:sz w:val="20"/>
        </w:rPr>
        <w:t>medium-</w:t>
      </w:r>
      <w:r>
        <w:rPr>
          <w:spacing w:val="-5"/>
          <w:sz w:val="20"/>
        </w:rPr>
        <w:t> </w:t>
      </w:r>
      <w:r>
        <w:rPr>
          <w:spacing w:val="-2"/>
          <w:sz w:val="20"/>
        </w:rPr>
        <w:t>and</w:t>
      </w:r>
      <w:r>
        <w:rPr>
          <w:spacing w:val="-3"/>
          <w:sz w:val="20"/>
        </w:rPr>
        <w:t> </w:t>
      </w:r>
      <w:r>
        <w:rPr>
          <w:spacing w:val="-2"/>
          <w:sz w:val="20"/>
        </w:rPr>
        <w:t>long-term</w:t>
      </w:r>
      <w:r>
        <w:rPr>
          <w:spacing w:val="-6"/>
          <w:sz w:val="20"/>
        </w:rPr>
        <w:t> </w:t>
      </w:r>
      <w:r>
        <w:rPr>
          <w:spacing w:val="-2"/>
          <w:sz w:val="20"/>
        </w:rPr>
        <w:t>cash</w:t>
      </w:r>
      <w:r>
        <w:rPr>
          <w:spacing w:val="-3"/>
          <w:sz w:val="20"/>
        </w:rPr>
        <w:t> </w:t>
      </w:r>
      <w:r>
        <w:rPr>
          <w:spacing w:val="-2"/>
          <w:sz w:val="20"/>
        </w:rPr>
        <w:t>flow</w:t>
      </w:r>
      <w:r>
        <w:rPr>
          <w:spacing w:val="-6"/>
          <w:sz w:val="20"/>
        </w:rPr>
        <w:t> </w:t>
      </w:r>
      <w:r>
        <w:rPr>
          <w:spacing w:val="-2"/>
          <w:sz w:val="20"/>
        </w:rPr>
        <w:t>forecasts and</w:t>
      </w:r>
      <w:r>
        <w:rPr>
          <w:spacing w:val="-6"/>
          <w:sz w:val="20"/>
        </w:rPr>
        <w:t> </w:t>
      </w:r>
      <w:r>
        <w:rPr>
          <w:spacing w:val="-2"/>
          <w:sz w:val="20"/>
        </w:rPr>
        <w:t>requirements;</w:t>
      </w:r>
    </w:p>
    <w:p>
      <w:pPr>
        <w:pStyle w:val="ListParagraph"/>
        <w:numPr>
          <w:ilvl w:val="0"/>
          <w:numId w:val="4"/>
        </w:numPr>
        <w:tabs>
          <w:tab w:pos="1133" w:val="left" w:leader="none"/>
          <w:tab w:pos="1135" w:val="left" w:leader="none"/>
        </w:tabs>
        <w:spacing w:line="240" w:lineRule="auto" w:before="0" w:after="0"/>
        <w:ind w:left="1135" w:right="706" w:hanging="284"/>
        <w:jc w:val="left"/>
        <w:rPr>
          <w:rFonts w:ascii="Symbol" w:hAnsi="Symbol"/>
          <w:sz w:val="20"/>
        </w:rPr>
      </w:pPr>
      <w:r>
        <w:rPr>
          <w:sz w:val="20"/>
        </w:rPr>
        <w:t>Financial</w:t>
      </w:r>
      <w:r>
        <w:rPr>
          <w:spacing w:val="40"/>
          <w:sz w:val="20"/>
        </w:rPr>
        <w:t> </w:t>
      </w:r>
      <w:r>
        <w:rPr>
          <w:sz w:val="20"/>
        </w:rPr>
        <w:t>forecast</w:t>
      </w:r>
      <w:r>
        <w:rPr>
          <w:spacing w:val="40"/>
          <w:sz w:val="20"/>
        </w:rPr>
        <w:t> </w:t>
      </w:r>
      <w:r>
        <w:rPr>
          <w:sz w:val="20"/>
        </w:rPr>
        <w:t>based</w:t>
      </w:r>
      <w:r>
        <w:rPr>
          <w:spacing w:val="40"/>
          <w:sz w:val="20"/>
        </w:rPr>
        <w:t> </w:t>
      </w:r>
      <w:r>
        <w:rPr>
          <w:sz w:val="20"/>
        </w:rPr>
        <w:t>upon</w:t>
      </w:r>
      <w:r>
        <w:rPr>
          <w:spacing w:val="40"/>
          <w:sz w:val="20"/>
        </w:rPr>
        <w:t> </w:t>
      </w:r>
      <w:r>
        <w:rPr>
          <w:sz w:val="20"/>
        </w:rPr>
        <w:t>no</w:t>
      </w:r>
      <w:r>
        <w:rPr>
          <w:spacing w:val="40"/>
          <w:sz w:val="20"/>
        </w:rPr>
        <w:t> </w:t>
      </w:r>
      <w:r>
        <w:rPr>
          <w:sz w:val="20"/>
        </w:rPr>
        <w:t>income</w:t>
      </w:r>
      <w:r>
        <w:rPr>
          <w:spacing w:val="40"/>
          <w:sz w:val="20"/>
        </w:rPr>
        <w:t> </w:t>
      </w:r>
      <w:r>
        <w:rPr>
          <w:sz w:val="20"/>
        </w:rPr>
        <w:t>growth</w:t>
      </w:r>
      <w:r>
        <w:rPr>
          <w:spacing w:val="40"/>
          <w:sz w:val="20"/>
        </w:rPr>
        <w:t> </w:t>
      </w:r>
      <w:r>
        <w:rPr>
          <w:sz w:val="20"/>
        </w:rPr>
        <w:t>apart</w:t>
      </w:r>
      <w:r>
        <w:rPr>
          <w:spacing w:val="40"/>
          <w:sz w:val="20"/>
        </w:rPr>
        <w:t> </w:t>
      </w:r>
      <w:r>
        <w:rPr>
          <w:sz w:val="20"/>
        </w:rPr>
        <w:t>from</w:t>
      </w:r>
      <w:r>
        <w:rPr>
          <w:spacing w:val="40"/>
          <w:sz w:val="20"/>
        </w:rPr>
        <w:t> </w:t>
      </w:r>
      <w:r>
        <w:rPr>
          <w:sz w:val="20"/>
        </w:rPr>
        <w:t>an</w:t>
      </w:r>
      <w:r>
        <w:rPr>
          <w:spacing w:val="40"/>
          <w:sz w:val="20"/>
        </w:rPr>
        <w:t> </w:t>
      </w:r>
      <w:r>
        <w:rPr>
          <w:sz w:val="20"/>
        </w:rPr>
        <w:t>operational</w:t>
      </w:r>
      <w:r>
        <w:rPr>
          <w:spacing w:val="40"/>
          <w:sz w:val="20"/>
        </w:rPr>
        <w:t> </w:t>
      </w:r>
      <w:r>
        <w:rPr>
          <w:sz w:val="20"/>
        </w:rPr>
        <w:t>recovery</w:t>
      </w:r>
      <w:r>
        <w:rPr>
          <w:spacing w:val="40"/>
          <w:sz w:val="20"/>
        </w:rPr>
        <w:t> </w:t>
      </w:r>
      <w:r>
        <w:rPr>
          <w:sz w:val="20"/>
        </w:rPr>
        <w:t>of</w:t>
      </w:r>
      <w:r>
        <w:rPr>
          <w:spacing w:val="40"/>
          <w:sz w:val="20"/>
        </w:rPr>
        <w:t> </w:t>
      </w:r>
      <w:r>
        <w:rPr>
          <w:sz w:val="20"/>
        </w:rPr>
        <w:t>adult education budget and apprenticeship provision associated with Covid impacts upon delivery;</w:t>
      </w:r>
    </w:p>
    <w:p>
      <w:pPr>
        <w:pStyle w:val="ListParagraph"/>
        <w:numPr>
          <w:ilvl w:val="0"/>
          <w:numId w:val="4"/>
        </w:numPr>
        <w:tabs>
          <w:tab w:pos="1134" w:val="left" w:leader="none"/>
        </w:tabs>
        <w:spacing w:line="244" w:lineRule="exact" w:before="0" w:after="0"/>
        <w:ind w:left="1134" w:right="0" w:hanging="282"/>
        <w:jc w:val="left"/>
        <w:rPr>
          <w:rFonts w:ascii="Symbol" w:hAnsi="Symbol"/>
          <w:sz w:val="20"/>
        </w:rPr>
      </w:pPr>
      <w:r>
        <w:rPr>
          <w:sz w:val="20"/>
        </w:rPr>
        <w:t>The</w:t>
      </w:r>
      <w:r>
        <w:rPr>
          <w:spacing w:val="-7"/>
          <w:sz w:val="20"/>
        </w:rPr>
        <w:t> </w:t>
      </w:r>
      <w:r>
        <w:rPr>
          <w:sz w:val="20"/>
        </w:rPr>
        <w:t>robustness</w:t>
      </w:r>
      <w:r>
        <w:rPr>
          <w:spacing w:val="-5"/>
          <w:sz w:val="20"/>
        </w:rPr>
        <w:t> </w:t>
      </w:r>
      <w:r>
        <w:rPr>
          <w:sz w:val="20"/>
        </w:rPr>
        <w:t>of</w:t>
      </w:r>
      <w:r>
        <w:rPr>
          <w:spacing w:val="-7"/>
          <w:sz w:val="20"/>
        </w:rPr>
        <w:t> </w:t>
      </w:r>
      <w:r>
        <w:rPr>
          <w:sz w:val="20"/>
        </w:rPr>
        <w:t>the</w:t>
      </w:r>
      <w:r>
        <w:rPr>
          <w:spacing w:val="-4"/>
          <w:sz w:val="20"/>
        </w:rPr>
        <w:t> </w:t>
      </w:r>
      <w:r>
        <w:rPr>
          <w:sz w:val="20"/>
        </w:rPr>
        <w:t>majority</w:t>
      </w:r>
      <w:r>
        <w:rPr>
          <w:spacing w:val="-6"/>
          <w:sz w:val="20"/>
        </w:rPr>
        <w:t> </w:t>
      </w:r>
      <w:r>
        <w:rPr>
          <w:sz w:val="20"/>
        </w:rPr>
        <w:t>of</w:t>
      </w:r>
      <w:r>
        <w:rPr>
          <w:spacing w:val="-6"/>
          <w:sz w:val="20"/>
        </w:rPr>
        <w:t> </w:t>
      </w:r>
      <w:r>
        <w:rPr>
          <w:sz w:val="20"/>
        </w:rPr>
        <w:t>the</w:t>
      </w:r>
      <w:r>
        <w:rPr>
          <w:spacing w:val="-6"/>
          <w:sz w:val="20"/>
        </w:rPr>
        <w:t> </w:t>
      </w:r>
      <w:r>
        <w:rPr>
          <w:sz w:val="20"/>
        </w:rPr>
        <w:t>College’s</w:t>
      </w:r>
      <w:r>
        <w:rPr>
          <w:spacing w:val="-6"/>
          <w:sz w:val="20"/>
        </w:rPr>
        <w:t> </w:t>
      </w:r>
      <w:r>
        <w:rPr>
          <w:sz w:val="20"/>
        </w:rPr>
        <w:t>operating</w:t>
      </w:r>
      <w:r>
        <w:rPr>
          <w:spacing w:val="-6"/>
          <w:sz w:val="20"/>
        </w:rPr>
        <w:t> </w:t>
      </w:r>
      <w:r>
        <w:rPr>
          <w:sz w:val="20"/>
        </w:rPr>
        <w:t>income</w:t>
      </w:r>
      <w:r>
        <w:rPr>
          <w:spacing w:val="-6"/>
          <w:sz w:val="20"/>
        </w:rPr>
        <w:t> </w:t>
      </w:r>
      <w:r>
        <w:rPr>
          <w:sz w:val="20"/>
        </w:rPr>
        <w:t>from</w:t>
      </w:r>
      <w:r>
        <w:rPr>
          <w:spacing w:val="-5"/>
          <w:sz w:val="20"/>
        </w:rPr>
        <w:t> </w:t>
      </w:r>
      <w:r>
        <w:rPr>
          <w:sz w:val="20"/>
        </w:rPr>
        <w:t>the</w:t>
      </w:r>
      <w:r>
        <w:rPr>
          <w:spacing w:val="-4"/>
          <w:sz w:val="20"/>
        </w:rPr>
        <w:t> </w:t>
      </w:r>
      <w:r>
        <w:rPr>
          <w:spacing w:val="-2"/>
          <w:sz w:val="20"/>
        </w:rPr>
        <w:t>ESFA;</w:t>
      </w:r>
    </w:p>
    <w:p>
      <w:pPr>
        <w:pStyle w:val="ListParagraph"/>
        <w:numPr>
          <w:ilvl w:val="0"/>
          <w:numId w:val="4"/>
        </w:numPr>
        <w:tabs>
          <w:tab w:pos="1133" w:val="left" w:leader="none"/>
          <w:tab w:pos="1135" w:val="left" w:leader="none"/>
        </w:tabs>
        <w:spacing w:line="237" w:lineRule="auto" w:before="0" w:after="0"/>
        <w:ind w:left="1135" w:right="709" w:hanging="284"/>
        <w:jc w:val="left"/>
        <w:rPr>
          <w:rFonts w:ascii="Symbol" w:hAnsi="Symbol"/>
          <w:sz w:val="20"/>
        </w:rPr>
      </w:pPr>
      <w:r>
        <w:rPr>
          <w:sz w:val="20"/>
        </w:rPr>
        <w:t>A</w:t>
      </w:r>
      <w:r>
        <w:rPr>
          <w:spacing w:val="36"/>
          <w:sz w:val="20"/>
        </w:rPr>
        <w:t> </w:t>
      </w:r>
      <w:r>
        <w:rPr>
          <w:sz w:val="20"/>
        </w:rPr>
        <w:t>review</w:t>
      </w:r>
      <w:r>
        <w:rPr>
          <w:spacing w:val="37"/>
          <w:sz w:val="20"/>
        </w:rPr>
        <w:t> </w:t>
      </w:r>
      <w:r>
        <w:rPr>
          <w:sz w:val="20"/>
        </w:rPr>
        <w:t>of</w:t>
      </w:r>
      <w:r>
        <w:rPr>
          <w:spacing w:val="36"/>
          <w:sz w:val="20"/>
        </w:rPr>
        <w:t> </w:t>
      </w:r>
      <w:r>
        <w:rPr>
          <w:sz w:val="20"/>
        </w:rPr>
        <w:t>the</w:t>
      </w:r>
      <w:r>
        <w:rPr>
          <w:spacing w:val="36"/>
          <w:sz w:val="20"/>
        </w:rPr>
        <w:t> </w:t>
      </w:r>
      <w:r>
        <w:rPr>
          <w:sz w:val="20"/>
        </w:rPr>
        <w:t>College’s</w:t>
      </w:r>
      <w:r>
        <w:rPr>
          <w:spacing w:val="38"/>
          <w:sz w:val="20"/>
        </w:rPr>
        <w:t> </w:t>
      </w:r>
      <w:r>
        <w:rPr>
          <w:sz w:val="20"/>
        </w:rPr>
        <w:t>risk</w:t>
      </w:r>
      <w:r>
        <w:rPr>
          <w:spacing w:val="38"/>
          <w:sz w:val="20"/>
        </w:rPr>
        <w:t> </w:t>
      </w:r>
      <w:r>
        <w:rPr>
          <w:sz w:val="20"/>
        </w:rPr>
        <w:t>register</w:t>
      </w:r>
      <w:r>
        <w:rPr>
          <w:spacing w:val="37"/>
          <w:sz w:val="20"/>
        </w:rPr>
        <w:t> </w:t>
      </w:r>
      <w:r>
        <w:rPr>
          <w:sz w:val="20"/>
        </w:rPr>
        <w:t>which</w:t>
      </w:r>
      <w:r>
        <w:rPr>
          <w:spacing w:val="36"/>
          <w:sz w:val="20"/>
        </w:rPr>
        <w:t> </w:t>
      </w:r>
      <w:r>
        <w:rPr>
          <w:sz w:val="20"/>
        </w:rPr>
        <w:t>addresses</w:t>
      </w:r>
      <w:r>
        <w:rPr>
          <w:spacing w:val="38"/>
          <w:sz w:val="20"/>
        </w:rPr>
        <w:t> </w:t>
      </w:r>
      <w:r>
        <w:rPr>
          <w:sz w:val="20"/>
        </w:rPr>
        <w:t>both</w:t>
      </w:r>
      <w:r>
        <w:rPr>
          <w:spacing w:val="36"/>
          <w:sz w:val="20"/>
        </w:rPr>
        <w:t> </w:t>
      </w:r>
      <w:r>
        <w:rPr>
          <w:sz w:val="20"/>
        </w:rPr>
        <w:t>financial</w:t>
      </w:r>
      <w:r>
        <w:rPr>
          <w:spacing w:val="35"/>
          <w:sz w:val="20"/>
        </w:rPr>
        <w:t> </w:t>
      </w:r>
      <w:r>
        <w:rPr>
          <w:sz w:val="20"/>
        </w:rPr>
        <w:t>and</w:t>
      </w:r>
      <w:r>
        <w:rPr>
          <w:spacing w:val="36"/>
          <w:sz w:val="20"/>
        </w:rPr>
        <w:t> </w:t>
      </w:r>
      <w:r>
        <w:rPr>
          <w:sz w:val="20"/>
        </w:rPr>
        <w:t>non-financial</w:t>
      </w:r>
      <w:r>
        <w:rPr>
          <w:spacing w:val="35"/>
          <w:sz w:val="20"/>
        </w:rPr>
        <w:t> </w:t>
      </w:r>
      <w:r>
        <w:rPr>
          <w:sz w:val="20"/>
        </w:rPr>
        <w:t>issues concerning future risk and liability as explained previously within the report;</w:t>
      </w:r>
    </w:p>
    <w:p>
      <w:pPr>
        <w:pStyle w:val="ListParagraph"/>
        <w:numPr>
          <w:ilvl w:val="0"/>
          <w:numId w:val="4"/>
        </w:numPr>
        <w:tabs>
          <w:tab w:pos="1133" w:val="left" w:leader="none"/>
          <w:tab w:pos="1135" w:val="left" w:leader="none"/>
        </w:tabs>
        <w:spacing w:line="237" w:lineRule="auto" w:before="2" w:after="0"/>
        <w:ind w:left="1135" w:right="710" w:hanging="284"/>
        <w:jc w:val="left"/>
        <w:rPr>
          <w:rFonts w:ascii="Symbol" w:hAnsi="Symbol"/>
          <w:sz w:val="20"/>
        </w:rPr>
      </w:pPr>
      <w:r>
        <w:rPr>
          <w:sz w:val="20"/>
        </w:rPr>
        <w:t>The</w:t>
      </w:r>
      <w:r>
        <w:rPr>
          <w:spacing w:val="-4"/>
          <w:sz w:val="20"/>
        </w:rPr>
        <w:t> </w:t>
      </w:r>
      <w:r>
        <w:rPr>
          <w:sz w:val="20"/>
        </w:rPr>
        <w:t>proactive</w:t>
      </w:r>
      <w:r>
        <w:rPr>
          <w:spacing w:val="-2"/>
          <w:sz w:val="20"/>
        </w:rPr>
        <w:t> </w:t>
      </w:r>
      <w:r>
        <w:rPr>
          <w:sz w:val="20"/>
        </w:rPr>
        <w:t>and</w:t>
      </w:r>
      <w:r>
        <w:rPr>
          <w:spacing w:val="-2"/>
          <w:sz w:val="20"/>
        </w:rPr>
        <w:t> </w:t>
      </w:r>
      <w:r>
        <w:rPr>
          <w:sz w:val="20"/>
        </w:rPr>
        <w:t>detailed</w:t>
      </w:r>
      <w:r>
        <w:rPr>
          <w:spacing w:val="-2"/>
          <w:sz w:val="20"/>
        </w:rPr>
        <w:t> </w:t>
      </w:r>
      <w:r>
        <w:rPr>
          <w:sz w:val="20"/>
        </w:rPr>
        <w:t>nature</w:t>
      </w:r>
      <w:r>
        <w:rPr>
          <w:spacing w:val="-2"/>
          <w:sz w:val="20"/>
        </w:rPr>
        <w:t> </w:t>
      </w:r>
      <w:r>
        <w:rPr>
          <w:sz w:val="20"/>
        </w:rPr>
        <w:t>of</w:t>
      </w:r>
      <w:r>
        <w:rPr>
          <w:spacing w:val="-2"/>
          <w:sz w:val="20"/>
        </w:rPr>
        <w:t> </w:t>
      </w:r>
      <w:r>
        <w:rPr>
          <w:sz w:val="20"/>
        </w:rPr>
        <w:t>the</w:t>
      </w:r>
      <w:r>
        <w:rPr>
          <w:spacing w:val="-2"/>
          <w:sz w:val="20"/>
        </w:rPr>
        <w:t> </w:t>
      </w:r>
      <w:r>
        <w:rPr>
          <w:sz w:val="20"/>
        </w:rPr>
        <w:t>Estates</w:t>
      </w:r>
      <w:r>
        <w:rPr>
          <w:spacing w:val="-3"/>
          <w:sz w:val="20"/>
        </w:rPr>
        <w:t> </w:t>
      </w:r>
      <w:r>
        <w:rPr>
          <w:sz w:val="20"/>
        </w:rPr>
        <w:t>Strategy</w:t>
      </w:r>
      <w:r>
        <w:rPr>
          <w:spacing w:val="-3"/>
          <w:sz w:val="20"/>
        </w:rPr>
        <w:t> </w:t>
      </w:r>
      <w:r>
        <w:rPr>
          <w:sz w:val="20"/>
        </w:rPr>
        <w:t>that</w:t>
      </w:r>
      <w:r>
        <w:rPr>
          <w:spacing w:val="-2"/>
          <w:sz w:val="20"/>
        </w:rPr>
        <w:t> </w:t>
      </w:r>
      <w:r>
        <w:rPr>
          <w:sz w:val="20"/>
        </w:rPr>
        <w:t>underpins</w:t>
      </w:r>
      <w:r>
        <w:rPr>
          <w:spacing w:val="-3"/>
          <w:sz w:val="20"/>
        </w:rPr>
        <w:t> </w:t>
      </w:r>
      <w:r>
        <w:rPr>
          <w:sz w:val="20"/>
        </w:rPr>
        <w:t>educational</w:t>
      </w:r>
      <w:r>
        <w:rPr>
          <w:spacing w:val="-3"/>
          <w:sz w:val="20"/>
        </w:rPr>
        <w:t> </w:t>
      </w:r>
      <w:r>
        <w:rPr>
          <w:sz w:val="20"/>
        </w:rPr>
        <w:t>delivery</w:t>
      </w:r>
      <w:r>
        <w:rPr>
          <w:spacing w:val="-3"/>
          <w:sz w:val="20"/>
        </w:rPr>
        <w:t> </w:t>
      </w:r>
      <w:r>
        <w:rPr>
          <w:sz w:val="20"/>
        </w:rPr>
        <w:t>in</w:t>
      </w:r>
      <w:r>
        <w:rPr>
          <w:spacing w:val="-4"/>
          <w:sz w:val="20"/>
        </w:rPr>
        <w:t> </w:t>
      </w:r>
      <w:r>
        <w:rPr>
          <w:sz w:val="20"/>
        </w:rPr>
        <w:t>key priority areas;</w:t>
      </w:r>
    </w:p>
    <w:p>
      <w:pPr>
        <w:pStyle w:val="ListParagraph"/>
        <w:numPr>
          <w:ilvl w:val="0"/>
          <w:numId w:val="4"/>
        </w:numPr>
        <w:tabs>
          <w:tab w:pos="1134" w:val="left" w:leader="none"/>
        </w:tabs>
        <w:spacing w:line="245" w:lineRule="exact" w:before="1" w:after="0"/>
        <w:ind w:left="1134" w:right="0" w:hanging="282"/>
        <w:jc w:val="left"/>
        <w:rPr>
          <w:rFonts w:ascii="Symbol" w:hAnsi="Symbol"/>
          <w:sz w:val="20"/>
        </w:rPr>
      </w:pPr>
      <w:r>
        <w:rPr>
          <w:spacing w:val="-2"/>
          <w:sz w:val="20"/>
        </w:rPr>
        <w:t>The</w:t>
      </w:r>
      <w:r>
        <w:rPr>
          <w:spacing w:val="-7"/>
          <w:sz w:val="20"/>
        </w:rPr>
        <w:t> </w:t>
      </w:r>
      <w:r>
        <w:rPr>
          <w:spacing w:val="-2"/>
          <w:sz w:val="20"/>
        </w:rPr>
        <w:t>continued</w:t>
      </w:r>
      <w:r>
        <w:rPr>
          <w:spacing w:val="-6"/>
          <w:sz w:val="20"/>
        </w:rPr>
        <w:t> </w:t>
      </w:r>
      <w:r>
        <w:rPr>
          <w:spacing w:val="-2"/>
          <w:sz w:val="20"/>
        </w:rPr>
        <w:t>monitoring</w:t>
      </w:r>
      <w:r>
        <w:rPr>
          <w:spacing w:val="-3"/>
          <w:sz w:val="20"/>
        </w:rPr>
        <w:t> </w:t>
      </w:r>
      <w:r>
        <w:rPr>
          <w:spacing w:val="-2"/>
          <w:sz w:val="20"/>
        </w:rPr>
        <w:t>and</w:t>
      </w:r>
      <w:r>
        <w:rPr>
          <w:spacing w:val="-7"/>
          <w:sz w:val="20"/>
        </w:rPr>
        <w:t> </w:t>
      </w:r>
      <w:r>
        <w:rPr>
          <w:spacing w:val="-2"/>
          <w:sz w:val="20"/>
        </w:rPr>
        <w:t>review</w:t>
      </w:r>
      <w:r>
        <w:rPr>
          <w:spacing w:val="-5"/>
          <w:sz w:val="20"/>
        </w:rPr>
        <w:t> </w:t>
      </w:r>
      <w:r>
        <w:rPr>
          <w:spacing w:val="-2"/>
          <w:sz w:val="20"/>
        </w:rPr>
        <w:t>of</w:t>
      </w:r>
      <w:r>
        <w:rPr>
          <w:spacing w:val="-6"/>
          <w:sz w:val="20"/>
        </w:rPr>
        <w:t> </w:t>
      </w:r>
      <w:r>
        <w:rPr>
          <w:spacing w:val="-2"/>
          <w:sz w:val="20"/>
        </w:rPr>
        <w:t>ODP,</w:t>
      </w:r>
      <w:r>
        <w:rPr>
          <w:spacing w:val="-7"/>
          <w:sz w:val="20"/>
        </w:rPr>
        <w:t> </w:t>
      </w:r>
      <w:r>
        <w:rPr>
          <w:spacing w:val="-2"/>
          <w:sz w:val="20"/>
        </w:rPr>
        <w:t>and</w:t>
      </w:r>
      <w:r>
        <w:rPr>
          <w:spacing w:val="-6"/>
          <w:sz w:val="20"/>
        </w:rPr>
        <w:t> </w:t>
      </w:r>
      <w:r>
        <w:rPr>
          <w:spacing w:val="-2"/>
          <w:sz w:val="20"/>
        </w:rPr>
        <w:t>KPI</w:t>
      </w:r>
      <w:r>
        <w:rPr>
          <w:spacing w:val="-3"/>
          <w:sz w:val="20"/>
        </w:rPr>
        <w:t> </w:t>
      </w:r>
      <w:r>
        <w:rPr>
          <w:spacing w:val="-2"/>
          <w:sz w:val="20"/>
        </w:rPr>
        <w:t>by</w:t>
      </w:r>
      <w:r>
        <w:rPr>
          <w:spacing w:val="-4"/>
          <w:sz w:val="20"/>
        </w:rPr>
        <w:t> </w:t>
      </w:r>
      <w:r>
        <w:rPr>
          <w:spacing w:val="-2"/>
          <w:sz w:val="20"/>
        </w:rPr>
        <w:t>management</w:t>
      </w:r>
      <w:r>
        <w:rPr>
          <w:spacing w:val="-3"/>
          <w:sz w:val="20"/>
        </w:rPr>
        <w:t> </w:t>
      </w:r>
      <w:r>
        <w:rPr>
          <w:spacing w:val="-2"/>
          <w:sz w:val="20"/>
        </w:rPr>
        <w:t>and</w:t>
      </w:r>
      <w:r>
        <w:rPr>
          <w:spacing w:val="-7"/>
          <w:sz w:val="20"/>
        </w:rPr>
        <w:t> </w:t>
      </w:r>
      <w:r>
        <w:rPr>
          <w:spacing w:val="-2"/>
          <w:sz w:val="20"/>
        </w:rPr>
        <w:t>senior leadership</w:t>
      </w:r>
      <w:r>
        <w:rPr>
          <w:spacing w:val="-6"/>
          <w:sz w:val="20"/>
        </w:rPr>
        <w:t> </w:t>
      </w:r>
      <w:r>
        <w:rPr>
          <w:spacing w:val="-2"/>
          <w:sz w:val="20"/>
        </w:rPr>
        <w:t>teams;</w:t>
      </w:r>
    </w:p>
    <w:p>
      <w:pPr>
        <w:pStyle w:val="ListParagraph"/>
        <w:numPr>
          <w:ilvl w:val="0"/>
          <w:numId w:val="4"/>
        </w:numPr>
        <w:tabs>
          <w:tab w:pos="1133" w:val="left" w:leader="none"/>
          <w:tab w:pos="1135" w:val="left" w:leader="none"/>
        </w:tabs>
        <w:spacing w:line="237" w:lineRule="auto" w:before="2" w:after="0"/>
        <w:ind w:left="1135" w:right="707" w:hanging="284"/>
        <w:jc w:val="both"/>
        <w:rPr>
          <w:rFonts w:ascii="Symbol" w:hAnsi="Symbol"/>
          <w:sz w:val="20"/>
        </w:rPr>
      </w:pPr>
      <w:r>
        <w:rPr>
          <w:sz w:val="20"/>
        </w:rPr>
        <w:t>In December 2023, the College agreed a 14-month repayment schedule in relation to the ESFA funding assurance review liability. The College do not foresee any future difficulties in relation to its operational trading performance going forwards.</w:t>
      </w:r>
    </w:p>
    <w:p>
      <w:pPr>
        <w:pStyle w:val="ListParagraph"/>
        <w:numPr>
          <w:ilvl w:val="0"/>
          <w:numId w:val="4"/>
        </w:numPr>
        <w:tabs>
          <w:tab w:pos="1133" w:val="left" w:leader="none"/>
          <w:tab w:pos="1135" w:val="left" w:leader="none"/>
        </w:tabs>
        <w:spacing w:line="237" w:lineRule="auto" w:before="5" w:after="0"/>
        <w:ind w:left="1135" w:right="705" w:hanging="284"/>
        <w:jc w:val="both"/>
        <w:rPr>
          <w:rFonts w:ascii="Symbol" w:hAnsi="Symbol"/>
          <w:sz w:val="20"/>
        </w:rPr>
      </w:pPr>
      <w:r>
        <w:rPr>
          <w:sz w:val="20"/>
        </w:rPr>
        <w:t>At present the College have strategic plans to address the cost-of-living crisis and impact upon its staff. Hull College are proposing a pay award which is the first time in at last the last ten years and inline</w:t>
      </w:r>
      <w:r>
        <w:rPr>
          <w:spacing w:val="-9"/>
          <w:sz w:val="20"/>
        </w:rPr>
        <w:t> </w:t>
      </w:r>
      <w:r>
        <w:rPr>
          <w:sz w:val="20"/>
        </w:rPr>
        <w:t>the</w:t>
      </w:r>
      <w:r>
        <w:rPr>
          <w:spacing w:val="-9"/>
          <w:sz w:val="20"/>
        </w:rPr>
        <w:t> </w:t>
      </w:r>
      <w:r>
        <w:rPr>
          <w:sz w:val="20"/>
        </w:rPr>
        <w:t>AOC</w:t>
      </w:r>
      <w:r>
        <w:rPr>
          <w:spacing w:val="-9"/>
          <w:sz w:val="20"/>
        </w:rPr>
        <w:t> </w:t>
      </w:r>
      <w:r>
        <w:rPr>
          <w:sz w:val="20"/>
        </w:rPr>
        <w:t>recommendation</w:t>
      </w:r>
      <w:r>
        <w:rPr>
          <w:spacing w:val="-9"/>
          <w:sz w:val="20"/>
        </w:rPr>
        <w:t> </w:t>
      </w:r>
      <w:r>
        <w:rPr>
          <w:sz w:val="20"/>
        </w:rPr>
        <w:t>of</w:t>
      </w:r>
      <w:r>
        <w:rPr>
          <w:spacing w:val="-9"/>
          <w:sz w:val="20"/>
        </w:rPr>
        <w:t> </w:t>
      </w:r>
      <w:r>
        <w:rPr>
          <w:sz w:val="20"/>
        </w:rPr>
        <w:t>circa</w:t>
      </w:r>
      <w:r>
        <w:rPr>
          <w:spacing w:val="-9"/>
          <w:sz w:val="20"/>
        </w:rPr>
        <w:t> </w:t>
      </w:r>
      <w:r>
        <w:rPr>
          <w:sz w:val="20"/>
        </w:rPr>
        <w:t>6.5%.</w:t>
      </w:r>
      <w:r>
        <w:rPr>
          <w:spacing w:val="-9"/>
          <w:sz w:val="20"/>
        </w:rPr>
        <w:t> </w:t>
      </w:r>
      <w:r>
        <w:rPr>
          <w:sz w:val="20"/>
        </w:rPr>
        <w:t>The</w:t>
      </w:r>
      <w:r>
        <w:rPr>
          <w:spacing w:val="-9"/>
          <w:sz w:val="20"/>
        </w:rPr>
        <w:t> </w:t>
      </w:r>
      <w:r>
        <w:rPr>
          <w:sz w:val="20"/>
        </w:rPr>
        <w:t>aim</w:t>
      </w:r>
      <w:r>
        <w:rPr>
          <w:spacing w:val="-7"/>
          <w:sz w:val="20"/>
        </w:rPr>
        <w:t> </w:t>
      </w:r>
      <w:r>
        <w:rPr>
          <w:sz w:val="20"/>
        </w:rPr>
        <w:t>is</w:t>
      </w:r>
      <w:r>
        <w:rPr>
          <w:spacing w:val="-7"/>
          <w:sz w:val="20"/>
        </w:rPr>
        <w:t> </w:t>
      </w:r>
      <w:r>
        <w:rPr>
          <w:sz w:val="20"/>
        </w:rPr>
        <w:t>to</w:t>
      </w:r>
      <w:r>
        <w:rPr>
          <w:spacing w:val="-9"/>
          <w:sz w:val="20"/>
        </w:rPr>
        <w:t> </w:t>
      </w:r>
      <w:r>
        <w:rPr>
          <w:sz w:val="20"/>
        </w:rPr>
        <w:t>prioritise</w:t>
      </w:r>
      <w:r>
        <w:rPr>
          <w:spacing w:val="-9"/>
          <w:sz w:val="20"/>
        </w:rPr>
        <w:t> </w:t>
      </w:r>
      <w:r>
        <w:rPr>
          <w:sz w:val="20"/>
        </w:rPr>
        <w:t>the</w:t>
      </w:r>
      <w:r>
        <w:rPr>
          <w:spacing w:val="-7"/>
          <w:sz w:val="20"/>
        </w:rPr>
        <w:t> </w:t>
      </w:r>
      <w:r>
        <w:rPr>
          <w:sz w:val="20"/>
        </w:rPr>
        <w:t>lowest</w:t>
      </w:r>
      <w:r>
        <w:rPr>
          <w:spacing w:val="-9"/>
          <w:sz w:val="20"/>
        </w:rPr>
        <w:t> </w:t>
      </w:r>
      <w:r>
        <w:rPr>
          <w:sz w:val="20"/>
        </w:rPr>
        <w:t>paid</w:t>
      </w:r>
      <w:r>
        <w:rPr>
          <w:spacing w:val="-9"/>
          <w:sz w:val="20"/>
        </w:rPr>
        <w:t> </w:t>
      </w:r>
      <w:r>
        <w:rPr>
          <w:sz w:val="20"/>
        </w:rPr>
        <w:t>staff</w:t>
      </w:r>
      <w:r>
        <w:rPr>
          <w:spacing w:val="-9"/>
          <w:sz w:val="20"/>
        </w:rPr>
        <w:t> </w:t>
      </w:r>
      <w:r>
        <w:rPr>
          <w:sz w:val="20"/>
        </w:rPr>
        <w:t>members.</w:t>
      </w:r>
    </w:p>
    <w:p>
      <w:pPr>
        <w:pStyle w:val="BodyText"/>
        <w:spacing w:before="100"/>
      </w:pPr>
      <w:r>
        <w:rPr/>
        <mc:AlternateContent>
          <mc:Choice Requires="wps">
            <w:drawing>
              <wp:anchor distT="0" distB="0" distL="0" distR="0" allowOverlap="1" layoutInCell="1" locked="0" behindDoc="1" simplePos="0" relativeHeight="487588864">
                <wp:simplePos x="0" y="0"/>
                <wp:positionH relativeFrom="page">
                  <wp:posOffset>882396</wp:posOffset>
                </wp:positionH>
                <wp:positionV relativeFrom="paragraph">
                  <wp:posOffset>224777</wp:posOffset>
                </wp:positionV>
                <wp:extent cx="579755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17.699024pt;width:456.48pt;height:.48pt;mso-position-horizontal-relative:page;mso-position-vertical-relative:paragraph;z-index:-15727616;mso-wrap-distance-left:0;mso-wrap-distance-right:0" id="docshape18" filled="true" fillcolor="#000000" stroked="false">
                <v:fill type="solid"/>
                <w10:wrap type="topAndBottom"/>
              </v:rect>
            </w:pict>
          </mc:Fallback>
        </mc:AlternateContent>
      </w:r>
    </w:p>
    <w:p>
      <w:pPr>
        <w:pStyle w:val="BodyText"/>
        <w:spacing w:after="0"/>
        <w:sectPr>
          <w:headerReference w:type="default" r:id="rId12"/>
          <w:footerReference w:type="default" r:id="rId13"/>
          <w:pgSz w:w="11910" w:h="16850"/>
          <w:pgMar w:header="727" w:footer="444" w:top="2080" w:bottom="64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Carbon</w:t>
      </w:r>
      <w:r>
        <w:rPr>
          <w:b/>
          <w:spacing w:val="-3"/>
          <w:sz w:val="24"/>
        </w:rPr>
        <w:t> </w:t>
      </w:r>
      <w:r>
        <w:rPr>
          <w:b/>
          <w:spacing w:val="-2"/>
          <w:sz w:val="24"/>
        </w:rPr>
        <w:t>reporting</w:t>
      </w:r>
    </w:p>
    <w:p>
      <w:pPr>
        <w:pStyle w:val="BodyText"/>
        <w:spacing w:before="230"/>
        <w:ind w:left="852" w:right="1088"/>
        <w:jc w:val="both"/>
      </w:pPr>
      <w:r>
        <w:rPr/>
        <w:t>As</w:t>
      </w:r>
      <w:r>
        <w:rPr>
          <w:spacing w:val="-3"/>
        </w:rPr>
        <w:t> </w:t>
      </w:r>
      <w:r>
        <w:rPr/>
        <w:t>at</w:t>
      </w:r>
      <w:r>
        <w:rPr>
          <w:spacing w:val="-4"/>
        </w:rPr>
        <w:t> </w:t>
      </w:r>
      <w:r>
        <w:rPr/>
        <w:t>December</w:t>
      </w:r>
      <w:r>
        <w:rPr>
          <w:spacing w:val="-3"/>
        </w:rPr>
        <w:t> </w:t>
      </w:r>
      <w:r>
        <w:rPr/>
        <w:t>2023</w:t>
      </w:r>
      <w:r>
        <w:rPr>
          <w:spacing w:val="-4"/>
        </w:rPr>
        <w:t> </w:t>
      </w:r>
      <w:r>
        <w:rPr/>
        <w:t>the</w:t>
      </w:r>
      <w:r>
        <w:rPr>
          <w:spacing w:val="-4"/>
        </w:rPr>
        <w:t> </w:t>
      </w:r>
      <w:r>
        <w:rPr/>
        <w:t>College</w:t>
      </w:r>
      <w:r>
        <w:rPr>
          <w:spacing w:val="-4"/>
        </w:rPr>
        <w:t> </w:t>
      </w:r>
      <w:r>
        <w:rPr/>
        <w:t>have</w:t>
      </w:r>
      <w:r>
        <w:rPr>
          <w:spacing w:val="-4"/>
        </w:rPr>
        <w:t> </w:t>
      </w:r>
      <w:r>
        <w:rPr/>
        <w:t>created</w:t>
      </w:r>
      <w:r>
        <w:rPr>
          <w:spacing w:val="-4"/>
        </w:rPr>
        <w:t> </w:t>
      </w:r>
      <w:r>
        <w:rPr/>
        <w:t>a</w:t>
      </w:r>
      <w:r>
        <w:rPr>
          <w:spacing w:val="-4"/>
        </w:rPr>
        <w:t> </w:t>
      </w:r>
      <w:r>
        <w:rPr/>
        <w:t>sustainability</w:t>
      </w:r>
      <w:r>
        <w:rPr>
          <w:spacing w:val="-3"/>
        </w:rPr>
        <w:t> </w:t>
      </w:r>
      <w:r>
        <w:rPr/>
        <w:t>and</w:t>
      </w:r>
      <w:r>
        <w:rPr>
          <w:spacing w:val="-2"/>
        </w:rPr>
        <w:t> </w:t>
      </w:r>
      <w:r>
        <w:rPr/>
        <w:t>low</w:t>
      </w:r>
      <w:r>
        <w:rPr>
          <w:spacing w:val="-4"/>
        </w:rPr>
        <w:t> </w:t>
      </w:r>
      <w:r>
        <w:rPr/>
        <w:t>carbon</w:t>
      </w:r>
      <w:r>
        <w:rPr>
          <w:spacing w:val="-4"/>
        </w:rPr>
        <w:t> </w:t>
      </w:r>
      <w:r>
        <w:rPr/>
        <w:t>strategy.</w:t>
      </w:r>
      <w:r>
        <w:rPr>
          <w:spacing w:val="-4"/>
        </w:rPr>
        <w:t> </w:t>
      </w:r>
      <w:r>
        <w:rPr/>
        <w:t>The</w:t>
      </w:r>
      <w:r>
        <w:rPr>
          <w:spacing w:val="-4"/>
        </w:rPr>
        <w:t> </w:t>
      </w:r>
      <w:r>
        <w:rPr/>
        <w:t>main targets over the next 5 years include:</w:t>
      </w:r>
    </w:p>
    <w:p>
      <w:pPr>
        <w:pStyle w:val="BodyText"/>
        <w:spacing w:before="2"/>
      </w:pPr>
    </w:p>
    <w:p>
      <w:pPr>
        <w:pStyle w:val="ListParagraph"/>
        <w:numPr>
          <w:ilvl w:val="0"/>
          <w:numId w:val="4"/>
        </w:numPr>
        <w:tabs>
          <w:tab w:pos="1134" w:val="left" w:leader="none"/>
        </w:tabs>
        <w:spacing w:line="244" w:lineRule="exact" w:before="0" w:after="0"/>
        <w:ind w:left="1134" w:right="0" w:hanging="282"/>
        <w:jc w:val="left"/>
        <w:rPr>
          <w:rFonts w:ascii="Symbol" w:hAnsi="Symbol"/>
          <w:sz w:val="20"/>
        </w:rPr>
      </w:pPr>
      <w:r>
        <w:rPr>
          <w:sz w:val="20"/>
        </w:rPr>
        <w:t>To</w:t>
      </w:r>
      <w:r>
        <w:rPr>
          <w:spacing w:val="-8"/>
          <w:sz w:val="20"/>
        </w:rPr>
        <w:t> </w:t>
      </w:r>
      <w:r>
        <w:rPr>
          <w:sz w:val="20"/>
        </w:rPr>
        <w:t>establish</w:t>
      </w:r>
      <w:r>
        <w:rPr>
          <w:spacing w:val="-5"/>
          <w:sz w:val="20"/>
        </w:rPr>
        <w:t> </w:t>
      </w:r>
      <w:r>
        <w:rPr>
          <w:sz w:val="20"/>
        </w:rPr>
        <w:t>the</w:t>
      </w:r>
      <w:r>
        <w:rPr>
          <w:spacing w:val="-7"/>
          <w:sz w:val="20"/>
        </w:rPr>
        <w:t> </w:t>
      </w:r>
      <w:r>
        <w:rPr>
          <w:sz w:val="20"/>
        </w:rPr>
        <w:t>current</w:t>
      </w:r>
      <w:r>
        <w:rPr>
          <w:spacing w:val="-7"/>
          <w:sz w:val="20"/>
        </w:rPr>
        <w:t> </w:t>
      </w:r>
      <w:r>
        <w:rPr>
          <w:sz w:val="20"/>
        </w:rPr>
        <w:t>carbon</w:t>
      </w:r>
      <w:r>
        <w:rPr>
          <w:spacing w:val="-6"/>
          <w:sz w:val="20"/>
        </w:rPr>
        <w:t> </w:t>
      </w:r>
      <w:r>
        <w:rPr>
          <w:sz w:val="20"/>
        </w:rPr>
        <w:t>emissions</w:t>
      </w:r>
      <w:r>
        <w:rPr>
          <w:spacing w:val="-6"/>
          <w:sz w:val="20"/>
        </w:rPr>
        <w:t> </w:t>
      </w:r>
      <w:r>
        <w:rPr>
          <w:sz w:val="20"/>
        </w:rPr>
        <w:t>and</w:t>
      </w:r>
      <w:r>
        <w:rPr>
          <w:spacing w:val="-7"/>
          <w:sz w:val="20"/>
        </w:rPr>
        <w:t> </w:t>
      </w:r>
      <w:r>
        <w:rPr>
          <w:spacing w:val="-2"/>
          <w:sz w:val="20"/>
        </w:rPr>
        <w:t>footprint.</w:t>
      </w:r>
    </w:p>
    <w:p>
      <w:pPr>
        <w:pStyle w:val="ListParagraph"/>
        <w:numPr>
          <w:ilvl w:val="0"/>
          <w:numId w:val="4"/>
        </w:numPr>
        <w:tabs>
          <w:tab w:pos="1134" w:val="left" w:leader="none"/>
        </w:tabs>
        <w:spacing w:line="242" w:lineRule="exact" w:before="0" w:after="0"/>
        <w:ind w:left="1134" w:right="0" w:hanging="282"/>
        <w:jc w:val="left"/>
        <w:rPr>
          <w:rFonts w:ascii="Symbol" w:hAnsi="Symbol"/>
          <w:sz w:val="20"/>
        </w:rPr>
      </w:pPr>
      <w:r>
        <w:rPr>
          <w:sz w:val="20"/>
        </w:rPr>
        <w:t>Reduce</w:t>
      </w:r>
      <w:r>
        <w:rPr>
          <w:spacing w:val="-4"/>
          <w:sz w:val="20"/>
        </w:rPr>
        <w:t> </w:t>
      </w:r>
      <w:r>
        <w:rPr>
          <w:sz w:val="20"/>
        </w:rPr>
        <w:t>its</w:t>
      </w:r>
      <w:r>
        <w:rPr>
          <w:spacing w:val="-5"/>
          <w:sz w:val="20"/>
        </w:rPr>
        <w:t> </w:t>
      </w:r>
      <w:r>
        <w:rPr>
          <w:sz w:val="20"/>
        </w:rPr>
        <w:t>scope</w:t>
      </w:r>
      <w:r>
        <w:rPr>
          <w:spacing w:val="-4"/>
          <w:sz w:val="20"/>
        </w:rPr>
        <w:t> </w:t>
      </w:r>
      <w:r>
        <w:rPr>
          <w:sz w:val="20"/>
        </w:rPr>
        <w:t>1</w:t>
      </w:r>
      <w:r>
        <w:rPr>
          <w:spacing w:val="-6"/>
          <w:sz w:val="20"/>
        </w:rPr>
        <w:t> </w:t>
      </w:r>
      <w:r>
        <w:rPr>
          <w:sz w:val="20"/>
        </w:rPr>
        <w:t>and</w:t>
      </w:r>
      <w:r>
        <w:rPr>
          <w:spacing w:val="-4"/>
          <w:sz w:val="20"/>
        </w:rPr>
        <w:t> </w:t>
      </w:r>
      <w:r>
        <w:rPr>
          <w:sz w:val="20"/>
        </w:rPr>
        <w:t>2</w:t>
      </w:r>
      <w:r>
        <w:rPr>
          <w:spacing w:val="-5"/>
          <w:sz w:val="20"/>
        </w:rPr>
        <w:t> </w:t>
      </w:r>
      <w:r>
        <w:rPr>
          <w:sz w:val="20"/>
        </w:rPr>
        <w:t>carbon</w:t>
      </w:r>
      <w:r>
        <w:rPr>
          <w:spacing w:val="-4"/>
          <w:sz w:val="20"/>
        </w:rPr>
        <w:t> </w:t>
      </w:r>
      <w:r>
        <w:rPr>
          <w:sz w:val="20"/>
        </w:rPr>
        <w:t>emissions</w:t>
      </w:r>
      <w:r>
        <w:rPr>
          <w:spacing w:val="-5"/>
          <w:sz w:val="20"/>
        </w:rPr>
        <w:t> </w:t>
      </w:r>
      <w:r>
        <w:rPr>
          <w:sz w:val="20"/>
        </w:rPr>
        <w:t>by</w:t>
      </w:r>
      <w:r>
        <w:rPr>
          <w:spacing w:val="-5"/>
          <w:sz w:val="20"/>
        </w:rPr>
        <w:t> </w:t>
      </w:r>
      <w:r>
        <w:rPr>
          <w:sz w:val="20"/>
        </w:rPr>
        <w:t>30%</w:t>
      </w:r>
      <w:r>
        <w:rPr>
          <w:spacing w:val="-4"/>
          <w:sz w:val="20"/>
        </w:rPr>
        <w:t> </w:t>
      </w:r>
      <w:r>
        <w:rPr>
          <w:sz w:val="20"/>
        </w:rPr>
        <w:t>by</w:t>
      </w:r>
      <w:r>
        <w:rPr>
          <w:spacing w:val="-3"/>
          <w:sz w:val="20"/>
        </w:rPr>
        <w:t> </w:t>
      </w:r>
      <w:r>
        <w:rPr>
          <w:spacing w:val="-2"/>
          <w:sz w:val="20"/>
        </w:rPr>
        <w:t>2028.</w:t>
      </w:r>
    </w:p>
    <w:p>
      <w:pPr>
        <w:pStyle w:val="ListParagraph"/>
        <w:numPr>
          <w:ilvl w:val="0"/>
          <w:numId w:val="4"/>
        </w:numPr>
        <w:tabs>
          <w:tab w:pos="1134" w:val="left" w:leader="none"/>
        </w:tabs>
        <w:spacing w:line="244" w:lineRule="exact" w:before="0" w:after="0"/>
        <w:ind w:left="1134" w:right="0" w:hanging="282"/>
        <w:jc w:val="left"/>
        <w:rPr>
          <w:rFonts w:ascii="Symbol" w:hAnsi="Symbol"/>
          <w:sz w:val="20"/>
        </w:rPr>
      </w:pPr>
      <w:r>
        <w:rPr>
          <w:sz w:val="20"/>
        </w:rPr>
        <w:t>Implement</w:t>
      </w:r>
      <w:r>
        <w:rPr>
          <w:spacing w:val="-7"/>
          <w:sz w:val="20"/>
        </w:rPr>
        <w:t> </w:t>
      </w:r>
      <w:r>
        <w:rPr>
          <w:sz w:val="20"/>
        </w:rPr>
        <w:t>the</w:t>
      </w:r>
      <w:r>
        <w:rPr>
          <w:spacing w:val="-4"/>
          <w:sz w:val="20"/>
        </w:rPr>
        <w:t> </w:t>
      </w:r>
      <w:r>
        <w:rPr>
          <w:sz w:val="20"/>
        </w:rPr>
        <w:t>AoC</w:t>
      </w:r>
      <w:r>
        <w:rPr>
          <w:spacing w:val="-4"/>
          <w:sz w:val="20"/>
        </w:rPr>
        <w:t> </w:t>
      </w:r>
      <w:r>
        <w:rPr>
          <w:sz w:val="20"/>
        </w:rPr>
        <w:t>Climate</w:t>
      </w:r>
      <w:r>
        <w:rPr>
          <w:spacing w:val="-5"/>
          <w:sz w:val="20"/>
        </w:rPr>
        <w:t> </w:t>
      </w:r>
      <w:r>
        <w:rPr>
          <w:sz w:val="20"/>
        </w:rPr>
        <w:t>Action</w:t>
      </w:r>
      <w:r>
        <w:rPr>
          <w:spacing w:val="-6"/>
          <w:sz w:val="20"/>
        </w:rPr>
        <w:t> </w:t>
      </w:r>
      <w:r>
        <w:rPr>
          <w:sz w:val="20"/>
        </w:rPr>
        <w:t>Roadmap</w:t>
      </w:r>
      <w:r>
        <w:rPr>
          <w:spacing w:val="-4"/>
          <w:sz w:val="20"/>
        </w:rPr>
        <w:t> </w:t>
      </w:r>
      <w:r>
        <w:rPr>
          <w:sz w:val="20"/>
        </w:rPr>
        <w:t>by</w:t>
      </w:r>
      <w:r>
        <w:rPr>
          <w:spacing w:val="-6"/>
          <w:sz w:val="20"/>
        </w:rPr>
        <w:t> </w:t>
      </w:r>
      <w:r>
        <w:rPr>
          <w:sz w:val="20"/>
        </w:rPr>
        <w:t>the</w:t>
      </w:r>
      <w:r>
        <w:rPr>
          <w:spacing w:val="-5"/>
          <w:sz w:val="20"/>
        </w:rPr>
        <w:t> </w:t>
      </w:r>
      <w:r>
        <w:rPr>
          <w:sz w:val="20"/>
        </w:rPr>
        <w:t>end</w:t>
      </w:r>
      <w:r>
        <w:rPr>
          <w:spacing w:val="-6"/>
          <w:sz w:val="20"/>
        </w:rPr>
        <w:t> </w:t>
      </w:r>
      <w:r>
        <w:rPr>
          <w:sz w:val="20"/>
        </w:rPr>
        <w:t>of</w:t>
      </w:r>
      <w:r>
        <w:rPr>
          <w:spacing w:val="-4"/>
          <w:sz w:val="20"/>
        </w:rPr>
        <w:t> </w:t>
      </w:r>
      <w:r>
        <w:rPr>
          <w:spacing w:val="-2"/>
          <w:sz w:val="20"/>
        </w:rPr>
        <w:t>2023/2024.</w:t>
      </w:r>
    </w:p>
    <w:p>
      <w:pPr>
        <w:pStyle w:val="ListParagraph"/>
        <w:numPr>
          <w:ilvl w:val="0"/>
          <w:numId w:val="4"/>
        </w:numPr>
        <w:tabs>
          <w:tab w:pos="1134" w:val="left" w:leader="none"/>
        </w:tabs>
        <w:spacing w:line="240" w:lineRule="auto" w:before="0" w:after="0"/>
        <w:ind w:left="1134" w:right="0" w:hanging="282"/>
        <w:jc w:val="left"/>
        <w:rPr>
          <w:rFonts w:ascii="Symbol" w:hAnsi="Symbol"/>
          <w:sz w:val="20"/>
        </w:rPr>
      </w:pPr>
      <w:r>
        <w:rPr>
          <w:sz w:val="20"/>
        </w:rPr>
        <w:t>Establish</w:t>
      </w:r>
      <w:r>
        <w:rPr>
          <w:spacing w:val="-7"/>
          <w:sz w:val="20"/>
        </w:rPr>
        <w:t> </w:t>
      </w:r>
      <w:r>
        <w:rPr>
          <w:sz w:val="20"/>
        </w:rPr>
        <w:t>a</w:t>
      </w:r>
      <w:r>
        <w:rPr>
          <w:spacing w:val="-9"/>
          <w:sz w:val="20"/>
        </w:rPr>
        <w:t> </w:t>
      </w:r>
      <w:r>
        <w:rPr>
          <w:sz w:val="20"/>
        </w:rPr>
        <w:t>sustainability</w:t>
      </w:r>
      <w:r>
        <w:rPr>
          <w:spacing w:val="-7"/>
          <w:sz w:val="20"/>
        </w:rPr>
        <w:t> </w:t>
      </w:r>
      <w:r>
        <w:rPr>
          <w:sz w:val="20"/>
        </w:rPr>
        <w:t>Committee</w:t>
      </w:r>
      <w:r>
        <w:rPr>
          <w:spacing w:val="-9"/>
          <w:sz w:val="20"/>
        </w:rPr>
        <w:t> </w:t>
      </w:r>
      <w:r>
        <w:rPr>
          <w:sz w:val="20"/>
        </w:rPr>
        <w:t>in</w:t>
      </w:r>
      <w:r>
        <w:rPr>
          <w:spacing w:val="-8"/>
          <w:sz w:val="20"/>
        </w:rPr>
        <w:t> </w:t>
      </w:r>
      <w:r>
        <w:rPr>
          <w:spacing w:val="-2"/>
          <w:sz w:val="20"/>
        </w:rPr>
        <w:t>2023/2024.</w:t>
      </w:r>
    </w:p>
    <w:p>
      <w:pPr>
        <w:pStyle w:val="BodyText"/>
        <w:spacing w:before="43"/>
      </w:pPr>
    </w:p>
    <w:p>
      <w:pPr>
        <w:pStyle w:val="Heading3"/>
        <w:jc w:val="both"/>
      </w:pPr>
      <w:r>
        <w:rPr/>
        <w:t>Disclosure</w:t>
      </w:r>
      <w:r>
        <w:rPr>
          <w:spacing w:val="-4"/>
        </w:rPr>
        <w:t> </w:t>
      </w:r>
      <w:r>
        <w:rPr/>
        <w:t>of</w:t>
      </w:r>
      <w:r>
        <w:rPr>
          <w:spacing w:val="-4"/>
        </w:rPr>
        <w:t> </w:t>
      </w:r>
      <w:r>
        <w:rPr/>
        <w:t>information</w:t>
      </w:r>
      <w:r>
        <w:rPr>
          <w:spacing w:val="-4"/>
        </w:rPr>
        <w:t> </w:t>
      </w:r>
      <w:r>
        <w:rPr/>
        <w:t>to</w:t>
      </w:r>
      <w:r>
        <w:rPr>
          <w:spacing w:val="-4"/>
        </w:rPr>
        <w:t> </w:t>
      </w:r>
      <w:r>
        <w:rPr>
          <w:spacing w:val="-2"/>
        </w:rPr>
        <w:t>auditors</w:t>
      </w:r>
    </w:p>
    <w:p>
      <w:pPr>
        <w:pStyle w:val="BodyText"/>
        <w:spacing w:before="230"/>
        <w:ind w:left="852" w:right="1085"/>
        <w:jc w:val="both"/>
      </w:pPr>
      <w:r>
        <w:rPr/>
        <w:t>The members who held office at the date of approval of this report confirm that, so far as they are each</w:t>
      </w:r>
      <w:r>
        <w:rPr>
          <w:spacing w:val="-8"/>
        </w:rPr>
        <w:t> </w:t>
      </w:r>
      <w:r>
        <w:rPr/>
        <w:t>aware,</w:t>
      </w:r>
      <w:r>
        <w:rPr>
          <w:spacing w:val="-6"/>
        </w:rPr>
        <w:t> </w:t>
      </w:r>
      <w:r>
        <w:rPr/>
        <w:t>there</w:t>
      </w:r>
      <w:r>
        <w:rPr>
          <w:spacing w:val="-7"/>
        </w:rPr>
        <w:t> </w:t>
      </w:r>
      <w:r>
        <w:rPr/>
        <w:t>is</w:t>
      </w:r>
      <w:r>
        <w:rPr>
          <w:spacing w:val="-7"/>
        </w:rPr>
        <w:t> </w:t>
      </w:r>
      <w:r>
        <w:rPr/>
        <w:t>no</w:t>
      </w:r>
      <w:r>
        <w:rPr>
          <w:spacing w:val="-8"/>
        </w:rPr>
        <w:t> </w:t>
      </w:r>
      <w:r>
        <w:rPr/>
        <w:t>relevant</w:t>
      </w:r>
      <w:r>
        <w:rPr>
          <w:spacing w:val="-9"/>
        </w:rPr>
        <w:t> </w:t>
      </w:r>
      <w:r>
        <w:rPr/>
        <w:t>audit</w:t>
      </w:r>
      <w:r>
        <w:rPr>
          <w:spacing w:val="-6"/>
        </w:rPr>
        <w:t> </w:t>
      </w:r>
      <w:r>
        <w:rPr/>
        <w:t>information</w:t>
      </w:r>
      <w:r>
        <w:rPr>
          <w:spacing w:val="-7"/>
        </w:rPr>
        <w:t> </w:t>
      </w:r>
      <w:r>
        <w:rPr/>
        <w:t>of</w:t>
      </w:r>
      <w:r>
        <w:rPr>
          <w:spacing w:val="-8"/>
        </w:rPr>
        <w:t> </w:t>
      </w:r>
      <w:r>
        <w:rPr/>
        <w:t>which</w:t>
      </w:r>
      <w:r>
        <w:rPr>
          <w:spacing w:val="-9"/>
        </w:rPr>
        <w:t> </w:t>
      </w:r>
      <w:r>
        <w:rPr/>
        <w:t>the</w:t>
      </w:r>
      <w:r>
        <w:rPr>
          <w:spacing w:val="-8"/>
        </w:rPr>
        <w:t> </w:t>
      </w:r>
      <w:r>
        <w:rPr/>
        <w:t>College’s</w:t>
      </w:r>
      <w:r>
        <w:rPr>
          <w:spacing w:val="-7"/>
        </w:rPr>
        <w:t> </w:t>
      </w:r>
      <w:r>
        <w:rPr/>
        <w:t>auditors</w:t>
      </w:r>
      <w:r>
        <w:rPr>
          <w:spacing w:val="-7"/>
        </w:rPr>
        <w:t> </w:t>
      </w:r>
      <w:r>
        <w:rPr/>
        <w:t>are</w:t>
      </w:r>
      <w:r>
        <w:rPr>
          <w:spacing w:val="-8"/>
        </w:rPr>
        <w:t> </w:t>
      </w:r>
      <w:r>
        <w:rPr/>
        <w:t>unaware;</w:t>
      </w:r>
      <w:r>
        <w:rPr>
          <w:spacing w:val="-6"/>
        </w:rPr>
        <w:t> </w:t>
      </w:r>
      <w:r>
        <w:rPr/>
        <w:t>and each</w:t>
      </w:r>
      <w:r>
        <w:rPr>
          <w:spacing w:val="-10"/>
        </w:rPr>
        <w:t> </w:t>
      </w:r>
      <w:r>
        <w:rPr/>
        <w:t>member</w:t>
      </w:r>
      <w:r>
        <w:rPr>
          <w:spacing w:val="-9"/>
        </w:rPr>
        <w:t> </w:t>
      </w:r>
      <w:r>
        <w:rPr/>
        <w:t>has</w:t>
      </w:r>
      <w:r>
        <w:rPr>
          <w:spacing w:val="-9"/>
        </w:rPr>
        <w:t> </w:t>
      </w:r>
      <w:r>
        <w:rPr/>
        <w:t>taken</w:t>
      </w:r>
      <w:r>
        <w:rPr>
          <w:spacing w:val="-10"/>
        </w:rPr>
        <w:t> </w:t>
      </w:r>
      <w:r>
        <w:rPr/>
        <w:t>all</w:t>
      </w:r>
      <w:r>
        <w:rPr>
          <w:spacing w:val="-6"/>
        </w:rPr>
        <w:t> </w:t>
      </w:r>
      <w:r>
        <w:rPr/>
        <w:t>the</w:t>
      </w:r>
      <w:r>
        <w:rPr>
          <w:spacing w:val="-10"/>
        </w:rPr>
        <w:t> </w:t>
      </w:r>
      <w:r>
        <w:rPr/>
        <w:t>steps</w:t>
      </w:r>
      <w:r>
        <w:rPr>
          <w:spacing w:val="-9"/>
        </w:rPr>
        <w:t> </w:t>
      </w:r>
      <w:r>
        <w:rPr/>
        <w:t>that</w:t>
      </w:r>
      <w:r>
        <w:rPr>
          <w:spacing w:val="-10"/>
        </w:rPr>
        <w:t> </w:t>
      </w:r>
      <w:r>
        <w:rPr/>
        <w:t>he</w:t>
      </w:r>
      <w:r>
        <w:rPr>
          <w:spacing w:val="-10"/>
        </w:rPr>
        <w:t> </w:t>
      </w:r>
      <w:r>
        <w:rPr/>
        <w:t>or</w:t>
      </w:r>
      <w:r>
        <w:rPr>
          <w:spacing w:val="-9"/>
        </w:rPr>
        <w:t> </w:t>
      </w:r>
      <w:r>
        <w:rPr/>
        <w:t>she</w:t>
      </w:r>
      <w:r>
        <w:rPr>
          <w:spacing w:val="-8"/>
        </w:rPr>
        <w:t> </w:t>
      </w:r>
      <w:r>
        <w:rPr/>
        <w:t>ought</w:t>
      </w:r>
      <w:r>
        <w:rPr>
          <w:spacing w:val="-10"/>
        </w:rPr>
        <w:t> </w:t>
      </w:r>
      <w:r>
        <w:rPr/>
        <w:t>to</w:t>
      </w:r>
      <w:r>
        <w:rPr>
          <w:spacing w:val="-8"/>
        </w:rPr>
        <w:t> </w:t>
      </w:r>
      <w:r>
        <w:rPr/>
        <w:t>have</w:t>
      </w:r>
      <w:r>
        <w:rPr>
          <w:spacing w:val="-8"/>
        </w:rPr>
        <w:t> </w:t>
      </w:r>
      <w:r>
        <w:rPr/>
        <w:t>taken</w:t>
      </w:r>
      <w:r>
        <w:rPr>
          <w:spacing w:val="-10"/>
        </w:rPr>
        <w:t> </w:t>
      </w:r>
      <w:r>
        <w:rPr/>
        <w:t>to</w:t>
      </w:r>
      <w:r>
        <w:rPr>
          <w:spacing w:val="-8"/>
        </w:rPr>
        <w:t> </w:t>
      </w:r>
      <w:r>
        <w:rPr/>
        <w:t>be</w:t>
      </w:r>
      <w:r>
        <w:rPr>
          <w:spacing w:val="-8"/>
        </w:rPr>
        <w:t> </w:t>
      </w:r>
      <w:r>
        <w:rPr/>
        <w:t>aware</w:t>
      </w:r>
      <w:r>
        <w:rPr>
          <w:spacing w:val="-10"/>
        </w:rPr>
        <w:t> </w:t>
      </w:r>
      <w:r>
        <w:rPr/>
        <w:t>of</w:t>
      </w:r>
      <w:r>
        <w:rPr>
          <w:spacing w:val="-8"/>
        </w:rPr>
        <w:t> </w:t>
      </w:r>
      <w:r>
        <w:rPr/>
        <w:t>any</w:t>
      </w:r>
      <w:r>
        <w:rPr>
          <w:spacing w:val="-9"/>
        </w:rPr>
        <w:t> </w:t>
      </w:r>
      <w:r>
        <w:rPr/>
        <w:t>relevant audit information and to establish that the College’s auditors are aware of that information.</w:t>
      </w:r>
    </w:p>
    <w:p>
      <w:pPr>
        <w:pStyle w:val="BodyText"/>
      </w:pPr>
    </w:p>
    <w:p>
      <w:pPr>
        <w:pStyle w:val="BodyText"/>
        <w:ind w:left="852" w:right="1088"/>
        <w:jc w:val="both"/>
      </w:pPr>
      <w:r>
        <w:rPr/>
        <w:t>Approved</w:t>
      </w:r>
      <w:r>
        <w:rPr>
          <w:spacing w:val="-11"/>
        </w:rPr>
        <w:t> </w:t>
      </w:r>
      <w:r>
        <w:rPr/>
        <w:t>by</w:t>
      </w:r>
      <w:r>
        <w:rPr>
          <w:spacing w:val="-10"/>
        </w:rPr>
        <w:t> </w:t>
      </w:r>
      <w:r>
        <w:rPr/>
        <w:t>order</w:t>
      </w:r>
      <w:r>
        <w:rPr>
          <w:spacing w:val="-10"/>
        </w:rPr>
        <w:t> </w:t>
      </w:r>
      <w:r>
        <w:rPr/>
        <w:t>of</w:t>
      </w:r>
      <w:r>
        <w:rPr>
          <w:spacing w:val="-11"/>
        </w:rPr>
        <w:t> </w:t>
      </w:r>
      <w:r>
        <w:rPr/>
        <w:t>the</w:t>
      </w:r>
      <w:r>
        <w:rPr>
          <w:spacing w:val="-11"/>
        </w:rPr>
        <w:t> </w:t>
      </w:r>
      <w:r>
        <w:rPr/>
        <w:t>members</w:t>
      </w:r>
      <w:r>
        <w:rPr>
          <w:spacing w:val="-10"/>
        </w:rPr>
        <w:t> </w:t>
      </w:r>
      <w:r>
        <w:rPr/>
        <w:t>of</w:t>
      </w:r>
      <w:r>
        <w:rPr>
          <w:spacing w:val="-11"/>
        </w:rPr>
        <w:t> </w:t>
      </w:r>
      <w:r>
        <w:rPr/>
        <w:t>the</w:t>
      </w:r>
      <w:r>
        <w:rPr>
          <w:spacing w:val="-11"/>
        </w:rPr>
        <w:t> </w:t>
      </w:r>
      <w:r>
        <w:rPr/>
        <w:t>Corporation</w:t>
      </w:r>
      <w:r>
        <w:rPr>
          <w:spacing w:val="-9"/>
        </w:rPr>
        <w:t> </w:t>
      </w:r>
      <w:r>
        <w:rPr/>
        <w:t>on</w:t>
      </w:r>
      <w:r>
        <w:rPr>
          <w:spacing w:val="-11"/>
        </w:rPr>
        <w:t> </w:t>
      </w:r>
      <w:r>
        <w:rPr/>
        <w:t>27</w:t>
      </w:r>
      <w:r>
        <w:rPr>
          <w:spacing w:val="-11"/>
        </w:rPr>
        <w:t> </w:t>
      </w:r>
      <w:r>
        <w:rPr/>
        <w:t>February</w:t>
      </w:r>
      <w:r>
        <w:rPr>
          <w:spacing w:val="-10"/>
        </w:rPr>
        <w:t> </w:t>
      </w:r>
      <w:r>
        <w:rPr/>
        <w:t>2024</w:t>
      </w:r>
      <w:r>
        <w:rPr>
          <w:spacing w:val="-11"/>
        </w:rPr>
        <w:t> </w:t>
      </w:r>
      <w:r>
        <w:rPr/>
        <w:t>and</w:t>
      </w:r>
      <w:r>
        <w:rPr>
          <w:spacing w:val="-11"/>
        </w:rPr>
        <w:t> </w:t>
      </w:r>
      <w:r>
        <w:rPr/>
        <w:t>signed</w:t>
      </w:r>
      <w:r>
        <w:rPr>
          <w:spacing w:val="-9"/>
        </w:rPr>
        <w:t> </w:t>
      </w:r>
      <w:r>
        <w:rPr/>
        <w:t>on</w:t>
      </w:r>
      <w:r>
        <w:rPr>
          <w:spacing w:val="-11"/>
        </w:rPr>
        <w:t> </w:t>
      </w:r>
      <w:r>
        <w:rPr/>
        <w:t>its</w:t>
      </w:r>
      <w:r>
        <w:rPr>
          <w:spacing w:val="-10"/>
        </w:rPr>
        <w:t> </w:t>
      </w:r>
      <w:r>
        <w:rPr/>
        <w:t>behalf </w:t>
      </w:r>
      <w:r>
        <w:rPr>
          <w:spacing w:val="-4"/>
        </w:rPr>
        <w:t>by:</w:t>
      </w:r>
    </w:p>
    <w:p>
      <w:pPr>
        <w:pStyle w:val="BodyText"/>
        <w:rPr>
          <w:sz w:val="18"/>
        </w:rPr>
      </w:pPr>
      <w:r>
        <w:rPr>
          <w:sz w:val="18"/>
        </w:rPr>
        <w:drawing>
          <wp:anchor distT="0" distB="0" distL="0" distR="0" allowOverlap="1" layoutInCell="1" locked="0" behindDoc="1" simplePos="0" relativeHeight="487589888">
            <wp:simplePos x="0" y="0"/>
            <wp:positionH relativeFrom="page">
              <wp:posOffset>900430</wp:posOffset>
            </wp:positionH>
            <wp:positionV relativeFrom="paragraph">
              <wp:posOffset>146902</wp:posOffset>
            </wp:positionV>
            <wp:extent cx="1212973" cy="372903"/>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16" cstate="print"/>
                    <a:stretch>
                      <a:fillRect/>
                    </a:stretch>
                  </pic:blipFill>
                  <pic:spPr>
                    <a:xfrm>
                      <a:off x="0" y="0"/>
                      <a:ext cx="1212973" cy="372903"/>
                    </a:xfrm>
                    <a:prstGeom prst="rect">
                      <a:avLst/>
                    </a:prstGeom>
                  </pic:spPr>
                </pic:pic>
              </a:graphicData>
            </a:graphic>
          </wp:anchor>
        </w:drawing>
      </w:r>
    </w:p>
    <w:p>
      <w:pPr>
        <w:pStyle w:val="BodyText"/>
      </w:pPr>
    </w:p>
    <w:p>
      <w:pPr>
        <w:pStyle w:val="BodyText"/>
        <w:spacing w:before="10"/>
      </w:pPr>
    </w:p>
    <w:p>
      <w:pPr>
        <w:pStyle w:val="Heading6"/>
        <w:spacing w:before="1"/>
        <w:ind w:right="8333"/>
        <w:jc w:val="left"/>
      </w:pPr>
      <w:r>
        <w:rPr/>
        <w:t>Robert</w:t>
      </w:r>
      <w:r>
        <w:rPr>
          <w:spacing w:val="-14"/>
        </w:rPr>
        <w:t> </w:t>
      </w:r>
      <w:r>
        <w:rPr/>
        <w:t>Lawson </w:t>
      </w:r>
      <w:r>
        <w:rPr>
          <w:spacing w:val="-2"/>
        </w:rPr>
        <w:t>Chair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8"/>
        <w:rPr>
          <w:b/>
        </w:rPr>
      </w:pPr>
      <w:r>
        <w:rPr>
          <w:b/>
        </w:rPr>
        <mc:AlternateContent>
          <mc:Choice Requires="wps">
            <w:drawing>
              <wp:anchor distT="0" distB="0" distL="0" distR="0" allowOverlap="1" layoutInCell="1" locked="0" behindDoc="1" simplePos="0" relativeHeight="487590400">
                <wp:simplePos x="0" y="0"/>
                <wp:positionH relativeFrom="page">
                  <wp:posOffset>882396</wp:posOffset>
                </wp:positionH>
                <wp:positionV relativeFrom="paragraph">
                  <wp:posOffset>229891</wp:posOffset>
                </wp:positionV>
                <wp:extent cx="5556885"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18.101679pt;width:437.52pt;height:.48pt;mso-position-horizontal-relative:page;mso-position-vertical-relative:paragraph;z-index:-15726080;mso-wrap-distance-left:0;mso-wrap-distance-right:0" id="docshape22" filled="true" fillcolor="#000000" stroked="false">
                <v:fill type="solid"/>
                <w10:wrap type="topAndBottom"/>
              </v:rect>
            </w:pict>
          </mc:Fallback>
        </mc:AlternateContent>
      </w:r>
    </w:p>
    <w:p>
      <w:pPr>
        <w:pStyle w:val="BodyText"/>
        <w:spacing w:after="0"/>
        <w:rPr>
          <w:b/>
        </w:rPr>
        <w:sectPr>
          <w:headerReference w:type="default" r:id="rId14"/>
          <w:footerReference w:type="default" r:id="rId15"/>
          <w:pgSz w:w="11910" w:h="16850"/>
          <w:pgMar w:header="727" w:footer="444" w:top="1520" w:bottom="640" w:left="566" w:right="708"/>
        </w:sectPr>
      </w:pPr>
    </w:p>
    <w:p>
      <w:pPr>
        <w:pStyle w:val="BodyText"/>
        <w:rPr>
          <w:b/>
          <w:sz w:val="24"/>
        </w:rPr>
      </w:pPr>
    </w:p>
    <w:p>
      <w:pPr>
        <w:pStyle w:val="Heading2"/>
      </w:pPr>
      <w:bookmarkStart w:name="_TOC_250002" w:id="4"/>
      <w:r>
        <w:rPr/>
        <w:t>STATEMENT</w:t>
      </w:r>
      <w:r>
        <w:rPr>
          <w:spacing w:val="-4"/>
        </w:rPr>
        <w:t> </w:t>
      </w:r>
      <w:r>
        <w:rPr/>
        <w:t>OF</w:t>
      </w:r>
      <w:r>
        <w:rPr>
          <w:spacing w:val="-3"/>
        </w:rPr>
        <w:t> </w:t>
      </w:r>
      <w:r>
        <w:rPr/>
        <w:t>CORPORATE</w:t>
      </w:r>
      <w:r>
        <w:rPr>
          <w:spacing w:val="-3"/>
        </w:rPr>
        <w:t> </w:t>
      </w:r>
      <w:r>
        <w:rPr/>
        <w:t>GOVERNANCE</w:t>
      </w:r>
      <w:r>
        <w:rPr>
          <w:spacing w:val="-3"/>
        </w:rPr>
        <w:t> </w:t>
      </w:r>
      <w:r>
        <w:rPr/>
        <w:t>AND</w:t>
      </w:r>
      <w:r>
        <w:rPr>
          <w:spacing w:val="-3"/>
        </w:rPr>
        <w:t> </w:t>
      </w:r>
      <w:r>
        <w:rPr/>
        <w:t>INTERNAL</w:t>
      </w:r>
      <w:r>
        <w:rPr>
          <w:spacing w:val="-3"/>
        </w:rPr>
        <w:t> </w:t>
      </w:r>
      <w:bookmarkEnd w:id="4"/>
      <w:r>
        <w:rPr>
          <w:spacing w:val="-2"/>
        </w:rPr>
        <w:t>CONTROL</w:t>
      </w:r>
    </w:p>
    <w:p>
      <w:pPr>
        <w:pStyle w:val="BodyText"/>
        <w:spacing w:before="45"/>
        <w:rPr>
          <w:b/>
        </w:rPr>
      </w:pPr>
    </w:p>
    <w:p>
      <w:pPr>
        <w:pStyle w:val="BodyText"/>
        <w:ind w:left="852" w:right="1086"/>
        <w:jc w:val="both"/>
      </w:pPr>
      <w:r>
        <w:rPr/>
        <w:t>The</w:t>
      </w:r>
      <w:r>
        <w:rPr>
          <w:spacing w:val="-8"/>
        </w:rPr>
        <w:t> </w:t>
      </w:r>
      <w:r>
        <w:rPr/>
        <w:t>following</w:t>
      </w:r>
      <w:r>
        <w:rPr>
          <w:spacing w:val="-7"/>
        </w:rPr>
        <w:t> </w:t>
      </w:r>
      <w:r>
        <w:rPr/>
        <w:t>statement</w:t>
      </w:r>
      <w:r>
        <w:rPr>
          <w:spacing w:val="-6"/>
        </w:rPr>
        <w:t> </w:t>
      </w:r>
      <w:r>
        <w:rPr/>
        <w:t>is</w:t>
      </w:r>
      <w:r>
        <w:rPr>
          <w:spacing w:val="-5"/>
        </w:rPr>
        <w:t> </w:t>
      </w:r>
      <w:r>
        <w:rPr/>
        <w:t>provided</w:t>
      </w:r>
      <w:r>
        <w:rPr>
          <w:spacing w:val="-8"/>
        </w:rPr>
        <w:t> </w:t>
      </w:r>
      <w:r>
        <w:rPr/>
        <w:t>to</w:t>
      </w:r>
      <w:r>
        <w:rPr>
          <w:spacing w:val="-8"/>
        </w:rPr>
        <w:t> </w:t>
      </w:r>
      <w:r>
        <w:rPr/>
        <w:t>enable</w:t>
      </w:r>
      <w:r>
        <w:rPr>
          <w:spacing w:val="-7"/>
        </w:rPr>
        <w:t> </w:t>
      </w:r>
      <w:r>
        <w:rPr/>
        <w:t>readers</w:t>
      </w:r>
      <w:r>
        <w:rPr>
          <w:spacing w:val="-5"/>
        </w:rPr>
        <w:t> </w:t>
      </w:r>
      <w:r>
        <w:rPr/>
        <w:t>of</w:t>
      </w:r>
      <w:r>
        <w:rPr>
          <w:spacing w:val="-8"/>
        </w:rPr>
        <w:t> </w:t>
      </w:r>
      <w:r>
        <w:rPr/>
        <w:t>the</w:t>
      </w:r>
      <w:r>
        <w:rPr>
          <w:spacing w:val="-6"/>
        </w:rPr>
        <w:t> </w:t>
      </w:r>
      <w:r>
        <w:rPr/>
        <w:t>annual</w:t>
      </w:r>
      <w:r>
        <w:rPr>
          <w:spacing w:val="-7"/>
        </w:rPr>
        <w:t> </w:t>
      </w:r>
      <w:r>
        <w:rPr/>
        <w:t>report</w:t>
      </w:r>
      <w:r>
        <w:rPr>
          <w:spacing w:val="-8"/>
        </w:rPr>
        <w:t> </w:t>
      </w:r>
      <w:r>
        <w:rPr/>
        <w:t>and</w:t>
      </w:r>
      <w:r>
        <w:rPr>
          <w:spacing w:val="-7"/>
        </w:rPr>
        <w:t> </w:t>
      </w:r>
      <w:r>
        <w:rPr/>
        <w:t>financial</w:t>
      </w:r>
      <w:r>
        <w:rPr>
          <w:spacing w:val="-9"/>
        </w:rPr>
        <w:t> </w:t>
      </w:r>
      <w:r>
        <w:rPr/>
        <w:t>statements of</w:t>
      </w:r>
      <w:r>
        <w:rPr>
          <w:spacing w:val="-11"/>
        </w:rPr>
        <w:t> </w:t>
      </w:r>
      <w:r>
        <w:rPr/>
        <w:t>the</w:t>
      </w:r>
      <w:r>
        <w:rPr>
          <w:spacing w:val="-11"/>
        </w:rPr>
        <w:t> </w:t>
      </w:r>
      <w:r>
        <w:rPr/>
        <w:t>College</w:t>
      </w:r>
      <w:r>
        <w:rPr>
          <w:spacing w:val="-11"/>
        </w:rPr>
        <w:t> </w:t>
      </w:r>
      <w:r>
        <w:rPr/>
        <w:t>to</w:t>
      </w:r>
      <w:r>
        <w:rPr>
          <w:spacing w:val="-11"/>
        </w:rPr>
        <w:t> </w:t>
      </w:r>
      <w:r>
        <w:rPr/>
        <w:t>obtain</w:t>
      </w:r>
      <w:r>
        <w:rPr>
          <w:spacing w:val="-11"/>
        </w:rPr>
        <w:t> </w:t>
      </w:r>
      <w:r>
        <w:rPr/>
        <w:t>a</w:t>
      </w:r>
      <w:r>
        <w:rPr>
          <w:spacing w:val="-11"/>
        </w:rPr>
        <w:t> </w:t>
      </w:r>
      <w:r>
        <w:rPr/>
        <w:t>better</w:t>
      </w:r>
      <w:r>
        <w:rPr>
          <w:spacing w:val="-10"/>
        </w:rPr>
        <w:t> </w:t>
      </w:r>
      <w:r>
        <w:rPr/>
        <w:t>understanding</w:t>
      </w:r>
      <w:r>
        <w:rPr>
          <w:spacing w:val="-11"/>
        </w:rPr>
        <w:t> </w:t>
      </w:r>
      <w:r>
        <w:rPr/>
        <w:t>of</w:t>
      </w:r>
      <w:r>
        <w:rPr>
          <w:spacing w:val="-11"/>
        </w:rPr>
        <w:t> </w:t>
      </w:r>
      <w:r>
        <w:rPr/>
        <w:t>its</w:t>
      </w:r>
      <w:r>
        <w:rPr>
          <w:spacing w:val="-10"/>
        </w:rPr>
        <w:t> </w:t>
      </w:r>
      <w:r>
        <w:rPr/>
        <w:t>governance</w:t>
      </w:r>
      <w:r>
        <w:rPr>
          <w:spacing w:val="-11"/>
        </w:rPr>
        <w:t> </w:t>
      </w:r>
      <w:r>
        <w:rPr/>
        <w:t>and</w:t>
      </w:r>
      <w:r>
        <w:rPr>
          <w:spacing w:val="-11"/>
        </w:rPr>
        <w:t> </w:t>
      </w:r>
      <w:r>
        <w:rPr/>
        <w:t>legal</w:t>
      </w:r>
      <w:r>
        <w:rPr>
          <w:spacing w:val="-12"/>
        </w:rPr>
        <w:t> </w:t>
      </w:r>
      <w:r>
        <w:rPr/>
        <w:t>structure.</w:t>
      </w:r>
      <w:r>
        <w:rPr>
          <w:spacing w:val="-9"/>
        </w:rPr>
        <w:t> </w:t>
      </w:r>
      <w:r>
        <w:rPr/>
        <w:t>This</w:t>
      </w:r>
      <w:r>
        <w:rPr>
          <w:spacing w:val="-10"/>
        </w:rPr>
        <w:t> </w:t>
      </w:r>
      <w:r>
        <w:rPr/>
        <w:t>statement covers</w:t>
      </w:r>
      <w:r>
        <w:rPr>
          <w:spacing w:val="-2"/>
        </w:rPr>
        <w:t> </w:t>
      </w:r>
      <w:r>
        <w:rPr/>
        <w:t>the</w:t>
      </w:r>
      <w:r>
        <w:rPr>
          <w:spacing w:val="-1"/>
        </w:rPr>
        <w:t> </w:t>
      </w:r>
      <w:r>
        <w:rPr/>
        <w:t>period</w:t>
      </w:r>
      <w:r>
        <w:rPr>
          <w:spacing w:val="-1"/>
        </w:rPr>
        <w:t> </w:t>
      </w:r>
      <w:r>
        <w:rPr/>
        <w:t>from</w:t>
      </w:r>
      <w:r>
        <w:rPr>
          <w:spacing w:val="-1"/>
        </w:rPr>
        <w:t> </w:t>
      </w:r>
      <w:r>
        <w:rPr/>
        <w:t>1</w:t>
      </w:r>
      <w:r>
        <w:rPr>
          <w:spacing w:val="-1"/>
        </w:rPr>
        <w:t> </w:t>
      </w:r>
      <w:r>
        <w:rPr/>
        <w:t>August</w:t>
      </w:r>
      <w:r>
        <w:rPr>
          <w:spacing w:val="-1"/>
        </w:rPr>
        <w:t> </w:t>
      </w:r>
      <w:r>
        <w:rPr/>
        <w:t>2022</w:t>
      </w:r>
      <w:r>
        <w:rPr>
          <w:spacing w:val="-1"/>
        </w:rPr>
        <w:t> </w:t>
      </w:r>
      <w:r>
        <w:rPr/>
        <w:t>to</w:t>
      </w:r>
      <w:r>
        <w:rPr>
          <w:spacing w:val="-1"/>
        </w:rPr>
        <w:t> </w:t>
      </w:r>
      <w:r>
        <w:rPr/>
        <w:t>31</w:t>
      </w:r>
      <w:r>
        <w:rPr>
          <w:spacing w:val="-1"/>
        </w:rPr>
        <w:t> </w:t>
      </w:r>
      <w:r>
        <w:rPr/>
        <w:t>July 2023</w:t>
      </w:r>
      <w:r>
        <w:rPr>
          <w:spacing w:val="-1"/>
        </w:rPr>
        <w:t> </w:t>
      </w:r>
      <w:r>
        <w:rPr/>
        <w:t>and</w:t>
      </w:r>
      <w:r>
        <w:rPr>
          <w:spacing w:val="-1"/>
        </w:rPr>
        <w:t> </w:t>
      </w:r>
      <w:r>
        <w:rPr/>
        <w:t>up</w:t>
      </w:r>
      <w:r>
        <w:rPr>
          <w:spacing w:val="-1"/>
        </w:rPr>
        <w:t> </w:t>
      </w:r>
      <w:r>
        <w:rPr/>
        <w:t>to</w:t>
      </w:r>
      <w:r>
        <w:rPr>
          <w:spacing w:val="-1"/>
        </w:rPr>
        <w:t> </w:t>
      </w:r>
      <w:r>
        <w:rPr/>
        <w:t>the</w:t>
      </w:r>
      <w:r>
        <w:rPr>
          <w:spacing w:val="-1"/>
        </w:rPr>
        <w:t> </w:t>
      </w:r>
      <w:r>
        <w:rPr/>
        <w:t>date</w:t>
      </w:r>
      <w:r>
        <w:rPr>
          <w:spacing w:val="-1"/>
        </w:rPr>
        <w:t> </w:t>
      </w:r>
      <w:r>
        <w:rPr/>
        <w:t>of</w:t>
      </w:r>
      <w:r>
        <w:rPr>
          <w:spacing w:val="-1"/>
        </w:rPr>
        <w:t> </w:t>
      </w:r>
      <w:r>
        <w:rPr/>
        <w:t>approval</w:t>
      </w:r>
      <w:r>
        <w:rPr>
          <w:spacing w:val="-1"/>
        </w:rPr>
        <w:t> </w:t>
      </w:r>
      <w:r>
        <w:rPr/>
        <w:t>of</w:t>
      </w:r>
      <w:r>
        <w:rPr>
          <w:spacing w:val="-1"/>
        </w:rPr>
        <w:t> </w:t>
      </w:r>
      <w:r>
        <w:rPr/>
        <w:t>the</w:t>
      </w:r>
      <w:r>
        <w:rPr>
          <w:spacing w:val="-1"/>
        </w:rPr>
        <w:t> </w:t>
      </w:r>
      <w:r>
        <w:rPr/>
        <w:t>annual report and financial statements.</w:t>
      </w:r>
    </w:p>
    <w:p>
      <w:pPr>
        <w:pStyle w:val="BodyText"/>
      </w:pPr>
    </w:p>
    <w:p>
      <w:pPr>
        <w:pStyle w:val="BodyText"/>
        <w:ind w:left="852"/>
        <w:jc w:val="both"/>
      </w:pPr>
      <w:r>
        <w:rPr/>
        <w:t>The</w:t>
      </w:r>
      <w:r>
        <w:rPr>
          <w:spacing w:val="-8"/>
        </w:rPr>
        <w:t> </w:t>
      </w:r>
      <w:r>
        <w:rPr/>
        <w:t>College</w:t>
      </w:r>
      <w:r>
        <w:rPr>
          <w:spacing w:val="-6"/>
        </w:rPr>
        <w:t> </w:t>
      </w:r>
      <w:r>
        <w:rPr/>
        <w:t>endeavours</w:t>
      </w:r>
      <w:r>
        <w:rPr>
          <w:spacing w:val="-6"/>
        </w:rPr>
        <w:t> </w:t>
      </w:r>
      <w:r>
        <w:rPr/>
        <w:t>to</w:t>
      </w:r>
      <w:r>
        <w:rPr>
          <w:spacing w:val="-6"/>
        </w:rPr>
        <w:t> </w:t>
      </w:r>
      <w:r>
        <w:rPr/>
        <w:t>conduct</w:t>
      </w:r>
      <w:r>
        <w:rPr>
          <w:spacing w:val="-5"/>
        </w:rPr>
        <w:t> </w:t>
      </w:r>
      <w:r>
        <w:rPr/>
        <w:t>its</w:t>
      </w:r>
      <w:r>
        <w:rPr>
          <w:spacing w:val="-7"/>
        </w:rPr>
        <w:t> </w:t>
      </w:r>
      <w:r>
        <w:rPr>
          <w:spacing w:val="-2"/>
        </w:rPr>
        <w:t>business:</w:t>
      </w:r>
    </w:p>
    <w:p>
      <w:pPr>
        <w:pStyle w:val="ListParagraph"/>
        <w:numPr>
          <w:ilvl w:val="0"/>
          <w:numId w:val="4"/>
        </w:numPr>
        <w:tabs>
          <w:tab w:pos="1133" w:val="left" w:leader="none"/>
          <w:tab w:pos="1135" w:val="left" w:leader="none"/>
        </w:tabs>
        <w:spacing w:line="268" w:lineRule="auto" w:before="158" w:after="0"/>
        <w:ind w:left="1135" w:right="1088" w:hanging="284"/>
        <w:jc w:val="both"/>
        <w:rPr>
          <w:rFonts w:ascii="Symbol" w:hAnsi="Symbol"/>
          <w:sz w:val="20"/>
        </w:rPr>
      </w:pPr>
      <w:r>
        <w:rPr>
          <w:sz w:val="20"/>
        </w:rPr>
        <w:t>In</w:t>
      </w:r>
      <w:r>
        <w:rPr>
          <w:spacing w:val="-4"/>
          <w:sz w:val="20"/>
        </w:rPr>
        <w:t> </w:t>
      </w:r>
      <w:r>
        <w:rPr>
          <w:sz w:val="20"/>
        </w:rPr>
        <w:t>accordance</w:t>
      </w:r>
      <w:r>
        <w:rPr>
          <w:spacing w:val="-4"/>
          <w:sz w:val="20"/>
        </w:rPr>
        <w:t> </w:t>
      </w:r>
      <w:r>
        <w:rPr>
          <w:sz w:val="20"/>
        </w:rPr>
        <w:t>with</w:t>
      </w:r>
      <w:r>
        <w:rPr>
          <w:spacing w:val="-4"/>
          <w:sz w:val="20"/>
        </w:rPr>
        <w:t> </w:t>
      </w:r>
      <w:r>
        <w:rPr>
          <w:sz w:val="20"/>
        </w:rPr>
        <w:t>the</w:t>
      </w:r>
      <w:r>
        <w:rPr>
          <w:spacing w:val="-4"/>
          <w:sz w:val="20"/>
        </w:rPr>
        <w:t> </w:t>
      </w:r>
      <w:r>
        <w:rPr>
          <w:sz w:val="20"/>
        </w:rPr>
        <w:t>seven</w:t>
      </w:r>
      <w:r>
        <w:rPr>
          <w:spacing w:val="-4"/>
          <w:sz w:val="20"/>
        </w:rPr>
        <w:t> </w:t>
      </w:r>
      <w:r>
        <w:rPr>
          <w:sz w:val="20"/>
        </w:rPr>
        <w:t>principles identified</w:t>
      </w:r>
      <w:r>
        <w:rPr>
          <w:spacing w:val="-4"/>
          <w:sz w:val="20"/>
        </w:rPr>
        <w:t> </w:t>
      </w:r>
      <w:r>
        <w:rPr>
          <w:sz w:val="20"/>
        </w:rPr>
        <w:t>by the</w:t>
      </w:r>
      <w:r>
        <w:rPr>
          <w:spacing w:val="-4"/>
          <w:sz w:val="20"/>
        </w:rPr>
        <w:t> </w:t>
      </w:r>
      <w:r>
        <w:rPr>
          <w:sz w:val="20"/>
        </w:rPr>
        <w:t>Committee</w:t>
      </w:r>
      <w:r>
        <w:rPr>
          <w:spacing w:val="-4"/>
          <w:sz w:val="20"/>
        </w:rPr>
        <w:t> </w:t>
      </w:r>
      <w:r>
        <w:rPr>
          <w:sz w:val="20"/>
        </w:rPr>
        <w:t>on</w:t>
      </w:r>
      <w:r>
        <w:rPr>
          <w:spacing w:val="-2"/>
          <w:sz w:val="20"/>
        </w:rPr>
        <w:t> </w:t>
      </w:r>
      <w:r>
        <w:rPr>
          <w:sz w:val="20"/>
        </w:rPr>
        <w:t>Standards</w:t>
      </w:r>
      <w:r>
        <w:rPr>
          <w:spacing w:val="-3"/>
          <w:sz w:val="20"/>
        </w:rPr>
        <w:t> </w:t>
      </w:r>
      <w:r>
        <w:rPr>
          <w:sz w:val="20"/>
        </w:rPr>
        <w:t>in</w:t>
      </w:r>
      <w:r>
        <w:rPr>
          <w:spacing w:val="-2"/>
          <w:sz w:val="20"/>
        </w:rPr>
        <w:t> </w:t>
      </w:r>
      <w:r>
        <w:rPr>
          <w:sz w:val="20"/>
        </w:rPr>
        <w:t>Public Life (selflessness, integrity, objectivity, accountability, openness, honesty and leadership);</w:t>
      </w:r>
    </w:p>
    <w:p>
      <w:pPr>
        <w:pStyle w:val="ListParagraph"/>
        <w:numPr>
          <w:ilvl w:val="0"/>
          <w:numId w:val="4"/>
        </w:numPr>
        <w:tabs>
          <w:tab w:pos="1133" w:val="left" w:leader="none"/>
          <w:tab w:pos="1135" w:val="left" w:leader="none"/>
        </w:tabs>
        <w:spacing w:line="271" w:lineRule="auto" w:before="130" w:after="0"/>
        <w:ind w:left="1135" w:right="1085" w:hanging="284"/>
        <w:jc w:val="both"/>
        <w:rPr>
          <w:rFonts w:ascii="Symbol" w:hAnsi="Symbol"/>
          <w:sz w:val="24"/>
        </w:rPr>
      </w:pPr>
      <w:r>
        <w:rPr>
          <w:sz w:val="20"/>
        </w:rPr>
        <w:t>In accordance with The Code of Good Governance for English Colleges (“the Code”) updated and</w:t>
      </w:r>
      <w:r>
        <w:rPr>
          <w:spacing w:val="-14"/>
          <w:sz w:val="20"/>
        </w:rPr>
        <w:t> </w:t>
      </w:r>
      <w:r>
        <w:rPr>
          <w:sz w:val="20"/>
        </w:rPr>
        <w:t>reissued</w:t>
      </w:r>
      <w:r>
        <w:rPr>
          <w:spacing w:val="-13"/>
          <w:sz w:val="20"/>
        </w:rPr>
        <w:t> </w:t>
      </w:r>
      <w:r>
        <w:rPr>
          <w:sz w:val="20"/>
        </w:rPr>
        <w:t>by</w:t>
      </w:r>
      <w:r>
        <w:rPr>
          <w:spacing w:val="-14"/>
          <w:sz w:val="20"/>
        </w:rPr>
        <w:t> </w:t>
      </w:r>
      <w:r>
        <w:rPr>
          <w:sz w:val="20"/>
        </w:rPr>
        <w:t>the</w:t>
      </w:r>
      <w:r>
        <w:rPr>
          <w:spacing w:val="-13"/>
          <w:sz w:val="20"/>
        </w:rPr>
        <w:t> </w:t>
      </w:r>
      <w:r>
        <w:rPr>
          <w:sz w:val="20"/>
        </w:rPr>
        <w:t>Association</w:t>
      </w:r>
      <w:r>
        <w:rPr>
          <w:spacing w:val="-13"/>
          <w:sz w:val="20"/>
        </w:rPr>
        <w:t> </w:t>
      </w:r>
      <w:r>
        <w:rPr>
          <w:sz w:val="20"/>
        </w:rPr>
        <w:t>of</w:t>
      </w:r>
      <w:r>
        <w:rPr>
          <w:spacing w:val="-13"/>
          <w:sz w:val="20"/>
        </w:rPr>
        <w:t> </w:t>
      </w:r>
      <w:r>
        <w:rPr>
          <w:sz w:val="20"/>
        </w:rPr>
        <w:t>Colleges</w:t>
      </w:r>
      <w:r>
        <w:rPr>
          <w:spacing w:val="-11"/>
          <w:sz w:val="20"/>
        </w:rPr>
        <w:t> </w:t>
      </w:r>
      <w:r>
        <w:rPr>
          <w:sz w:val="20"/>
        </w:rPr>
        <w:t>in</w:t>
      </w:r>
      <w:r>
        <w:rPr>
          <w:spacing w:val="-13"/>
          <w:sz w:val="20"/>
        </w:rPr>
        <w:t> </w:t>
      </w:r>
      <w:r>
        <w:rPr>
          <w:sz w:val="20"/>
        </w:rPr>
        <w:t>October</w:t>
      </w:r>
      <w:r>
        <w:rPr>
          <w:spacing w:val="-14"/>
          <w:sz w:val="20"/>
        </w:rPr>
        <w:t> </w:t>
      </w:r>
      <w:r>
        <w:rPr>
          <w:sz w:val="20"/>
        </w:rPr>
        <w:t>2021.</w:t>
      </w:r>
      <w:r>
        <w:rPr>
          <w:spacing w:val="-13"/>
          <w:sz w:val="20"/>
        </w:rPr>
        <w:t> </w:t>
      </w:r>
      <w:r>
        <w:rPr>
          <w:sz w:val="20"/>
        </w:rPr>
        <w:t>The</w:t>
      </w:r>
      <w:r>
        <w:rPr>
          <w:spacing w:val="-13"/>
          <w:sz w:val="20"/>
        </w:rPr>
        <w:t> </w:t>
      </w:r>
      <w:r>
        <w:rPr>
          <w:sz w:val="20"/>
        </w:rPr>
        <w:t>code</w:t>
      </w:r>
      <w:r>
        <w:rPr>
          <w:spacing w:val="-13"/>
          <w:sz w:val="20"/>
        </w:rPr>
        <w:t> </w:t>
      </w:r>
      <w:r>
        <w:rPr>
          <w:sz w:val="20"/>
        </w:rPr>
        <w:t>was</w:t>
      </w:r>
      <w:r>
        <w:rPr>
          <w:spacing w:val="-14"/>
          <w:sz w:val="20"/>
        </w:rPr>
        <w:t> </w:t>
      </w:r>
      <w:r>
        <w:rPr>
          <w:sz w:val="20"/>
        </w:rPr>
        <w:t>re-issued</w:t>
      </w:r>
      <w:r>
        <w:rPr>
          <w:spacing w:val="-13"/>
          <w:sz w:val="20"/>
        </w:rPr>
        <w:t> </w:t>
      </w:r>
      <w:r>
        <w:rPr>
          <w:sz w:val="20"/>
        </w:rPr>
        <w:t>in</w:t>
      </w:r>
      <w:r>
        <w:rPr>
          <w:spacing w:val="-14"/>
          <w:sz w:val="20"/>
        </w:rPr>
        <w:t> </w:t>
      </w:r>
      <w:r>
        <w:rPr>
          <w:sz w:val="20"/>
        </w:rPr>
        <w:t>October 2023 as the Further Education Code of Good Governance, and was formally adopted in December 2023;</w:t>
      </w:r>
    </w:p>
    <w:p>
      <w:pPr>
        <w:pStyle w:val="ListParagraph"/>
        <w:numPr>
          <w:ilvl w:val="0"/>
          <w:numId w:val="4"/>
        </w:numPr>
        <w:tabs>
          <w:tab w:pos="1133" w:val="left" w:leader="none"/>
          <w:tab w:pos="1135" w:val="left" w:leader="none"/>
        </w:tabs>
        <w:spacing w:line="256" w:lineRule="auto" w:before="120" w:after="0"/>
        <w:ind w:left="1135" w:right="1088" w:hanging="284"/>
        <w:jc w:val="both"/>
        <w:rPr>
          <w:rFonts w:ascii="Symbol" w:hAnsi="Symbol"/>
          <w:sz w:val="24"/>
        </w:rPr>
      </w:pPr>
      <w:r>
        <w:rPr>
          <w:sz w:val="20"/>
        </w:rPr>
        <w:t>Whilst not having adopted the UK Corporate Governance Code 2018, the Corporation has due regard to its principles and guidance and;</w:t>
      </w:r>
    </w:p>
    <w:p>
      <w:pPr>
        <w:pStyle w:val="ListParagraph"/>
        <w:numPr>
          <w:ilvl w:val="0"/>
          <w:numId w:val="4"/>
        </w:numPr>
        <w:tabs>
          <w:tab w:pos="1133" w:val="left" w:leader="none"/>
          <w:tab w:pos="1135" w:val="left" w:leader="none"/>
        </w:tabs>
        <w:spacing w:line="264" w:lineRule="auto" w:before="141" w:after="0"/>
        <w:ind w:left="1135" w:right="1705" w:hanging="284"/>
        <w:jc w:val="left"/>
        <w:rPr>
          <w:rFonts w:ascii="Symbol" w:hAnsi="Symbol"/>
          <w:sz w:val="22"/>
        </w:rPr>
      </w:pPr>
      <w:r>
        <w:rPr>
          <w:sz w:val="20"/>
        </w:rPr>
        <w:t>Whilst</w:t>
      </w:r>
      <w:r>
        <w:rPr>
          <w:spacing w:val="-4"/>
          <w:sz w:val="20"/>
        </w:rPr>
        <w:t> </w:t>
      </w:r>
      <w:r>
        <w:rPr>
          <w:sz w:val="20"/>
        </w:rPr>
        <w:t>not</w:t>
      </w:r>
      <w:r>
        <w:rPr>
          <w:spacing w:val="-4"/>
          <w:sz w:val="20"/>
        </w:rPr>
        <w:t> </w:t>
      </w:r>
      <w:r>
        <w:rPr>
          <w:sz w:val="20"/>
        </w:rPr>
        <w:t>having</w:t>
      </w:r>
      <w:r>
        <w:rPr>
          <w:spacing w:val="-4"/>
          <w:sz w:val="20"/>
        </w:rPr>
        <w:t> </w:t>
      </w:r>
      <w:r>
        <w:rPr>
          <w:sz w:val="20"/>
        </w:rPr>
        <w:t>adopted</w:t>
      </w:r>
      <w:r>
        <w:rPr>
          <w:spacing w:val="-4"/>
          <w:sz w:val="20"/>
        </w:rPr>
        <w:t> </w:t>
      </w:r>
      <w:r>
        <w:rPr>
          <w:sz w:val="20"/>
        </w:rPr>
        <w:t>the</w:t>
      </w:r>
      <w:r>
        <w:rPr>
          <w:spacing w:val="-4"/>
          <w:sz w:val="20"/>
        </w:rPr>
        <w:t> </w:t>
      </w:r>
      <w:r>
        <w:rPr>
          <w:sz w:val="20"/>
        </w:rPr>
        <w:t>Committee</w:t>
      </w:r>
      <w:r>
        <w:rPr>
          <w:spacing w:val="-4"/>
          <w:sz w:val="20"/>
        </w:rPr>
        <w:t> </w:t>
      </w:r>
      <w:r>
        <w:rPr>
          <w:sz w:val="20"/>
        </w:rPr>
        <w:t>of</w:t>
      </w:r>
      <w:r>
        <w:rPr>
          <w:spacing w:val="-2"/>
          <w:sz w:val="20"/>
        </w:rPr>
        <w:t> </w:t>
      </w:r>
      <w:r>
        <w:rPr>
          <w:sz w:val="20"/>
        </w:rPr>
        <w:t>University</w:t>
      </w:r>
      <w:r>
        <w:rPr>
          <w:spacing w:val="-3"/>
          <w:sz w:val="20"/>
        </w:rPr>
        <w:t> </w:t>
      </w:r>
      <w:r>
        <w:rPr>
          <w:sz w:val="20"/>
        </w:rPr>
        <w:t>Chairs</w:t>
      </w:r>
      <w:r>
        <w:rPr>
          <w:spacing w:val="-3"/>
          <w:sz w:val="20"/>
        </w:rPr>
        <w:t> </w:t>
      </w:r>
      <w:r>
        <w:rPr>
          <w:sz w:val="20"/>
        </w:rPr>
        <w:t>Higher</w:t>
      </w:r>
      <w:r>
        <w:rPr>
          <w:spacing w:val="-3"/>
          <w:sz w:val="20"/>
        </w:rPr>
        <w:t> </w:t>
      </w:r>
      <w:r>
        <w:rPr>
          <w:sz w:val="20"/>
        </w:rPr>
        <w:t>Education</w:t>
      </w:r>
      <w:r>
        <w:rPr>
          <w:spacing w:val="-2"/>
          <w:sz w:val="20"/>
        </w:rPr>
        <w:t> </w:t>
      </w:r>
      <w:r>
        <w:rPr>
          <w:sz w:val="20"/>
        </w:rPr>
        <w:t>Code</w:t>
      </w:r>
      <w:r>
        <w:rPr>
          <w:spacing w:val="-2"/>
          <w:sz w:val="20"/>
        </w:rPr>
        <w:t> </w:t>
      </w:r>
      <w:r>
        <w:rPr>
          <w:sz w:val="20"/>
        </w:rPr>
        <w:t>of Governance, the Corporation has due regard to its principles and guidance.</w:t>
      </w:r>
    </w:p>
    <w:p>
      <w:pPr>
        <w:pStyle w:val="BodyText"/>
        <w:spacing w:before="72"/>
      </w:pPr>
    </w:p>
    <w:p>
      <w:pPr>
        <w:pStyle w:val="BodyText"/>
        <w:ind w:left="852" w:right="1085"/>
        <w:jc w:val="both"/>
      </w:pPr>
      <w:r>
        <w:rPr/>
        <w:t>The</w:t>
      </w:r>
      <w:r>
        <w:rPr>
          <w:spacing w:val="-3"/>
        </w:rPr>
        <w:t> </w:t>
      </w:r>
      <w:r>
        <w:rPr/>
        <w:t>Corporation</w:t>
      </w:r>
      <w:r>
        <w:rPr>
          <w:spacing w:val="-3"/>
        </w:rPr>
        <w:t> </w:t>
      </w:r>
      <w:r>
        <w:rPr/>
        <w:t>undertakes</w:t>
      </w:r>
      <w:r>
        <w:rPr>
          <w:spacing w:val="-1"/>
        </w:rPr>
        <w:t> </w:t>
      </w:r>
      <w:r>
        <w:rPr/>
        <w:t>annual</w:t>
      </w:r>
      <w:r>
        <w:rPr>
          <w:spacing w:val="-3"/>
        </w:rPr>
        <w:t> </w:t>
      </w:r>
      <w:r>
        <w:rPr/>
        <w:t>reviews</w:t>
      </w:r>
      <w:r>
        <w:rPr>
          <w:spacing w:val="-1"/>
        </w:rPr>
        <w:t> </w:t>
      </w:r>
      <w:r>
        <w:rPr/>
        <w:t>of</w:t>
      </w:r>
      <w:r>
        <w:rPr>
          <w:spacing w:val="-3"/>
        </w:rPr>
        <w:t> </w:t>
      </w:r>
      <w:r>
        <w:rPr/>
        <w:t>the</w:t>
      </w:r>
      <w:r>
        <w:rPr>
          <w:spacing w:val="-3"/>
        </w:rPr>
        <w:t> </w:t>
      </w:r>
      <w:r>
        <w:rPr/>
        <w:t>corporate governance</w:t>
      </w:r>
      <w:r>
        <w:rPr>
          <w:spacing w:val="-3"/>
        </w:rPr>
        <w:t> </w:t>
      </w:r>
      <w:r>
        <w:rPr/>
        <w:t>arrangements</w:t>
      </w:r>
      <w:r>
        <w:rPr>
          <w:spacing w:val="-1"/>
        </w:rPr>
        <w:t> </w:t>
      </w:r>
      <w:r>
        <w:rPr/>
        <w:t>measured against the Code through the Corporation and triennial external reviews of the governance arrangements, the most recent of which was January 2021. An external review has been commissioned for Spring Term 2024.</w:t>
      </w:r>
    </w:p>
    <w:p>
      <w:pPr>
        <w:pStyle w:val="BodyText"/>
      </w:pPr>
    </w:p>
    <w:p>
      <w:pPr>
        <w:pStyle w:val="BodyText"/>
        <w:ind w:left="852" w:right="1087"/>
        <w:jc w:val="both"/>
      </w:pPr>
      <w:r>
        <w:rPr/>
        <w:t>The College is committed to exhibiting best practice in all aspects of corporate governance. We have</w:t>
      </w:r>
      <w:r>
        <w:rPr>
          <w:spacing w:val="-3"/>
        </w:rPr>
        <w:t> </w:t>
      </w:r>
      <w:r>
        <w:rPr/>
        <w:t>not</w:t>
      </w:r>
      <w:r>
        <w:rPr>
          <w:spacing w:val="-2"/>
        </w:rPr>
        <w:t> </w:t>
      </w:r>
      <w:r>
        <w:rPr/>
        <w:t>adopted</w:t>
      </w:r>
      <w:r>
        <w:rPr>
          <w:spacing w:val="-3"/>
        </w:rPr>
        <w:t> </w:t>
      </w:r>
      <w:r>
        <w:rPr/>
        <w:t>and</w:t>
      </w:r>
      <w:r>
        <w:rPr>
          <w:spacing w:val="-2"/>
        </w:rPr>
        <w:t> </w:t>
      </w:r>
      <w:r>
        <w:rPr/>
        <w:t>therefore</w:t>
      </w:r>
      <w:r>
        <w:rPr>
          <w:spacing w:val="-3"/>
        </w:rPr>
        <w:t> </w:t>
      </w:r>
      <w:r>
        <w:rPr/>
        <w:t>do</w:t>
      </w:r>
      <w:r>
        <w:rPr>
          <w:spacing w:val="-3"/>
        </w:rPr>
        <w:t> </w:t>
      </w:r>
      <w:r>
        <w:rPr/>
        <w:t>not</w:t>
      </w:r>
      <w:r>
        <w:rPr>
          <w:spacing w:val="-2"/>
        </w:rPr>
        <w:t> </w:t>
      </w:r>
      <w:r>
        <w:rPr/>
        <w:t>apply</w:t>
      </w:r>
      <w:r>
        <w:rPr>
          <w:spacing w:val="-2"/>
        </w:rPr>
        <w:t> </w:t>
      </w:r>
      <w:r>
        <w:rPr/>
        <w:t>the</w:t>
      </w:r>
      <w:r>
        <w:rPr>
          <w:spacing w:val="-3"/>
        </w:rPr>
        <w:t> </w:t>
      </w:r>
      <w:r>
        <w:rPr/>
        <w:t>UK</w:t>
      </w:r>
      <w:r>
        <w:rPr>
          <w:spacing w:val="-2"/>
        </w:rPr>
        <w:t> </w:t>
      </w:r>
      <w:r>
        <w:rPr/>
        <w:t>Corporate</w:t>
      </w:r>
      <w:r>
        <w:rPr>
          <w:spacing w:val="-2"/>
        </w:rPr>
        <w:t> </w:t>
      </w:r>
      <w:r>
        <w:rPr/>
        <w:t>Governance</w:t>
      </w:r>
      <w:r>
        <w:rPr>
          <w:spacing w:val="-3"/>
        </w:rPr>
        <w:t> </w:t>
      </w:r>
      <w:r>
        <w:rPr/>
        <w:t>Code</w:t>
      </w:r>
      <w:r>
        <w:rPr>
          <w:spacing w:val="-2"/>
        </w:rPr>
        <w:t> </w:t>
      </w:r>
      <w:r>
        <w:rPr/>
        <w:t>2018.</w:t>
      </w:r>
      <w:r>
        <w:rPr>
          <w:spacing w:val="-2"/>
        </w:rPr>
        <w:t> </w:t>
      </w:r>
      <w:r>
        <w:rPr/>
        <w:t>However, we have reported on our Corporate Governance arrangements by drawing upon best practice available, including those aspects of the UK Corporate Governance Code 2018 we consider to be relevant to the further education sector and best practice.</w:t>
      </w:r>
    </w:p>
    <w:p>
      <w:pPr>
        <w:pStyle w:val="BodyText"/>
        <w:spacing w:before="1"/>
      </w:pPr>
    </w:p>
    <w:p>
      <w:pPr>
        <w:pStyle w:val="BodyText"/>
        <w:ind w:left="852" w:right="1090"/>
        <w:jc w:val="both"/>
      </w:pPr>
      <w:r>
        <w:rPr/>
        <w:t>In</w:t>
      </w:r>
      <w:r>
        <w:rPr>
          <w:spacing w:val="-7"/>
        </w:rPr>
        <w:t> </w:t>
      </w:r>
      <w:r>
        <w:rPr/>
        <w:t>the</w:t>
      </w:r>
      <w:r>
        <w:rPr>
          <w:spacing w:val="-4"/>
        </w:rPr>
        <w:t> </w:t>
      </w:r>
      <w:r>
        <w:rPr/>
        <w:t>opinion</w:t>
      </w:r>
      <w:r>
        <w:rPr>
          <w:spacing w:val="-4"/>
        </w:rPr>
        <w:t> </w:t>
      </w:r>
      <w:r>
        <w:rPr/>
        <w:t>of</w:t>
      </w:r>
      <w:r>
        <w:rPr>
          <w:spacing w:val="-6"/>
        </w:rPr>
        <w:t> </w:t>
      </w:r>
      <w:r>
        <w:rPr/>
        <w:t>the</w:t>
      </w:r>
      <w:r>
        <w:rPr>
          <w:spacing w:val="-7"/>
        </w:rPr>
        <w:t> </w:t>
      </w:r>
      <w:r>
        <w:rPr/>
        <w:t>Governors,</w:t>
      </w:r>
      <w:r>
        <w:rPr>
          <w:spacing w:val="-6"/>
        </w:rPr>
        <w:t> </w:t>
      </w:r>
      <w:r>
        <w:rPr/>
        <w:t>the</w:t>
      </w:r>
      <w:r>
        <w:rPr>
          <w:spacing w:val="-7"/>
        </w:rPr>
        <w:t> </w:t>
      </w:r>
      <w:r>
        <w:rPr/>
        <w:t>College</w:t>
      </w:r>
      <w:r>
        <w:rPr>
          <w:spacing w:val="-7"/>
        </w:rPr>
        <w:t> </w:t>
      </w:r>
      <w:r>
        <w:rPr/>
        <w:t>complies</w:t>
      </w:r>
      <w:r>
        <w:rPr>
          <w:spacing w:val="-5"/>
        </w:rPr>
        <w:t> </w:t>
      </w:r>
      <w:r>
        <w:rPr/>
        <w:t>with</w:t>
      </w:r>
      <w:r>
        <w:rPr>
          <w:spacing w:val="-7"/>
        </w:rPr>
        <w:t> </w:t>
      </w:r>
      <w:r>
        <w:rPr/>
        <w:t>all</w:t>
      </w:r>
      <w:r>
        <w:rPr>
          <w:spacing w:val="-5"/>
        </w:rPr>
        <w:t> </w:t>
      </w:r>
      <w:r>
        <w:rPr/>
        <w:t>the</w:t>
      </w:r>
      <w:r>
        <w:rPr>
          <w:spacing w:val="-4"/>
        </w:rPr>
        <w:t> </w:t>
      </w:r>
      <w:r>
        <w:rPr/>
        <w:t>provisions</w:t>
      </w:r>
      <w:r>
        <w:rPr>
          <w:spacing w:val="-5"/>
        </w:rPr>
        <w:t> </w:t>
      </w:r>
      <w:r>
        <w:rPr/>
        <w:t>of</w:t>
      </w:r>
      <w:r>
        <w:rPr>
          <w:spacing w:val="-4"/>
        </w:rPr>
        <w:t> </w:t>
      </w:r>
      <w:r>
        <w:rPr/>
        <w:t>the</w:t>
      </w:r>
      <w:r>
        <w:rPr>
          <w:spacing w:val="-4"/>
        </w:rPr>
        <w:t> </w:t>
      </w:r>
      <w:r>
        <w:rPr/>
        <w:t>Code,</w:t>
      </w:r>
      <w:r>
        <w:rPr>
          <w:spacing w:val="-4"/>
        </w:rPr>
        <w:t> </w:t>
      </w:r>
      <w:r>
        <w:rPr/>
        <w:t>and</w:t>
      </w:r>
      <w:r>
        <w:rPr>
          <w:spacing w:val="-7"/>
        </w:rPr>
        <w:t> </w:t>
      </w:r>
      <w:r>
        <w:rPr/>
        <w:t>it</w:t>
      </w:r>
      <w:r>
        <w:rPr>
          <w:spacing w:val="-4"/>
        </w:rPr>
        <w:t> </w:t>
      </w:r>
      <w:r>
        <w:rPr/>
        <w:t>has complied throughout the year ended 31 July 2023. This opinion is based on:</w:t>
      </w:r>
    </w:p>
    <w:p>
      <w:pPr>
        <w:pStyle w:val="BodyText"/>
        <w:spacing w:before="2"/>
      </w:pPr>
    </w:p>
    <w:p>
      <w:pPr>
        <w:pStyle w:val="ListParagraph"/>
        <w:numPr>
          <w:ilvl w:val="1"/>
          <w:numId w:val="4"/>
        </w:numPr>
        <w:tabs>
          <w:tab w:pos="1572" w:val="left" w:leader="none"/>
        </w:tabs>
        <w:spacing w:line="271" w:lineRule="auto" w:before="0" w:after="0"/>
        <w:ind w:left="1572" w:right="1088" w:hanging="360"/>
        <w:jc w:val="left"/>
        <w:rPr>
          <w:sz w:val="20"/>
        </w:rPr>
      </w:pPr>
      <w:r>
        <w:rPr>
          <w:sz w:val="20"/>
        </w:rPr>
        <w:t>a</w:t>
      </w:r>
      <w:r>
        <w:rPr>
          <w:spacing w:val="40"/>
          <w:sz w:val="20"/>
        </w:rPr>
        <w:t> </w:t>
      </w:r>
      <w:r>
        <w:rPr>
          <w:sz w:val="20"/>
        </w:rPr>
        <w:t>full</w:t>
      </w:r>
      <w:r>
        <w:rPr>
          <w:spacing w:val="40"/>
          <w:sz w:val="20"/>
        </w:rPr>
        <w:t> </w:t>
      </w:r>
      <w:r>
        <w:rPr>
          <w:sz w:val="20"/>
        </w:rPr>
        <w:t>review</w:t>
      </w:r>
      <w:r>
        <w:rPr>
          <w:spacing w:val="40"/>
          <w:sz w:val="20"/>
        </w:rPr>
        <w:t> </w:t>
      </w:r>
      <w:r>
        <w:rPr>
          <w:sz w:val="20"/>
        </w:rPr>
        <w:t>against</w:t>
      </w:r>
      <w:r>
        <w:rPr>
          <w:spacing w:val="40"/>
          <w:sz w:val="20"/>
        </w:rPr>
        <w:t> </w:t>
      </w:r>
      <w:r>
        <w:rPr>
          <w:sz w:val="20"/>
        </w:rPr>
        <w:t>compliance</w:t>
      </w:r>
      <w:r>
        <w:rPr>
          <w:spacing w:val="40"/>
          <w:sz w:val="20"/>
        </w:rPr>
        <w:t> </w:t>
      </w:r>
      <w:r>
        <w:rPr>
          <w:sz w:val="20"/>
        </w:rPr>
        <w:t>of</w:t>
      </w:r>
      <w:r>
        <w:rPr>
          <w:spacing w:val="40"/>
          <w:sz w:val="20"/>
        </w:rPr>
        <w:t> </w:t>
      </w:r>
      <w:r>
        <w:rPr>
          <w:sz w:val="20"/>
        </w:rPr>
        <w:t>the</w:t>
      </w:r>
      <w:r>
        <w:rPr>
          <w:spacing w:val="40"/>
          <w:sz w:val="20"/>
        </w:rPr>
        <w:t> </w:t>
      </w:r>
      <w:r>
        <w:rPr>
          <w:sz w:val="20"/>
        </w:rPr>
        <w:t>Code</w:t>
      </w:r>
      <w:r>
        <w:rPr>
          <w:spacing w:val="40"/>
          <w:sz w:val="20"/>
        </w:rPr>
        <w:t> </w:t>
      </w:r>
      <w:r>
        <w:rPr>
          <w:sz w:val="20"/>
        </w:rPr>
        <w:t>and</w:t>
      </w:r>
      <w:r>
        <w:rPr>
          <w:spacing w:val="40"/>
          <w:sz w:val="20"/>
        </w:rPr>
        <w:t> </w:t>
      </w:r>
      <w:r>
        <w:rPr>
          <w:sz w:val="20"/>
        </w:rPr>
        <w:t>consequence</w:t>
      </w:r>
      <w:r>
        <w:rPr>
          <w:spacing w:val="40"/>
          <w:sz w:val="20"/>
        </w:rPr>
        <w:t> </w:t>
      </w:r>
      <w:r>
        <w:rPr>
          <w:sz w:val="20"/>
        </w:rPr>
        <w:t>enhancement</w:t>
      </w:r>
      <w:r>
        <w:rPr>
          <w:spacing w:val="40"/>
          <w:sz w:val="20"/>
        </w:rPr>
        <w:t> </w:t>
      </w:r>
      <w:r>
        <w:rPr>
          <w:sz w:val="20"/>
        </w:rPr>
        <w:t>plan</w:t>
      </w:r>
      <w:r>
        <w:rPr>
          <w:spacing w:val="40"/>
          <w:sz w:val="20"/>
        </w:rPr>
        <w:t> </w:t>
      </w:r>
      <w:r>
        <w:rPr>
          <w:sz w:val="20"/>
        </w:rPr>
        <w:t>completed with Governors and reviewed and approved by them in December 2023</w:t>
      </w:r>
    </w:p>
    <w:p>
      <w:pPr>
        <w:pStyle w:val="ListParagraph"/>
        <w:numPr>
          <w:ilvl w:val="1"/>
          <w:numId w:val="4"/>
        </w:numPr>
        <w:tabs>
          <w:tab w:pos="1572" w:val="left" w:leader="none"/>
        </w:tabs>
        <w:spacing w:line="271" w:lineRule="auto" w:before="6" w:after="0"/>
        <w:ind w:left="1572" w:right="1088" w:hanging="360"/>
        <w:jc w:val="left"/>
        <w:rPr>
          <w:sz w:val="20"/>
        </w:rPr>
      </w:pPr>
      <w:r>
        <w:rPr>
          <w:sz w:val="20"/>
        </w:rPr>
        <w:t>a programme of training and development with the Board including sessions on Ofsted,</w:t>
      </w:r>
      <w:r>
        <w:rPr>
          <w:spacing w:val="40"/>
          <w:sz w:val="20"/>
        </w:rPr>
        <w:t> </w:t>
      </w:r>
      <w:r>
        <w:rPr>
          <w:sz w:val="20"/>
        </w:rPr>
        <w:t>Safeguarding, Nolan Principals, Skills and Accountability Agreement</w:t>
      </w:r>
    </w:p>
    <w:p>
      <w:pPr>
        <w:pStyle w:val="ListParagraph"/>
        <w:numPr>
          <w:ilvl w:val="1"/>
          <w:numId w:val="4"/>
        </w:numPr>
        <w:tabs>
          <w:tab w:pos="1572" w:val="left" w:leader="none"/>
        </w:tabs>
        <w:spacing w:line="240" w:lineRule="auto" w:before="6" w:after="0"/>
        <w:ind w:left="1572" w:right="0" w:hanging="360"/>
        <w:jc w:val="left"/>
        <w:rPr>
          <w:sz w:val="20"/>
        </w:rPr>
      </w:pPr>
      <w:r>
        <w:rPr>
          <w:sz w:val="20"/>
        </w:rPr>
        <w:t>the</w:t>
      </w:r>
      <w:r>
        <w:rPr>
          <w:spacing w:val="-8"/>
          <w:sz w:val="20"/>
        </w:rPr>
        <w:t> </w:t>
      </w:r>
      <w:r>
        <w:rPr>
          <w:sz w:val="20"/>
        </w:rPr>
        <w:t>appointment</w:t>
      </w:r>
      <w:r>
        <w:rPr>
          <w:spacing w:val="-7"/>
          <w:sz w:val="20"/>
        </w:rPr>
        <w:t> </w:t>
      </w:r>
      <w:r>
        <w:rPr>
          <w:sz w:val="20"/>
        </w:rPr>
        <w:t>of</w:t>
      </w:r>
      <w:r>
        <w:rPr>
          <w:spacing w:val="-6"/>
          <w:sz w:val="20"/>
        </w:rPr>
        <w:t> </w:t>
      </w:r>
      <w:r>
        <w:rPr>
          <w:sz w:val="20"/>
        </w:rPr>
        <w:t>an</w:t>
      </w:r>
      <w:r>
        <w:rPr>
          <w:spacing w:val="-5"/>
          <w:sz w:val="20"/>
        </w:rPr>
        <w:t> </w:t>
      </w:r>
      <w:r>
        <w:rPr>
          <w:sz w:val="20"/>
        </w:rPr>
        <w:t>experienced</w:t>
      </w:r>
      <w:r>
        <w:rPr>
          <w:spacing w:val="-5"/>
          <w:sz w:val="20"/>
        </w:rPr>
        <w:t> </w:t>
      </w:r>
      <w:r>
        <w:rPr>
          <w:sz w:val="20"/>
        </w:rPr>
        <w:t>‘external’</w:t>
      </w:r>
      <w:r>
        <w:rPr>
          <w:spacing w:val="-9"/>
          <w:sz w:val="20"/>
        </w:rPr>
        <w:t> </w:t>
      </w:r>
      <w:r>
        <w:rPr>
          <w:sz w:val="20"/>
        </w:rPr>
        <w:t>Chair</w:t>
      </w:r>
      <w:r>
        <w:rPr>
          <w:spacing w:val="-6"/>
          <w:sz w:val="20"/>
        </w:rPr>
        <w:t> </w:t>
      </w:r>
      <w:r>
        <w:rPr>
          <w:sz w:val="20"/>
        </w:rPr>
        <w:t>of</w:t>
      </w:r>
      <w:r>
        <w:rPr>
          <w:spacing w:val="-6"/>
          <w:sz w:val="20"/>
        </w:rPr>
        <w:t> </w:t>
      </w:r>
      <w:r>
        <w:rPr>
          <w:spacing w:val="-2"/>
          <w:sz w:val="20"/>
        </w:rPr>
        <w:t>Governors</w:t>
      </w:r>
    </w:p>
    <w:p>
      <w:pPr>
        <w:pStyle w:val="ListParagraph"/>
        <w:numPr>
          <w:ilvl w:val="1"/>
          <w:numId w:val="4"/>
        </w:numPr>
        <w:tabs>
          <w:tab w:pos="1572" w:val="left" w:leader="none"/>
        </w:tabs>
        <w:spacing w:line="240" w:lineRule="auto" w:before="33" w:after="0"/>
        <w:ind w:left="1572" w:right="0" w:hanging="360"/>
        <w:jc w:val="left"/>
        <w:rPr>
          <w:sz w:val="20"/>
        </w:rPr>
      </w:pPr>
      <w:r>
        <w:rPr>
          <w:sz w:val="20"/>
        </w:rPr>
        <w:t>the</w:t>
      </w:r>
      <w:r>
        <w:rPr>
          <w:spacing w:val="-8"/>
          <w:sz w:val="20"/>
        </w:rPr>
        <w:t> </w:t>
      </w:r>
      <w:r>
        <w:rPr>
          <w:sz w:val="20"/>
        </w:rPr>
        <w:t>appointment</w:t>
      </w:r>
      <w:r>
        <w:rPr>
          <w:spacing w:val="-7"/>
          <w:sz w:val="20"/>
        </w:rPr>
        <w:t> </w:t>
      </w:r>
      <w:r>
        <w:rPr>
          <w:sz w:val="20"/>
        </w:rPr>
        <w:t>of</w:t>
      </w:r>
      <w:r>
        <w:rPr>
          <w:spacing w:val="-6"/>
          <w:sz w:val="20"/>
        </w:rPr>
        <w:t> </w:t>
      </w:r>
      <w:r>
        <w:rPr>
          <w:sz w:val="20"/>
        </w:rPr>
        <w:t>an</w:t>
      </w:r>
      <w:r>
        <w:rPr>
          <w:spacing w:val="-6"/>
          <w:sz w:val="20"/>
        </w:rPr>
        <w:t> </w:t>
      </w:r>
      <w:r>
        <w:rPr>
          <w:sz w:val="20"/>
        </w:rPr>
        <w:t>experienced</w:t>
      </w:r>
      <w:r>
        <w:rPr>
          <w:spacing w:val="-6"/>
          <w:sz w:val="20"/>
        </w:rPr>
        <w:t> </w:t>
      </w:r>
      <w:r>
        <w:rPr>
          <w:sz w:val="20"/>
        </w:rPr>
        <w:t>Director</w:t>
      </w:r>
      <w:r>
        <w:rPr>
          <w:spacing w:val="-4"/>
          <w:sz w:val="20"/>
        </w:rPr>
        <w:t> </w:t>
      </w:r>
      <w:r>
        <w:rPr>
          <w:sz w:val="20"/>
        </w:rPr>
        <w:t>of</w:t>
      </w:r>
      <w:r>
        <w:rPr>
          <w:spacing w:val="-8"/>
          <w:sz w:val="20"/>
        </w:rPr>
        <w:t> </w:t>
      </w:r>
      <w:r>
        <w:rPr>
          <w:sz w:val="20"/>
        </w:rPr>
        <w:t>Governance</w:t>
      </w:r>
      <w:r>
        <w:rPr>
          <w:spacing w:val="-7"/>
          <w:sz w:val="20"/>
        </w:rPr>
        <w:t> </w:t>
      </w:r>
      <w:r>
        <w:rPr>
          <w:sz w:val="20"/>
        </w:rPr>
        <w:t>in</w:t>
      </w:r>
      <w:r>
        <w:rPr>
          <w:spacing w:val="-8"/>
          <w:sz w:val="20"/>
        </w:rPr>
        <w:t> </w:t>
      </w:r>
      <w:r>
        <w:rPr>
          <w:sz w:val="20"/>
        </w:rPr>
        <w:t>January</w:t>
      </w:r>
      <w:r>
        <w:rPr>
          <w:spacing w:val="-6"/>
          <w:sz w:val="20"/>
        </w:rPr>
        <w:t> </w:t>
      </w:r>
      <w:r>
        <w:rPr>
          <w:spacing w:val="-4"/>
          <w:sz w:val="20"/>
        </w:rPr>
        <w:t>2023</w:t>
      </w:r>
    </w:p>
    <w:p>
      <w:pPr>
        <w:pStyle w:val="ListParagraph"/>
        <w:numPr>
          <w:ilvl w:val="1"/>
          <w:numId w:val="4"/>
        </w:numPr>
        <w:tabs>
          <w:tab w:pos="1572" w:val="left" w:leader="none"/>
        </w:tabs>
        <w:spacing w:line="271" w:lineRule="auto" w:before="31" w:after="0"/>
        <w:ind w:left="1572" w:right="1086" w:hanging="360"/>
        <w:jc w:val="left"/>
        <w:rPr>
          <w:sz w:val="20"/>
        </w:rPr>
      </w:pPr>
      <w:r>
        <w:rPr>
          <w:sz w:val="20"/>
        </w:rPr>
        <w:t>the</w:t>
      </w:r>
      <w:r>
        <w:rPr>
          <w:spacing w:val="40"/>
          <w:sz w:val="20"/>
        </w:rPr>
        <w:t> </w:t>
      </w:r>
      <w:r>
        <w:rPr>
          <w:sz w:val="20"/>
        </w:rPr>
        <w:t>appointment</w:t>
      </w:r>
      <w:r>
        <w:rPr>
          <w:spacing w:val="40"/>
          <w:sz w:val="20"/>
        </w:rPr>
        <w:t> </w:t>
      </w:r>
      <w:r>
        <w:rPr>
          <w:sz w:val="20"/>
        </w:rPr>
        <w:t>of</w:t>
      </w:r>
      <w:r>
        <w:rPr>
          <w:spacing w:val="40"/>
          <w:sz w:val="20"/>
        </w:rPr>
        <w:t> </w:t>
      </w:r>
      <w:r>
        <w:rPr>
          <w:sz w:val="20"/>
        </w:rPr>
        <w:t>new</w:t>
      </w:r>
      <w:r>
        <w:rPr>
          <w:spacing w:val="40"/>
          <w:sz w:val="20"/>
        </w:rPr>
        <w:t> </w:t>
      </w:r>
      <w:r>
        <w:rPr>
          <w:sz w:val="20"/>
        </w:rPr>
        <w:t>external</w:t>
      </w:r>
      <w:r>
        <w:rPr>
          <w:spacing w:val="40"/>
          <w:sz w:val="20"/>
        </w:rPr>
        <w:t> </w:t>
      </w:r>
      <w:r>
        <w:rPr>
          <w:sz w:val="20"/>
        </w:rPr>
        <w:t>Governors</w:t>
      </w:r>
      <w:r>
        <w:rPr>
          <w:spacing w:val="40"/>
          <w:sz w:val="20"/>
        </w:rPr>
        <w:t> </w:t>
      </w:r>
      <w:r>
        <w:rPr>
          <w:sz w:val="20"/>
        </w:rPr>
        <w:t>to</w:t>
      </w:r>
      <w:r>
        <w:rPr>
          <w:spacing w:val="40"/>
          <w:sz w:val="20"/>
        </w:rPr>
        <w:t> </w:t>
      </w:r>
      <w:r>
        <w:rPr>
          <w:sz w:val="20"/>
        </w:rPr>
        <w:t>support</w:t>
      </w:r>
      <w:r>
        <w:rPr>
          <w:spacing w:val="40"/>
          <w:sz w:val="20"/>
        </w:rPr>
        <w:t> </w:t>
      </w:r>
      <w:r>
        <w:rPr>
          <w:sz w:val="20"/>
        </w:rPr>
        <w:t>and</w:t>
      </w:r>
      <w:r>
        <w:rPr>
          <w:spacing w:val="40"/>
          <w:sz w:val="20"/>
        </w:rPr>
        <w:t> </w:t>
      </w:r>
      <w:r>
        <w:rPr>
          <w:sz w:val="20"/>
        </w:rPr>
        <w:t>enhance</w:t>
      </w:r>
      <w:r>
        <w:rPr>
          <w:spacing w:val="40"/>
          <w:sz w:val="20"/>
        </w:rPr>
        <w:t> </w:t>
      </w:r>
      <w:r>
        <w:rPr>
          <w:sz w:val="20"/>
        </w:rPr>
        <w:t>the</w:t>
      </w:r>
      <w:r>
        <w:rPr>
          <w:spacing w:val="40"/>
          <w:sz w:val="20"/>
        </w:rPr>
        <w:t> </w:t>
      </w:r>
      <w:r>
        <w:rPr>
          <w:sz w:val="20"/>
        </w:rPr>
        <w:t>board</w:t>
      </w:r>
      <w:r>
        <w:rPr>
          <w:spacing w:val="40"/>
          <w:sz w:val="20"/>
        </w:rPr>
        <w:t> </w:t>
      </w:r>
      <w:r>
        <w:rPr>
          <w:sz w:val="20"/>
        </w:rPr>
        <w:t>skills, experience and knowledge</w:t>
      </w:r>
    </w:p>
    <w:p>
      <w:pPr>
        <w:pStyle w:val="ListParagraph"/>
        <w:numPr>
          <w:ilvl w:val="1"/>
          <w:numId w:val="4"/>
        </w:numPr>
        <w:tabs>
          <w:tab w:pos="1572" w:val="left" w:leader="none"/>
        </w:tabs>
        <w:spacing w:line="240" w:lineRule="auto" w:before="6" w:after="0"/>
        <w:ind w:left="1572" w:right="0" w:hanging="360"/>
        <w:jc w:val="left"/>
        <w:rPr>
          <w:sz w:val="20"/>
        </w:rPr>
      </w:pPr>
      <w:r>
        <w:rPr>
          <w:spacing w:val="-2"/>
          <w:sz w:val="20"/>
        </w:rPr>
        <w:t>the</w:t>
      </w:r>
      <w:r>
        <w:rPr>
          <w:spacing w:val="-9"/>
          <w:sz w:val="20"/>
        </w:rPr>
        <w:t> </w:t>
      </w:r>
      <w:r>
        <w:rPr>
          <w:spacing w:val="-2"/>
          <w:sz w:val="20"/>
        </w:rPr>
        <w:t>appointment</w:t>
      </w:r>
      <w:r>
        <w:rPr>
          <w:spacing w:val="-8"/>
          <w:sz w:val="20"/>
        </w:rPr>
        <w:t> </w:t>
      </w:r>
      <w:r>
        <w:rPr>
          <w:spacing w:val="-2"/>
          <w:sz w:val="20"/>
        </w:rPr>
        <w:t>of</w:t>
      </w:r>
      <w:r>
        <w:rPr>
          <w:spacing w:val="-6"/>
          <w:sz w:val="20"/>
        </w:rPr>
        <w:t> </w:t>
      </w:r>
      <w:r>
        <w:rPr>
          <w:spacing w:val="-2"/>
          <w:sz w:val="20"/>
        </w:rPr>
        <w:t>an</w:t>
      </w:r>
      <w:r>
        <w:rPr>
          <w:spacing w:val="-6"/>
          <w:sz w:val="20"/>
        </w:rPr>
        <w:t> </w:t>
      </w:r>
      <w:r>
        <w:rPr>
          <w:spacing w:val="-2"/>
          <w:sz w:val="20"/>
        </w:rPr>
        <w:t>external</w:t>
      </w:r>
      <w:r>
        <w:rPr>
          <w:spacing w:val="-7"/>
          <w:sz w:val="20"/>
        </w:rPr>
        <w:t> </w:t>
      </w:r>
      <w:r>
        <w:rPr>
          <w:spacing w:val="-2"/>
          <w:sz w:val="20"/>
        </w:rPr>
        <w:t>board</w:t>
      </w:r>
      <w:r>
        <w:rPr>
          <w:spacing w:val="-8"/>
          <w:sz w:val="20"/>
        </w:rPr>
        <w:t> </w:t>
      </w:r>
      <w:r>
        <w:rPr>
          <w:spacing w:val="-2"/>
          <w:sz w:val="20"/>
        </w:rPr>
        <w:t>reviewer</w:t>
      </w:r>
      <w:r>
        <w:rPr>
          <w:spacing w:val="-7"/>
          <w:sz w:val="20"/>
        </w:rPr>
        <w:t> </w:t>
      </w:r>
      <w:r>
        <w:rPr>
          <w:spacing w:val="-2"/>
          <w:sz w:val="20"/>
        </w:rPr>
        <w:t>to</w:t>
      </w:r>
      <w:r>
        <w:rPr>
          <w:spacing w:val="-6"/>
          <w:sz w:val="20"/>
        </w:rPr>
        <w:t> </w:t>
      </w:r>
      <w:r>
        <w:rPr>
          <w:spacing w:val="-2"/>
          <w:sz w:val="20"/>
        </w:rPr>
        <w:t>conduct</w:t>
      </w:r>
      <w:r>
        <w:rPr>
          <w:spacing w:val="-8"/>
          <w:sz w:val="20"/>
        </w:rPr>
        <w:t> </w:t>
      </w:r>
      <w:r>
        <w:rPr>
          <w:spacing w:val="-2"/>
          <w:sz w:val="20"/>
        </w:rPr>
        <w:t>an</w:t>
      </w:r>
      <w:r>
        <w:rPr>
          <w:spacing w:val="-8"/>
          <w:sz w:val="20"/>
        </w:rPr>
        <w:t> </w:t>
      </w:r>
      <w:r>
        <w:rPr>
          <w:spacing w:val="-2"/>
          <w:sz w:val="20"/>
        </w:rPr>
        <w:t>external</w:t>
      </w:r>
      <w:r>
        <w:rPr>
          <w:spacing w:val="-6"/>
          <w:sz w:val="20"/>
        </w:rPr>
        <w:t> </w:t>
      </w:r>
      <w:r>
        <w:rPr>
          <w:spacing w:val="-2"/>
          <w:sz w:val="20"/>
        </w:rPr>
        <w:t>review</w:t>
      </w:r>
      <w:r>
        <w:rPr>
          <w:spacing w:val="-5"/>
          <w:sz w:val="20"/>
        </w:rPr>
        <w:t> </w:t>
      </w:r>
      <w:r>
        <w:rPr>
          <w:spacing w:val="-2"/>
          <w:sz w:val="20"/>
        </w:rPr>
        <w:t>in</w:t>
      </w:r>
      <w:r>
        <w:rPr>
          <w:spacing w:val="-8"/>
          <w:sz w:val="20"/>
        </w:rPr>
        <w:t> </w:t>
      </w:r>
      <w:r>
        <w:rPr>
          <w:spacing w:val="-2"/>
          <w:sz w:val="20"/>
        </w:rPr>
        <w:t>Spring</w:t>
      </w:r>
      <w:r>
        <w:rPr>
          <w:spacing w:val="-8"/>
          <w:sz w:val="20"/>
        </w:rPr>
        <w:t> </w:t>
      </w:r>
      <w:r>
        <w:rPr>
          <w:spacing w:val="-2"/>
          <w:sz w:val="20"/>
        </w:rPr>
        <w:t>2024.</w:t>
      </w:r>
    </w:p>
    <w:p>
      <w:pPr>
        <w:pStyle w:val="BodyText"/>
        <w:spacing w:before="66"/>
      </w:pPr>
    </w:p>
    <w:p>
      <w:pPr>
        <w:pStyle w:val="BodyText"/>
        <w:spacing w:line="278" w:lineRule="auto"/>
        <w:ind w:left="852" w:right="1087"/>
        <w:jc w:val="both"/>
      </w:pPr>
      <w:r>
        <w:rPr/>
        <w:t>The</w:t>
      </w:r>
      <w:r>
        <w:rPr>
          <w:spacing w:val="-6"/>
        </w:rPr>
        <w:t> </w:t>
      </w:r>
      <w:r>
        <w:rPr/>
        <w:t>Governing</w:t>
      </w:r>
      <w:r>
        <w:rPr>
          <w:spacing w:val="-4"/>
        </w:rPr>
        <w:t> </w:t>
      </w:r>
      <w:r>
        <w:rPr/>
        <w:t>Body</w:t>
      </w:r>
      <w:r>
        <w:rPr>
          <w:spacing w:val="-5"/>
        </w:rPr>
        <w:t> </w:t>
      </w:r>
      <w:r>
        <w:rPr/>
        <w:t>recognises</w:t>
      </w:r>
      <w:r>
        <w:rPr>
          <w:spacing w:val="-5"/>
        </w:rPr>
        <w:t> </w:t>
      </w:r>
      <w:r>
        <w:rPr/>
        <w:t>that,</w:t>
      </w:r>
      <w:r>
        <w:rPr>
          <w:spacing w:val="-4"/>
        </w:rPr>
        <w:t> </w:t>
      </w:r>
      <w:r>
        <w:rPr/>
        <w:t>as</w:t>
      </w:r>
      <w:r>
        <w:rPr>
          <w:spacing w:val="-5"/>
        </w:rPr>
        <w:t> </w:t>
      </w:r>
      <w:r>
        <w:rPr/>
        <w:t>a</w:t>
      </w:r>
      <w:r>
        <w:rPr>
          <w:spacing w:val="-6"/>
        </w:rPr>
        <w:t> </w:t>
      </w:r>
      <w:r>
        <w:rPr/>
        <w:t>body</w:t>
      </w:r>
      <w:r>
        <w:rPr>
          <w:spacing w:val="-5"/>
        </w:rPr>
        <w:t> </w:t>
      </w:r>
      <w:r>
        <w:rPr/>
        <w:t>entrusted</w:t>
      </w:r>
      <w:r>
        <w:rPr>
          <w:spacing w:val="-6"/>
        </w:rPr>
        <w:t> </w:t>
      </w:r>
      <w:r>
        <w:rPr/>
        <w:t>with</w:t>
      </w:r>
      <w:r>
        <w:rPr>
          <w:spacing w:val="-4"/>
        </w:rPr>
        <w:t> </w:t>
      </w:r>
      <w:r>
        <w:rPr/>
        <w:t>both</w:t>
      </w:r>
      <w:r>
        <w:rPr>
          <w:spacing w:val="-6"/>
        </w:rPr>
        <w:t> </w:t>
      </w:r>
      <w:r>
        <w:rPr/>
        <w:t>public</w:t>
      </w:r>
      <w:r>
        <w:rPr>
          <w:spacing w:val="-5"/>
        </w:rPr>
        <w:t> </w:t>
      </w:r>
      <w:r>
        <w:rPr/>
        <w:t>and</w:t>
      </w:r>
      <w:r>
        <w:rPr>
          <w:spacing w:val="-4"/>
        </w:rPr>
        <w:t> </w:t>
      </w:r>
      <w:r>
        <w:rPr/>
        <w:t>private</w:t>
      </w:r>
      <w:r>
        <w:rPr>
          <w:spacing w:val="-6"/>
        </w:rPr>
        <w:t> </w:t>
      </w:r>
      <w:r>
        <w:rPr/>
        <w:t>funds,</w:t>
      </w:r>
      <w:r>
        <w:rPr>
          <w:spacing w:val="-4"/>
        </w:rPr>
        <w:t> </w:t>
      </w:r>
      <w:r>
        <w:rPr/>
        <w:t>it</w:t>
      </w:r>
      <w:r>
        <w:rPr>
          <w:spacing w:val="-6"/>
        </w:rPr>
        <w:t> </w:t>
      </w:r>
      <w:r>
        <w:rPr/>
        <w:t>has a particular duty to observe the highest standards of corporate governance at all times.</w:t>
      </w:r>
    </w:p>
    <w:p>
      <w:pPr>
        <w:pStyle w:val="BodyText"/>
        <w:spacing w:before="196"/>
        <w:ind w:left="852" w:right="1087"/>
        <w:jc w:val="both"/>
      </w:pPr>
      <w:r>
        <w:rPr/>
        <w:t>The College is an exempt charity within the meaning of Part 3 of the Charities Act 2011. The Governors,</w:t>
      </w:r>
      <w:r>
        <w:rPr>
          <w:spacing w:val="-4"/>
        </w:rPr>
        <w:t> </w:t>
      </w:r>
      <w:r>
        <w:rPr/>
        <w:t>who</w:t>
      </w:r>
      <w:r>
        <w:rPr>
          <w:spacing w:val="-4"/>
        </w:rPr>
        <w:t> </w:t>
      </w:r>
      <w:r>
        <w:rPr/>
        <w:t>are</w:t>
      </w:r>
      <w:r>
        <w:rPr>
          <w:spacing w:val="-2"/>
        </w:rPr>
        <w:t> </w:t>
      </w:r>
      <w:r>
        <w:rPr/>
        <w:t>also</w:t>
      </w:r>
      <w:r>
        <w:rPr>
          <w:spacing w:val="-4"/>
        </w:rPr>
        <w:t> </w:t>
      </w:r>
      <w:r>
        <w:rPr/>
        <w:t>the</w:t>
      </w:r>
      <w:r>
        <w:rPr>
          <w:spacing w:val="-4"/>
        </w:rPr>
        <w:t> </w:t>
      </w:r>
      <w:r>
        <w:rPr/>
        <w:t>Trustees for</w:t>
      </w:r>
      <w:r>
        <w:rPr>
          <w:spacing w:val="-3"/>
        </w:rPr>
        <w:t> </w:t>
      </w:r>
      <w:r>
        <w:rPr/>
        <w:t>the</w:t>
      </w:r>
      <w:r>
        <w:rPr>
          <w:spacing w:val="-2"/>
        </w:rPr>
        <w:t> </w:t>
      </w:r>
      <w:r>
        <w:rPr/>
        <w:t>purposes of</w:t>
      </w:r>
      <w:r>
        <w:rPr>
          <w:spacing w:val="-4"/>
        </w:rPr>
        <w:t> </w:t>
      </w:r>
      <w:r>
        <w:rPr/>
        <w:t>the</w:t>
      </w:r>
      <w:r>
        <w:rPr>
          <w:spacing w:val="-2"/>
        </w:rPr>
        <w:t> </w:t>
      </w:r>
      <w:r>
        <w:rPr/>
        <w:t>Charities</w:t>
      </w:r>
      <w:r>
        <w:rPr>
          <w:spacing w:val="-3"/>
        </w:rPr>
        <w:t> </w:t>
      </w:r>
      <w:r>
        <w:rPr/>
        <w:t>Act</w:t>
      </w:r>
      <w:r>
        <w:rPr>
          <w:spacing w:val="-2"/>
        </w:rPr>
        <w:t> </w:t>
      </w:r>
      <w:r>
        <w:rPr/>
        <w:t>2011, confirm</w:t>
      </w:r>
      <w:r>
        <w:rPr>
          <w:spacing w:val="-2"/>
        </w:rPr>
        <w:t> </w:t>
      </w:r>
      <w:r>
        <w:rPr/>
        <w:t>that</w:t>
      </w:r>
      <w:r>
        <w:rPr>
          <w:spacing w:val="-4"/>
        </w:rPr>
        <w:t> </w:t>
      </w:r>
      <w:r>
        <w:rPr/>
        <w:t>they have</w:t>
      </w:r>
      <w:r>
        <w:rPr>
          <w:spacing w:val="-7"/>
        </w:rPr>
        <w:t> </w:t>
      </w:r>
      <w:r>
        <w:rPr/>
        <w:t>had</w:t>
      </w:r>
      <w:r>
        <w:rPr>
          <w:spacing w:val="-7"/>
        </w:rPr>
        <w:t> </w:t>
      </w:r>
      <w:r>
        <w:rPr/>
        <w:t>due</w:t>
      </w:r>
      <w:r>
        <w:rPr>
          <w:spacing w:val="-7"/>
        </w:rPr>
        <w:t> </w:t>
      </w:r>
      <w:r>
        <w:rPr/>
        <w:t>regard</w:t>
      </w:r>
      <w:r>
        <w:rPr>
          <w:spacing w:val="-7"/>
        </w:rPr>
        <w:t> </w:t>
      </w:r>
      <w:r>
        <w:rPr/>
        <w:t>for</w:t>
      </w:r>
      <w:r>
        <w:rPr>
          <w:spacing w:val="-5"/>
        </w:rPr>
        <w:t> </w:t>
      </w:r>
      <w:r>
        <w:rPr/>
        <w:t>the</w:t>
      </w:r>
      <w:r>
        <w:rPr>
          <w:spacing w:val="-4"/>
        </w:rPr>
        <w:t> </w:t>
      </w:r>
      <w:r>
        <w:rPr/>
        <w:t>Charity</w:t>
      </w:r>
      <w:r>
        <w:rPr>
          <w:spacing w:val="-5"/>
        </w:rPr>
        <w:t> </w:t>
      </w:r>
      <w:r>
        <w:rPr/>
        <w:t>Commission’s</w:t>
      </w:r>
      <w:r>
        <w:rPr>
          <w:spacing w:val="-5"/>
        </w:rPr>
        <w:t> </w:t>
      </w:r>
      <w:r>
        <w:rPr/>
        <w:t>guidance</w:t>
      </w:r>
      <w:r>
        <w:rPr>
          <w:spacing w:val="-7"/>
        </w:rPr>
        <w:t> </w:t>
      </w:r>
      <w:r>
        <w:rPr/>
        <w:t>on</w:t>
      </w:r>
      <w:r>
        <w:rPr>
          <w:spacing w:val="-7"/>
        </w:rPr>
        <w:t> </w:t>
      </w:r>
      <w:r>
        <w:rPr/>
        <w:t>public</w:t>
      </w:r>
      <w:r>
        <w:rPr>
          <w:spacing w:val="-5"/>
        </w:rPr>
        <w:t> </w:t>
      </w:r>
      <w:r>
        <w:rPr/>
        <w:t>benefit</w:t>
      </w:r>
      <w:r>
        <w:rPr>
          <w:spacing w:val="-6"/>
        </w:rPr>
        <w:t> </w:t>
      </w:r>
      <w:r>
        <w:rPr/>
        <w:t>and</w:t>
      </w:r>
      <w:r>
        <w:rPr>
          <w:spacing w:val="-7"/>
        </w:rPr>
        <w:t> </w:t>
      </w:r>
      <w:r>
        <w:rPr/>
        <w:t>that</w:t>
      </w:r>
      <w:r>
        <w:rPr>
          <w:spacing w:val="-6"/>
        </w:rPr>
        <w:t> </w:t>
      </w:r>
      <w:r>
        <w:rPr/>
        <w:t>the</w:t>
      </w:r>
      <w:r>
        <w:rPr>
          <w:spacing w:val="-7"/>
        </w:rPr>
        <w:t> </w:t>
      </w:r>
      <w:r>
        <w:rPr/>
        <w:t>required statements appear within these financial statements.</w:t>
      </w:r>
    </w:p>
    <w:p>
      <w:pPr>
        <w:pStyle w:val="BodyText"/>
        <w:spacing w:after="0"/>
        <w:jc w:val="both"/>
        <w:sectPr>
          <w:headerReference w:type="default" r:id="rId17"/>
          <w:footerReference w:type="default" r:id="rId18"/>
          <w:pgSz w:w="11910" w:h="16850"/>
          <w:pgMar w:header="727" w:footer="702" w:top="1520" w:bottom="90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spacing w:before="0"/>
        <w:ind w:left="852" w:right="0" w:firstLine="0"/>
        <w:jc w:val="left"/>
        <w:rPr>
          <w:b/>
          <w:sz w:val="24"/>
        </w:rPr>
      </w:pPr>
      <w:r>
        <w:rPr>
          <w:b/>
          <w:spacing w:val="-2"/>
          <w:sz w:val="24"/>
        </w:rPr>
        <w:t>(continued)</w:t>
      </w:r>
    </w:p>
    <w:p>
      <w:pPr>
        <w:pStyle w:val="BodyText"/>
        <w:spacing w:before="46"/>
        <w:rPr>
          <w:b/>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1560"/>
        <w:gridCol w:w="850"/>
        <w:gridCol w:w="1419"/>
        <w:gridCol w:w="1649"/>
        <w:gridCol w:w="1894"/>
      </w:tblGrid>
      <w:tr>
        <w:trPr>
          <w:trHeight w:val="621" w:hRule="atLeast"/>
        </w:trPr>
        <w:tc>
          <w:tcPr>
            <w:tcW w:w="1980" w:type="dxa"/>
          </w:tcPr>
          <w:p>
            <w:pPr>
              <w:pStyle w:val="TableParagraph"/>
              <w:spacing w:line="206" w:lineRule="exact"/>
              <w:ind w:left="107"/>
              <w:rPr>
                <w:sz w:val="18"/>
              </w:rPr>
            </w:pPr>
            <w:r>
              <w:rPr>
                <w:spacing w:val="-4"/>
                <w:sz w:val="18"/>
              </w:rPr>
              <w:t>Name</w:t>
            </w:r>
          </w:p>
        </w:tc>
        <w:tc>
          <w:tcPr>
            <w:tcW w:w="1560" w:type="dxa"/>
          </w:tcPr>
          <w:p>
            <w:pPr>
              <w:pStyle w:val="TableParagraph"/>
              <w:spacing w:line="206" w:lineRule="exact"/>
              <w:ind w:left="107"/>
              <w:rPr>
                <w:sz w:val="18"/>
              </w:rPr>
            </w:pPr>
            <w:r>
              <w:rPr>
                <w:sz w:val="18"/>
              </w:rPr>
              <w:t>Date </w:t>
            </w:r>
            <w:r>
              <w:rPr>
                <w:spacing w:val="-5"/>
                <w:sz w:val="18"/>
              </w:rPr>
              <w:t>of</w:t>
            </w:r>
          </w:p>
          <w:p>
            <w:pPr>
              <w:pStyle w:val="TableParagraph"/>
              <w:spacing w:line="206" w:lineRule="exact"/>
              <w:ind w:left="107"/>
              <w:rPr>
                <w:sz w:val="18"/>
              </w:rPr>
            </w:pPr>
            <w:r>
              <w:rPr>
                <w:spacing w:val="-2"/>
                <w:sz w:val="18"/>
              </w:rPr>
              <w:t>Appointment/ Reappointment</w:t>
            </w:r>
          </w:p>
        </w:tc>
        <w:tc>
          <w:tcPr>
            <w:tcW w:w="850" w:type="dxa"/>
          </w:tcPr>
          <w:p>
            <w:pPr>
              <w:pStyle w:val="TableParagraph"/>
              <w:ind w:left="105" w:right="107"/>
              <w:rPr>
                <w:sz w:val="18"/>
              </w:rPr>
            </w:pPr>
            <w:r>
              <w:rPr>
                <w:sz w:val="18"/>
              </w:rPr>
              <w:t>Term</w:t>
            </w:r>
            <w:r>
              <w:rPr>
                <w:spacing w:val="-13"/>
                <w:sz w:val="18"/>
              </w:rPr>
              <w:t> </w:t>
            </w:r>
            <w:r>
              <w:rPr>
                <w:sz w:val="18"/>
              </w:rPr>
              <w:t>of </w:t>
            </w:r>
            <w:r>
              <w:rPr>
                <w:spacing w:val="-2"/>
                <w:sz w:val="18"/>
              </w:rPr>
              <w:t>Office</w:t>
            </w:r>
          </w:p>
        </w:tc>
        <w:tc>
          <w:tcPr>
            <w:tcW w:w="1419" w:type="dxa"/>
          </w:tcPr>
          <w:p>
            <w:pPr>
              <w:pStyle w:val="TableParagraph"/>
              <w:spacing w:line="206" w:lineRule="exact"/>
              <w:ind w:left="107"/>
              <w:rPr>
                <w:sz w:val="18"/>
              </w:rPr>
            </w:pPr>
            <w:r>
              <w:rPr>
                <w:sz w:val="18"/>
              </w:rPr>
              <w:t>Date </w:t>
            </w:r>
            <w:r>
              <w:rPr>
                <w:spacing w:val="-5"/>
                <w:sz w:val="18"/>
              </w:rPr>
              <w:t>of</w:t>
            </w:r>
          </w:p>
          <w:p>
            <w:pPr>
              <w:pStyle w:val="TableParagraph"/>
              <w:spacing w:line="206" w:lineRule="exact"/>
              <w:ind w:left="107"/>
              <w:rPr>
                <w:sz w:val="18"/>
              </w:rPr>
            </w:pPr>
            <w:r>
              <w:rPr>
                <w:spacing w:val="-2"/>
                <w:sz w:val="18"/>
              </w:rPr>
              <w:t>Resignation/ Retirement</w:t>
            </w:r>
          </w:p>
        </w:tc>
        <w:tc>
          <w:tcPr>
            <w:tcW w:w="1649" w:type="dxa"/>
          </w:tcPr>
          <w:p>
            <w:pPr>
              <w:pStyle w:val="TableParagraph"/>
              <w:ind w:left="104" w:right="56"/>
              <w:rPr>
                <w:sz w:val="18"/>
              </w:rPr>
            </w:pPr>
            <w:r>
              <w:rPr>
                <w:spacing w:val="-2"/>
                <w:sz w:val="18"/>
              </w:rPr>
              <w:t>Committees Served</w:t>
            </w:r>
          </w:p>
        </w:tc>
        <w:tc>
          <w:tcPr>
            <w:tcW w:w="1894" w:type="dxa"/>
          </w:tcPr>
          <w:p>
            <w:pPr>
              <w:pStyle w:val="TableParagraph"/>
              <w:spacing w:line="206" w:lineRule="exact"/>
              <w:ind w:left="106"/>
              <w:rPr>
                <w:sz w:val="18"/>
              </w:rPr>
            </w:pPr>
            <w:r>
              <w:rPr>
                <w:spacing w:val="-2"/>
                <w:sz w:val="18"/>
              </w:rPr>
              <w:t>Corporation/</w:t>
            </w:r>
          </w:p>
          <w:p>
            <w:pPr>
              <w:pStyle w:val="TableParagraph"/>
              <w:spacing w:line="206" w:lineRule="exact"/>
              <w:ind w:left="106" w:right="210"/>
              <w:rPr>
                <w:sz w:val="18"/>
              </w:rPr>
            </w:pPr>
            <w:r>
              <w:rPr>
                <w:sz w:val="18"/>
              </w:rPr>
              <w:t>Committee</w:t>
            </w:r>
            <w:r>
              <w:rPr>
                <w:spacing w:val="-13"/>
                <w:sz w:val="18"/>
              </w:rPr>
              <w:t> </w:t>
            </w:r>
            <w:r>
              <w:rPr>
                <w:sz w:val="18"/>
              </w:rPr>
              <w:t>Meeting </w:t>
            </w:r>
            <w:r>
              <w:rPr>
                <w:spacing w:val="-2"/>
                <w:sz w:val="18"/>
              </w:rPr>
              <w:t>Attendance</w:t>
            </w:r>
          </w:p>
        </w:tc>
      </w:tr>
      <w:tr>
        <w:trPr>
          <w:trHeight w:val="209" w:hRule="atLeast"/>
        </w:trPr>
        <w:tc>
          <w:tcPr>
            <w:tcW w:w="1980" w:type="dxa"/>
            <w:tcBorders>
              <w:bottom w:val="nil"/>
            </w:tcBorders>
          </w:tcPr>
          <w:p>
            <w:pPr>
              <w:pStyle w:val="TableParagraph"/>
              <w:spacing w:line="190" w:lineRule="exact"/>
              <w:ind w:left="107"/>
              <w:rPr>
                <w:sz w:val="18"/>
              </w:rPr>
            </w:pPr>
            <w:r>
              <w:rPr>
                <w:sz w:val="18"/>
              </w:rPr>
              <w:t>Mr</w:t>
            </w:r>
            <w:r>
              <w:rPr>
                <w:spacing w:val="-3"/>
                <w:sz w:val="18"/>
              </w:rPr>
              <w:t> </w:t>
            </w:r>
            <w:r>
              <w:rPr>
                <w:sz w:val="18"/>
              </w:rPr>
              <w:t>Simon</w:t>
            </w:r>
            <w:r>
              <w:rPr>
                <w:spacing w:val="1"/>
                <w:sz w:val="18"/>
              </w:rPr>
              <w:t> </w:t>
            </w:r>
            <w:r>
              <w:rPr>
                <w:spacing w:val="-2"/>
                <w:sz w:val="18"/>
              </w:rPr>
              <w:t>Alsop</w:t>
            </w:r>
          </w:p>
        </w:tc>
        <w:tc>
          <w:tcPr>
            <w:tcW w:w="1560" w:type="dxa"/>
            <w:tcBorders>
              <w:bottom w:val="nil"/>
            </w:tcBorders>
          </w:tcPr>
          <w:p>
            <w:pPr>
              <w:pStyle w:val="TableParagraph"/>
              <w:spacing w:line="190" w:lineRule="exact"/>
              <w:ind w:left="107"/>
              <w:rPr>
                <w:sz w:val="18"/>
              </w:rPr>
            </w:pPr>
            <w:r>
              <w:rPr>
                <w:sz w:val="18"/>
              </w:rPr>
              <w:t>August</w:t>
            </w:r>
            <w:r>
              <w:rPr>
                <w:spacing w:val="-2"/>
                <w:sz w:val="18"/>
              </w:rPr>
              <w:t> </w:t>
            </w:r>
            <w:r>
              <w:rPr>
                <w:spacing w:val="-4"/>
                <w:sz w:val="18"/>
              </w:rPr>
              <w:t>2020</w:t>
            </w:r>
          </w:p>
        </w:tc>
        <w:tc>
          <w:tcPr>
            <w:tcW w:w="850" w:type="dxa"/>
            <w:tcBorders>
              <w:bottom w:val="nil"/>
            </w:tcBorders>
          </w:tcPr>
          <w:p>
            <w:pPr>
              <w:pStyle w:val="TableParagraph"/>
              <w:spacing w:line="190" w:lineRule="exact"/>
              <w:ind w:left="105"/>
              <w:rPr>
                <w:sz w:val="18"/>
              </w:rPr>
            </w:pPr>
            <w:r>
              <w:rPr>
                <w:sz w:val="18"/>
              </w:rPr>
              <w:t>3</w:t>
            </w:r>
            <w:r>
              <w:rPr>
                <w:spacing w:val="1"/>
                <w:sz w:val="18"/>
              </w:rPr>
              <w:t> </w:t>
            </w:r>
            <w:r>
              <w:rPr>
                <w:spacing w:val="-2"/>
                <w:sz w:val="18"/>
              </w:rPr>
              <w:t>years</w:t>
            </w:r>
          </w:p>
        </w:tc>
        <w:tc>
          <w:tcPr>
            <w:tcW w:w="1419" w:type="dxa"/>
            <w:tcBorders>
              <w:bottom w:val="nil"/>
            </w:tcBorders>
          </w:tcPr>
          <w:p>
            <w:pPr>
              <w:pStyle w:val="TableParagraph"/>
              <w:spacing w:line="190" w:lineRule="exact"/>
              <w:ind w:left="107"/>
              <w:rPr>
                <w:sz w:val="18"/>
              </w:rPr>
            </w:pPr>
            <w:r>
              <w:rPr>
                <w:sz w:val="18"/>
              </w:rPr>
              <w:t>March </w:t>
            </w:r>
            <w:r>
              <w:rPr>
                <w:spacing w:val="-4"/>
                <w:sz w:val="18"/>
              </w:rPr>
              <w:t>2023</w:t>
            </w:r>
          </w:p>
        </w:tc>
        <w:tc>
          <w:tcPr>
            <w:tcW w:w="1649" w:type="dxa"/>
            <w:tcBorders>
              <w:bottom w:val="nil"/>
            </w:tcBorders>
          </w:tcPr>
          <w:p>
            <w:pPr>
              <w:pStyle w:val="TableParagraph"/>
              <w:spacing w:line="190" w:lineRule="exact"/>
              <w:ind w:left="104"/>
              <w:rPr>
                <w:sz w:val="18"/>
              </w:rPr>
            </w:pPr>
            <w:r>
              <w:rPr>
                <w:spacing w:val="-2"/>
                <w:sz w:val="18"/>
              </w:rPr>
              <w:t>Corporation;</w:t>
            </w:r>
          </w:p>
        </w:tc>
        <w:tc>
          <w:tcPr>
            <w:tcW w:w="1894" w:type="dxa"/>
            <w:tcBorders>
              <w:bottom w:val="nil"/>
            </w:tcBorders>
          </w:tcPr>
          <w:p>
            <w:pPr>
              <w:pStyle w:val="TableParagraph"/>
              <w:spacing w:line="190" w:lineRule="exact"/>
              <w:ind w:left="106"/>
              <w:rPr>
                <w:sz w:val="18"/>
              </w:rPr>
            </w:pPr>
            <w:r>
              <w:rPr>
                <w:spacing w:val="-5"/>
                <w:sz w:val="18"/>
              </w:rPr>
              <w:t>50%</w:t>
            </w:r>
          </w:p>
        </w:tc>
      </w:tr>
      <w:tr>
        <w:trPr>
          <w:trHeight w:val="207" w:hRule="atLeast"/>
        </w:trPr>
        <w:tc>
          <w:tcPr>
            <w:tcW w:w="1980" w:type="dxa"/>
            <w:tcBorders>
              <w:top w:val="nil"/>
              <w:bottom w:val="nil"/>
            </w:tcBorders>
          </w:tcPr>
          <w:p>
            <w:pPr>
              <w:pStyle w:val="TableParagraph"/>
              <w:spacing w:line="188" w:lineRule="exact"/>
              <w:ind w:left="107"/>
              <w:rPr>
                <w:sz w:val="18"/>
              </w:rPr>
            </w:pPr>
            <w:r>
              <w:rPr>
                <w:sz w:val="18"/>
              </w:rPr>
              <w:t>External</w:t>
            </w:r>
            <w:r>
              <w:rPr>
                <w:spacing w:val="-3"/>
                <w:sz w:val="18"/>
              </w:rPr>
              <w:t> </w:t>
            </w:r>
            <w:r>
              <w:rPr>
                <w:spacing w:val="-2"/>
                <w:sz w:val="18"/>
              </w:rPr>
              <w:t>Governor</w:t>
            </w:r>
          </w:p>
        </w:tc>
        <w:tc>
          <w:tcPr>
            <w:tcW w:w="1560" w:type="dxa"/>
            <w:tcBorders>
              <w:top w:val="nil"/>
              <w:bottom w:val="nil"/>
            </w:tcBorders>
          </w:tcPr>
          <w:p>
            <w:pPr>
              <w:pStyle w:val="TableParagraph"/>
              <w:rPr>
                <w:rFonts w:ascii="Times New Roman"/>
                <w:sz w:val="14"/>
              </w:rPr>
            </w:pPr>
          </w:p>
        </w:tc>
        <w:tc>
          <w:tcPr>
            <w:tcW w:w="850" w:type="dxa"/>
            <w:tcBorders>
              <w:top w:val="nil"/>
              <w:bottom w:val="nil"/>
            </w:tcBorders>
          </w:tcPr>
          <w:p>
            <w:pPr>
              <w:pStyle w:val="TableParagraph"/>
              <w:rPr>
                <w:rFonts w:ascii="Times New Roman"/>
                <w:sz w:val="14"/>
              </w:rPr>
            </w:pPr>
          </w:p>
        </w:tc>
        <w:tc>
          <w:tcPr>
            <w:tcW w:w="1419" w:type="dxa"/>
            <w:tcBorders>
              <w:top w:val="nil"/>
              <w:bottom w:val="nil"/>
            </w:tcBorders>
          </w:tcPr>
          <w:p>
            <w:pPr>
              <w:pStyle w:val="TableParagraph"/>
              <w:rPr>
                <w:rFonts w:ascii="Times New Roman"/>
                <w:sz w:val="14"/>
              </w:rPr>
            </w:pPr>
          </w:p>
        </w:tc>
        <w:tc>
          <w:tcPr>
            <w:tcW w:w="1649" w:type="dxa"/>
            <w:tcBorders>
              <w:top w:val="nil"/>
              <w:bottom w:val="nil"/>
            </w:tcBorders>
          </w:tcPr>
          <w:p>
            <w:pPr>
              <w:pStyle w:val="TableParagraph"/>
              <w:spacing w:line="188" w:lineRule="exact"/>
              <w:ind w:left="104"/>
              <w:rPr>
                <w:sz w:val="18"/>
              </w:rPr>
            </w:pPr>
            <w:r>
              <w:rPr>
                <w:sz w:val="18"/>
              </w:rPr>
              <w:t>Finance </w:t>
            </w:r>
            <w:r>
              <w:rPr>
                <w:spacing w:val="-10"/>
                <w:sz w:val="18"/>
              </w:rPr>
              <w:t>&amp;</w:t>
            </w:r>
          </w:p>
        </w:tc>
        <w:tc>
          <w:tcPr>
            <w:tcW w:w="1894" w:type="dxa"/>
            <w:tcBorders>
              <w:top w:val="nil"/>
              <w:bottom w:val="nil"/>
            </w:tcBorders>
          </w:tcPr>
          <w:p>
            <w:pPr>
              <w:pStyle w:val="TableParagraph"/>
              <w:spacing w:line="188" w:lineRule="exact"/>
              <w:ind w:left="106"/>
              <w:rPr>
                <w:sz w:val="18"/>
              </w:rPr>
            </w:pPr>
            <w:r>
              <w:rPr>
                <w:spacing w:val="-5"/>
                <w:sz w:val="18"/>
              </w:rPr>
              <w:t>50%</w:t>
            </w:r>
          </w:p>
        </w:tc>
      </w:tr>
      <w:tr>
        <w:trPr>
          <w:trHeight w:val="203" w:hRule="atLeast"/>
        </w:trPr>
        <w:tc>
          <w:tcPr>
            <w:tcW w:w="1980" w:type="dxa"/>
            <w:tcBorders>
              <w:top w:val="nil"/>
            </w:tcBorders>
          </w:tcPr>
          <w:p>
            <w:pPr>
              <w:pStyle w:val="TableParagraph"/>
              <w:rPr>
                <w:rFonts w:ascii="Times New Roman"/>
                <w:sz w:val="14"/>
              </w:rPr>
            </w:pPr>
          </w:p>
        </w:tc>
        <w:tc>
          <w:tcPr>
            <w:tcW w:w="1560" w:type="dxa"/>
            <w:tcBorders>
              <w:top w:val="nil"/>
            </w:tcBorders>
          </w:tcPr>
          <w:p>
            <w:pPr>
              <w:pStyle w:val="TableParagraph"/>
              <w:rPr>
                <w:rFonts w:ascii="Times New Roman"/>
                <w:sz w:val="14"/>
              </w:rPr>
            </w:pPr>
          </w:p>
        </w:tc>
        <w:tc>
          <w:tcPr>
            <w:tcW w:w="850" w:type="dxa"/>
            <w:tcBorders>
              <w:top w:val="nil"/>
            </w:tcBorders>
          </w:tcPr>
          <w:p>
            <w:pPr>
              <w:pStyle w:val="TableParagraph"/>
              <w:rPr>
                <w:rFonts w:ascii="Times New Roman"/>
                <w:sz w:val="14"/>
              </w:rPr>
            </w:pPr>
          </w:p>
        </w:tc>
        <w:tc>
          <w:tcPr>
            <w:tcW w:w="1419" w:type="dxa"/>
            <w:tcBorders>
              <w:top w:val="nil"/>
            </w:tcBorders>
          </w:tcPr>
          <w:p>
            <w:pPr>
              <w:pStyle w:val="TableParagraph"/>
              <w:rPr>
                <w:rFonts w:ascii="Times New Roman"/>
                <w:sz w:val="14"/>
              </w:rPr>
            </w:pPr>
          </w:p>
        </w:tc>
        <w:tc>
          <w:tcPr>
            <w:tcW w:w="1649" w:type="dxa"/>
            <w:tcBorders>
              <w:top w:val="nil"/>
            </w:tcBorders>
          </w:tcPr>
          <w:p>
            <w:pPr>
              <w:pStyle w:val="TableParagraph"/>
              <w:spacing w:line="184" w:lineRule="exact"/>
              <w:ind w:left="104"/>
              <w:rPr>
                <w:sz w:val="18"/>
              </w:rPr>
            </w:pPr>
            <w:r>
              <w:rPr>
                <w:spacing w:val="-2"/>
                <w:sz w:val="18"/>
              </w:rPr>
              <w:t>Resources</w:t>
            </w:r>
          </w:p>
        </w:tc>
        <w:tc>
          <w:tcPr>
            <w:tcW w:w="1894" w:type="dxa"/>
            <w:tcBorders>
              <w:top w:val="nil"/>
            </w:tcBorders>
          </w:tcPr>
          <w:p>
            <w:pPr>
              <w:pStyle w:val="TableParagraph"/>
              <w:rPr>
                <w:rFonts w:ascii="Times New Roman"/>
                <w:sz w:val="14"/>
              </w:rPr>
            </w:pPr>
          </w:p>
        </w:tc>
      </w:tr>
      <w:tr>
        <w:trPr>
          <w:trHeight w:val="203" w:hRule="atLeast"/>
        </w:trPr>
        <w:tc>
          <w:tcPr>
            <w:tcW w:w="1980" w:type="dxa"/>
            <w:tcBorders>
              <w:bottom w:val="nil"/>
            </w:tcBorders>
          </w:tcPr>
          <w:p>
            <w:pPr>
              <w:pStyle w:val="TableParagraph"/>
              <w:spacing w:line="184" w:lineRule="exact"/>
              <w:ind w:left="107"/>
              <w:rPr>
                <w:sz w:val="18"/>
              </w:rPr>
            </w:pPr>
            <w:r>
              <w:rPr>
                <w:sz w:val="18"/>
              </w:rPr>
              <w:t>Mr</w:t>
            </w:r>
            <w:r>
              <w:rPr>
                <w:spacing w:val="-2"/>
                <w:sz w:val="18"/>
              </w:rPr>
              <w:t> </w:t>
            </w:r>
            <w:r>
              <w:rPr>
                <w:sz w:val="18"/>
              </w:rPr>
              <w:t>Alistair</w:t>
            </w:r>
            <w:r>
              <w:rPr>
                <w:spacing w:val="-1"/>
                <w:sz w:val="18"/>
              </w:rPr>
              <w:t> </w:t>
            </w:r>
            <w:r>
              <w:rPr>
                <w:spacing w:val="-2"/>
                <w:sz w:val="18"/>
              </w:rPr>
              <w:t>Brooks</w:t>
            </w:r>
          </w:p>
        </w:tc>
        <w:tc>
          <w:tcPr>
            <w:tcW w:w="1560" w:type="dxa"/>
            <w:tcBorders>
              <w:bottom w:val="nil"/>
            </w:tcBorders>
          </w:tcPr>
          <w:p>
            <w:pPr>
              <w:pStyle w:val="TableParagraph"/>
              <w:spacing w:line="184" w:lineRule="exact"/>
              <w:ind w:left="107"/>
              <w:rPr>
                <w:sz w:val="18"/>
              </w:rPr>
            </w:pPr>
            <w:r>
              <w:rPr>
                <w:sz w:val="18"/>
              </w:rPr>
              <w:t>June</w:t>
            </w:r>
            <w:r>
              <w:rPr>
                <w:spacing w:val="-3"/>
                <w:sz w:val="18"/>
              </w:rPr>
              <w:t> </w:t>
            </w:r>
            <w:r>
              <w:rPr>
                <w:spacing w:val="-4"/>
                <w:sz w:val="18"/>
              </w:rPr>
              <w:t>2021</w:t>
            </w:r>
          </w:p>
        </w:tc>
        <w:tc>
          <w:tcPr>
            <w:tcW w:w="850" w:type="dxa"/>
            <w:tcBorders>
              <w:bottom w:val="nil"/>
            </w:tcBorders>
          </w:tcPr>
          <w:p>
            <w:pPr>
              <w:pStyle w:val="TableParagraph"/>
              <w:spacing w:line="184" w:lineRule="exact"/>
              <w:ind w:left="105"/>
              <w:rPr>
                <w:sz w:val="18"/>
              </w:rPr>
            </w:pPr>
            <w:r>
              <w:rPr>
                <w:sz w:val="18"/>
              </w:rPr>
              <w:t>3</w:t>
            </w:r>
            <w:r>
              <w:rPr>
                <w:spacing w:val="1"/>
                <w:sz w:val="18"/>
              </w:rPr>
              <w:t> </w:t>
            </w:r>
            <w:r>
              <w:rPr>
                <w:spacing w:val="-2"/>
                <w:sz w:val="18"/>
              </w:rPr>
              <w:t>years</w:t>
            </w:r>
          </w:p>
        </w:tc>
        <w:tc>
          <w:tcPr>
            <w:tcW w:w="1419" w:type="dxa"/>
            <w:vMerge w:val="restart"/>
          </w:tcPr>
          <w:p>
            <w:pPr>
              <w:pStyle w:val="TableParagraph"/>
              <w:rPr>
                <w:rFonts w:ascii="Times New Roman"/>
                <w:sz w:val="18"/>
              </w:rPr>
            </w:pPr>
          </w:p>
        </w:tc>
        <w:tc>
          <w:tcPr>
            <w:tcW w:w="1649" w:type="dxa"/>
            <w:tcBorders>
              <w:bottom w:val="nil"/>
            </w:tcBorders>
          </w:tcPr>
          <w:p>
            <w:pPr>
              <w:pStyle w:val="TableParagraph"/>
              <w:spacing w:line="184" w:lineRule="exact"/>
              <w:ind w:left="104"/>
              <w:rPr>
                <w:sz w:val="18"/>
              </w:rPr>
            </w:pPr>
            <w:r>
              <w:rPr>
                <w:spacing w:val="-2"/>
                <w:sz w:val="18"/>
              </w:rPr>
              <w:t>Corporation;</w:t>
            </w:r>
          </w:p>
        </w:tc>
        <w:tc>
          <w:tcPr>
            <w:tcW w:w="1894" w:type="dxa"/>
            <w:tcBorders>
              <w:bottom w:val="nil"/>
            </w:tcBorders>
          </w:tcPr>
          <w:p>
            <w:pPr>
              <w:pStyle w:val="TableParagraph"/>
              <w:spacing w:line="184" w:lineRule="exact"/>
              <w:ind w:left="106"/>
              <w:rPr>
                <w:sz w:val="18"/>
              </w:rPr>
            </w:pPr>
            <w:r>
              <w:rPr>
                <w:spacing w:val="-5"/>
                <w:sz w:val="18"/>
              </w:rPr>
              <w:t>86%</w:t>
            </w:r>
          </w:p>
        </w:tc>
      </w:tr>
      <w:tr>
        <w:trPr>
          <w:trHeight w:val="197" w:hRule="atLeast"/>
        </w:trPr>
        <w:tc>
          <w:tcPr>
            <w:tcW w:w="1980" w:type="dxa"/>
            <w:tcBorders>
              <w:top w:val="nil"/>
              <w:bottom w:val="nil"/>
            </w:tcBorders>
          </w:tcPr>
          <w:p>
            <w:pPr>
              <w:pStyle w:val="TableParagraph"/>
              <w:spacing w:line="178" w:lineRule="exact"/>
              <w:ind w:left="107"/>
              <w:rPr>
                <w:sz w:val="18"/>
              </w:rPr>
            </w:pPr>
            <w:r>
              <w:rPr>
                <w:sz w:val="18"/>
              </w:rPr>
              <w:t>External</w:t>
            </w:r>
            <w:r>
              <w:rPr>
                <w:spacing w:val="-3"/>
                <w:sz w:val="18"/>
              </w:rPr>
              <w:t> </w:t>
            </w:r>
            <w:r>
              <w:rPr>
                <w:spacing w:val="-2"/>
                <w:sz w:val="18"/>
              </w:rPr>
              <w:t>Governor</w:t>
            </w: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8" w:lineRule="exact"/>
              <w:ind w:left="104"/>
              <w:rPr>
                <w:sz w:val="18"/>
              </w:rPr>
            </w:pPr>
            <w:r>
              <w:rPr>
                <w:spacing w:val="-2"/>
                <w:sz w:val="18"/>
              </w:rPr>
              <w:t>Audit;</w:t>
            </w:r>
          </w:p>
        </w:tc>
        <w:tc>
          <w:tcPr>
            <w:tcW w:w="1894" w:type="dxa"/>
            <w:tcBorders>
              <w:top w:val="nil"/>
              <w:bottom w:val="nil"/>
            </w:tcBorders>
          </w:tcPr>
          <w:p>
            <w:pPr>
              <w:pStyle w:val="TableParagraph"/>
              <w:spacing w:line="178" w:lineRule="exact"/>
              <w:ind w:left="106"/>
              <w:rPr>
                <w:sz w:val="18"/>
              </w:rPr>
            </w:pPr>
            <w:r>
              <w:rPr>
                <w:spacing w:val="-4"/>
                <w:sz w:val="18"/>
              </w:rPr>
              <w:t>100%</w:t>
            </w:r>
          </w:p>
        </w:tc>
      </w:tr>
      <w:tr>
        <w:trPr>
          <w:trHeight w:val="200" w:hRule="atLeast"/>
        </w:trPr>
        <w:tc>
          <w:tcPr>
            <w:tcW w:w="1980" w:type="dxa"/>
            <w:tcBorders>
              <w:top w:val="nil"/>
            </w:tcBorders>
          </w:tcPr>
          <w:p>
            <w:pPr>
              <w:pStyle w:val="TableParagraph"/>
              <w:rPr>
                <w:rFonts w:ascii="Times New Roman"/>
                <w:sz w:val="12"/>
              </w:rPr>
            </w:pPr>
          </w:p>
        </w:tc>
        <w:tc>
          <w:tcPr>
            <w:tcW w:w="1560" w:type="dxa"/>
            <w:tcBorders>
              <w:top w:val="nil"/>
            </w:tcBorders>
          </w:tcPr>
          <w:p>
            <w:pPr>
              <w:pStyle w:val="TableParagraph"/>
              <w:rPr>
                <w:rFonts w:ascii="Times New Roman"/>
                <w:sz w:val="12"/>
              </w:rPr>
            </w:pPr>
          </w:p>
        </w:tc>
        <w:tc>
          <w:tcPr>
            <w:tcW w:w="850" w:type="dxa"/>
            <w:tcBorders>
              <w:top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tcBorders>
          </w:tcPr>
          <w:p>
            <w:pPr>
              <w:pStyle w:val="TableParagraph"/>
              <w:spacing w:line="180" w:lineRule="exact"/>
              <w:ind w:left="104"/>
              <w:rPr>
                <w:sz w:val="18"/>
              </w:rPr>
            </w:pPr>
            <w:r>
              <w:rPr>
                <w:spacing w:val="-2"/>
                <w:sz w:val="18"/>
              </w:rPr>
              <w:t>Remuneration</w:t>
            </w:r>
          </w:p>
        </w:tc>
        <w:tc>
          <w:tcPr>
            <w:tcW w:w="1894" w:type="dxa"/>
            <w:tcBorders>
              <w:top w:val="nil"/>
            </w:tcBorders>
          </w:tcPr>
          <w:p>
            <w:pPr>
              <w:pStyle w:val="TableParagraph"/>
              <w:spacing w:line="180" w:lineRule="exact"/>
              <w:ind w:left="106"/>
              <w:rPr>
                <w:sz w:val="18"/>
              </w:rPr>
            </w:pPr>
            <w:r>
              <w:rPr>
                <w:spacing w:val="-4"/>
                <w:sz w:val="18"/>
              </w:rPr>
              <w:t>100%</w:t>
            </w:r>
          </w:p>
        </w:tc>
      </w:tr>
      <w:tr>
        <w:trPr>
          <w:trHeight w:val="203" w:hRule="atLeast"/>
        </w:trPr>
        <w:tc>
          <w:tcPr>
            <w:tcW w:w="1980" w:type="dxa"/>
            <w:tcBorders>
              <w:bottom w:val="nil"/>
            </w:tcBorders>
          </w:tcPr>
          <w:p>
            <w:pPr>
              <w:pStyle w:val="TableParagraph"/>
              <w:spacing w:line="184" w:lineRule="exact"/>
              <w:ind w:left="107"/>
              <w:rPr>
                <w:sz w:val="18"/>
              </w:rPr>
            </w:pPr>
            <w:r>
              <w:rPr>
                <w:sz w:val="18"/>
              </w:rPr>
              <w:t>Mr M</w:t>
            </w:r>
            <w:r>
              <w:rPr>
                <w:spacing w:val="2"/>
                <w:sz w:val="18"/>
              </w:rPr>
              <w:t> </w:t>
            </w:r>
            <w:r>
              <w:rPr>
                <w:spacing w:val="-2"/>
                <w:sz w:val="18"/>
              </w:rPr>
              <w:t>Child</w:t>
            </w:r>
          </w:p>
        </w:tc>
        <w:tc>
          <w:tcPr>
            <w:tcW w:w="1560" w:type="dxa"/>
            <w:tcBorders>
              <w:bottom w:val="nil"/>
            </w:tcBorders>
          </w:tcPr>
          <w:p>
            <w:pPr>
              <w:pStyle w:val="TableParagraph"/>
              <w:spacing w:line="184" w:lineRule="exact"/>
              <w:ind w:left="107"/>
              <w:rPr>
                <w:sz w:val="18"/>
              </w:rPr>
            </w:pPr>
            <w:r>
              <w:rPr>
                <w:sz w:val="18"/>
              </w:rPr>
              <w:t>December</w:t>
            </w:r>
            <w:r>
              <w:rPr>
                <w:spacing w:val="-2"/>
                <w:sz w:val="18"/>
              </w:rPr>
              <w:t> </w:t>
            </w:r>
            <w:r>
              <w:rPr>
                <w:spacing w:val="-4"/>
                <w:sz w:val="18"/>
              </w:rPr>
              <w:t>2022</w:t>
            </w:r>
          </w:p>
        </w:tc>
        <w:tc>
          <w:tcPr>
            <w:tcW w:w="850" w:type="dxa"/>
            <w:tcBorders>
              <w:bottom w:val="nil"/>
            </w:tcBorders>
          </w:tcPr>
          <w:p>
            <w:pPr>
              <w:pStyle w:val="TableParagraph"/>
              <w:spacing w:line="184" w:lineRule="exact"/>
              <w:ind w:left="105"/>
              <w:rPr>
                <w:sz w:val="18"/>
              </w:rPr>
            </w:pPr>
            <w:r>
              <w:rPr>
                <w:sz w:val="18"/>
              </w:rPr>
              <w:t>3</w:t>
            </w:r>
            <w:r>
              <w:rPr>
                <w:spacing w:val="1"/>
                <w:sz w:val="18"/>
              </w:rPr>
              <w:t> </w:t>
            </w:r>
            <w:r>
              <w:rPr>
                <w:spacing w:val="-2"/>
                <w:sz w:val="18"/>
              </w:rPr>
              <w:t>years</w:t>
            </w:r>
          </w:p>
        </w:tc>
        <w:tc>
          <w:tcPr>
            <w:tcW w:w="1419" w:type="dxa"/>
            <w:vMerge w:val="restart"/>
          </w:tcPr>
          <w:p>
            <w:pPr>
              <w:pStyle w:val="TableParagraph"/>
              <w:rPr>
                <w:rFonts w:ascii="Times New Roman"/>
                <w:sz w:val="18"/>
              </w:rPr>
            </w:pPr>
          </w:p>
        </w:tc>
        <w:tc>
          <w:tcPr>
            <w:tcW w:w="1649" w:type="dxa"/>
            <w:tcBorders>
              <w:bottom w:val="nil"/>
            </w:tcBorders>
          </w:tcPr>
          <w:p>
            <w:pPr>
              <w:pStyle w:val="TableParagraph"/>
              <w:spacing w:line="184" w:lineRule="exact"/>
              <w:ind w:left="104"/>
              <w:rPr>
                <w:sz w:val="18"/>
              </w:rPr>
            </w:pPr>
            <w:r>
              <w:rPr>
                <w:spacing w:val="-2"/>
                <w:sz w:val="18"/>
              </w:rPr>
              <w:t>Corporation</w:t>
            </w:r>
          </w:p>
        </w:tc>
        <w:tc>
          <w:tcPr>
            <w:tcW w:w="1894" w:type="dxa"/>
            <w:tcBorders>
              <w:bottom w:val="nil"/>
            </w:tcBorders>
          </w:tcPr>
          <w:p>
            <w:pPr>
              <w:pStyle w:val="TableParagraph"/>
              <w:spacing w:line="184" w:lineRule="exact"/>
              <w:ind w:left="106"/>
              <w:rPr>
                <w:sz w:val="18"/>
              </w:rPr>
            </w:pPr>
            <w:r>
              <w:rPr>
                <w:spacing w:val="-5"/>
                <w:sz w:val="18"/>
              </w:rPr>
              <w:t>50%</w:t>
            </w:r>
          </w:p>
        </w:tc>
      </w:tr>
      <w:tr>
        <w:trPr>
          <w:trHeight w:val="201" w:hRule="atLeast"/>
        </w:trPr>
        <w:tc>
          <w:tcPr>
            <w:tcW w:w="1980" w:type="dxa"/>
            <w:tcBorders>
              <w:top w:val="nil"/>
            </w:tcBorders>
          </w:tcPr>
          <w:p>
            <w:pPr>
              <w:pStyle w:val="TableParagraph"/>
              <w:rPr>
                <w:rFonts w:ascii="Times New Roman"/>
                <w:sz w:val="14"/>
              </w:rPr>
            </w:pPr>
          </w:p>
        </w:tc>
        <w:tc>
          <w:tcPr>
            <w:tcW w:w="1560" w:type="dxa"/>
            <w:tcBorders>
              <w:top w:val="nil"/>
            </w:tcBorders>
          </w:tcPr>
          <w:p>
            <w:pPr>
              <w:pStyle w:val="TableParagraph"/>
              <w:rPr>
                <w:rFonts w:ascii="Times New Roman"/>
                <w:sz w:val="14"/>
              </w:rPr>
            </w:pPr>
          </w:p>
        </w:tc>
        <w:tc>
          <w:tcPr>
            <w:tcW w:w="850" w:type="dxa"/>
            <w:tcBorders>
              <w:top w:val="nil"/>
            </w:tcBorders>
          </w:tcPr>
          <w:p>
            <w:pPr>
              <w:pStyle w:val="TableParagraph"/>
              <w:rPr>
                <w:rFonts w:ascii="Times New Roman"/>
                <w:sz w:val="14"/>
              </w:rPr>
            </w:pPr>
          </w:p>
        </w:tc>
        <w:tc>
          <w:tcPr>
            <w:tcW w:w="1419" w:type="dxa"/>
            <w:vMerge/>
            <w:tcBorders>
              <w:top w:val="nil"/>
            </w:tcBorders>
          </w:tcPr>
          <w:p>
            <w:pPr>
              <w:rPr>
                <w:sz w:val="2"/>
                <w:szCs w:val="2"/>
              </w:rPr>
            </w:pPr>
          </w:p>
        </w:tc>
        <w:tc>
          <w:tcPr>
            <w:tcW w:w="1649" w:type="dxa"/>
            <w:tcBorders>
              <w:top w:val="nil"/>
            </w:tcBorders>
          </w:tcPr>
          <w:p>
            <w:pPr>
              <w:pStyle w:val="TableParagraph"/>
              <w:spacing w:line="181" w:lineRule="exact"/>
              <w:ind w:left="104"/>
              <w:rPr>
                <w:sz w:val="18"/>
              </w:rPr>
            </w:pPr>
            <w:r>
              <w:rPr>
                <w:spacing w:val="-2"/>
                <w:sz w:val="18"/>
              </w:rPr>
              <w:t>Standards</w:t>
            </w:r>
          </w:p>
        </w:tc>
        <w:tc>
          <w:tcPr>
            <w:tcW w:w="1894" w:type="dxa"/>
            <w:tcBorders>
              <w:top w:val="nil"/>
            </w:tcBorders>
          </w:tcPr>
          <w:p>
            <w:pPr>
              <w:pStyle w:val="TableParagraph"/>
              <w:spacing w:line="181" w:lineRule="exact"/>
              <w:ind w:left="106"/>
              <w:rPr>
                <w:sz w:val="18"/>
              </w:rPr>
            </w:pPr>
            <w:r>
              <w:rPr>
                <w:spacing w:val="-5"/>
                <w:sz w:val="18"/>
              </w:rPr>
              <w:t>83%</w:t>
            </w:r>
          </w:p>
        </w:tc>
      </w:tr>
      <w:tr>
        <w:trPr>
          <w:trHeight w:val="203" w:hRule="atLeast"/>
        </w:trPr>
        <w:tc>
          <w:tcPr>
            <w:tcW w:w="1980" w:type="dxa"/>
            <w:tcBorders>
              <w:bottom w:val="nil"/>
            </w:tcBorders>
          </w:tcPr>
          <w:p>
            <w:pPr>
              <w:pStyle w:val="TableParagraph"/>
              <w:spacing w:line="184" w:lineRule="exact"/>
              <w:ind w:left="107"/>
              <w:rPr>
                <w:sz w:val="18"/>
              </w:rPr>
            </w:pPr>
            <w:r>
              <w:rPr>
                <w:sz w:val="18"/>
              </w:rPr>
              <w:t>Mr</w:t>
            </w:r>
            <w:r>
              <w:rPr>
                <w:spacing w:val="-3"/>
                <w:sz w:val="18"/>
              </w:rPr>
              <w:t> </w:t>
            </w:r>
            <w:r>
              <w:rPr>
                <w:sz w:val="18"/>
              </w:rPr>
              <w:t>Tom</w:t>
            </w:r>
            <w:r>
              <w:rPr>
                <w:spacing w:val="1"/>
                <w:sz w:val="18"/>
              </w:rPr>
              <w:t> </w:t>
            </w:r>
            <w:r>
              <w:rPr>
                <w:spacing w:val="-2"/>
                <w:sz w:val="18"/>
              </w:rPr>
              <w:t>Dannatt</w:t>
            </w:r>
          </w:p>
        </w:tc>
        <w:tc>
          <w:tcPr>
            <w:tcW w:w="1560" w:type="dxa"/>
            <w:tcBorders>
              <w:bottom w:val="nil"/>
            </w:tcBorders>
          </w:tcPr>
          <w:p>
            <w:pPr>
              <w:pStyle w:val="TableParagraph"/>
              <w:spacing w:line="184" w:lineRule="exact"/>
              <w:ind w:left="107"/>
              <w:rPr>
                <w:sz w:val="18"/>
              </w:rPr>
            </w:pPr>
            <w:r>
              <w:rPr>
                <w:sz w:val="18"/>
              </w:rPr>
              <w:t>September</w:t>
            </w:r>
            <w:r>
              <w:rPr>
                <w:spacing w:val="-4"/>
                <w:sz w:val="18"/>
              </w:rPr>
              <w:t> 2022</w:t>
            </w:r>
          </w:p>
        </w:tc>
        <w:tc>
          <w:tcPr>
            <w:tcW w:w="850" w:type="dxa"/>
            <w:tcBorders>
              <w:bottom w:val="nil"/>
            </w:tcBorders>
          </w:tcPr>
          <w:p>
            <w:pPr>
              <w:pStyle w:val="TableParagraph"/>
              <w:spacing w:line="184" w:lineRule="exact"/>
              <w:ind w:left="105"/>
              <w:rPr>
                <w:sz w:val="18"/>
              </w:rPr>
            </w:pPr>
            <w:r>
              <w:rPr>
                <w:sz w:val="18"/>
              </w:rPr>
              <w:t>3</w:t>
            </w:r>
            <w:r>
              <w:rPr>
                <w:spacing w:val="1"/>
                <w:sz w:val="18"/>
              </w:rPr>
              <w:t> </w:t>
            </w:r>
            <w:r>
              <w:rPr>
                <w:spacing w:val="-2"/>
                <w:sz w:val="18"/>
              </w:rPr>
              <w:t>years</w:t>
            </w:r>
          </w:p>
        </w:tc>
        <w:tc>
          <w:tcPr>
            <w:tcW w:w="1419" w:type="dxa"/>
            <w:vMerge w:val="restart"/>
          </w:tcPr>
          <w:p>
            <w:pPr>
              <w:pStyle w:val="TableParagraph"/>
              <w:rPr>
                <w:rFonts w:ascii="Times New Roman"/>
                <w:sz w:val="18"/>
              </w:rPr>
            </w:pPr>
          </w:p>
        </w:tc>
        <w:tc>
          <w:tcPr>
            <w:tcW w:w="1649" w:type="dxa"/>
            <w:tcBorders>
              <w:bottom w:val="nil"/>
            </w:tcBorders>
          </w:tcPr>
          <w:p>
            <w:pPr>
              <w:pStyle w:val="TableParagraph"/>
              <w:spacing w:line="184" w:lineRule="exact"/>
              <w:ind w:left="104"/>
              <w:rPr>
                <w:sz w:val="18"/>
              </w:rPr>
            </w:pPr>
            <w:r>
              <w:rPr>
                <w:spacing w:val="-2"/>
                <w:sz w:val="18"/>
              </w:rPr>
              <w:t>Corporation;</w:t>
            </w:r>
          </w:p>
        </w:tc>
        <w:tc>
          <w:tcPr>
            <w:tcW w:w="1894" w:type="dxa"/>
            <w:tcBorders>
              <w:bottom w:val="nil"/>
            </w:tcBorders>
          </w:tcPr>
          <w:p>
            <w:pPr>
              <w:pStyle w:val="TableParagraph"/>
              <w:spacing w:line="184" w:lineRule="exact"/>
              <w:ind w:left="106"/>
              <w:rPr>
                <w:sz w:val="18"/>
              </w:rPr>
            </w:pPr>
            <w:r>
              <w:rPr>
                <w:spacing w:val="-5"/>
                <w:sz w:val="18"/>
              </w:rPr>
              <w:t>60%</w:t>
            </w:r>
          </w:p>
        </w:tc>
      </w:tr>
      <w:tr>
        <w:trPr>
          <w:trHeight w:val="196" w:hRule="atLeast"/>
        </w:trPr>
        <w:tc>
          <w:tcPr>
            <w:tcW w:w="1980" w:type="dxa"/>
            <w:tcBorders>
              <w:top w:val="nil"/>
              <w:bottom w:val="nil"/>
            </w:tcBorders>
          </w:tcPr>
          <w:p>
            <w:pPr>
              <w:pStyle w:val="TableParagraph"/>
              <w:spacing w:line="176" w:lineRule="exact"/>
              <w:ind w:left="107"/>
              <w:rPr>
                <w:sz w:val="18"/>
              </w:rPr>
            </w:pPr>
            <w:r>
              <w:rPr>
                <w:sz w:val="18"/>
              </w:rPr>
              <w:t>External</w:t>
            </w:r>
            <w:r>
              <w:rPr>
                <w:spacing w:val="-2"/>
                <w:sz w:val="18"/>
              </w:rPr>
              <w:t> </w:t>
            </w:r>
            <w:r>
              <w:rPr>
                <w:sz w:val="18"/>
              </w:rPr>
              <w:t>Governor</w:t>
            </w:r>
            <w:r>
              <w:rPr>
                <w:spacing w:val="-4"/>
                <w:sz w:val="18"/>
              </w:rPr>
              <w:t> </w:t>
            </w:r>
            <w:r>
              <w:rPr>
                <w:spacing w:val="-5"/>
                <w:sz w:val="18"/>
              </w:rPr>
              <w:t>to</w:t>
            </w: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6" w:lineRule="exact"/>
              <w:ind w:left="104"/>
              <w:rPr>
                <w:sz w:val="18"/>
              </w:rPr>
            </w:pPr>
            <w:r>
              <w:rPr>
                <w:sz w:val="18"/>
              </w:rPr>
              <w:t>Finance </w:t>
            </w:r>
            <w:r>
              <w:rPr>
                <w:spacing w:val="-10"/>
                <w:sz w:val="18"/>
              </w:rPr>
              <w:t>&amp;</w:t>
            </w:r>
          </w:p>
        </w:tc>
        <w:tc>
          <w:tcPr>
            <w:tcW w:w="1894" w:type="dxa"/>
            <w:tcBorders>
              <w:top w:val="nil"/>
              <w:bottom w:val="nil"/>
            </w:tcBorders>
          </w:tcPr>
          <w:p>
            <w:pPr>
              <w:pStyle w:val="TableParagraph"/>
              <w:rPr>
                <w:rFonts w:ascii="Times New Roman"/>
                <w:sz w:val="12"/>
              </w:rPr>
            </w:pPr>
          </w:p>
        </w:tc>
      </w:tr>
      <w:tr>
        <w:trPr>
          <w:trHeight w:val="196" w:hRule="atLeast"/>
        </w:trPr>
        <w:tc>
          <w:tcPr>
            <w:tcW w:w="1980" w:type="dxa"/>
            <w:tcBorders>
              <w:top w:val="nil"/>
              <w:bottom w:val="nil"/>
            </w:tcBorders>
          </w:tcPr>
          <w:p>
            <w:pPr>
              <w:pStyle w:val="TableParagraph"/>
              <w:spacing w:line="176" w:lineRule="exact"/>
              <w:ind w:left="107"/>
              <w:rPr>
                <w:sz w:val="18"/>
              </w:rPr>
            </w:pPr>
            <w:r>
              <w:rPr>
                <w:sz w:val="18"/>
              </w:rPr>
              <w:t>Sept</w:t>
            </w:r>
            <w:r>
              <w:rPr>
                <w:spacing w:val="-3"/>
                <w:sz w:val="18"/>
              </w:rPr>
              <w:t> </w:t>
            </w:r>
            <w:r>
              <w:rPr>
                <w:sz w:val="18"/>
              </w:rPr>
              <w:t>23,</w:t>
            </w:r>
            <w:r>
              <w:rPr>
                <w:spacing w:val="-2"/>
                <w:sz w:val="18"/>
              </w:rPr>
              <w:t> </w:t>
            </w:r>
            <w:r>
              <w:rPr>
                <w:sz w:val="18"/>
              </w:rPr>
              <w:t>Co-Opted</w:t>
            </w:r>
            <w:r>
              <w:rPr>
                <w:spacing w:val="-1"/>
                <w:sz w:val="18"/>
              </w:rPr>
              <w:t> </w:t>
            </w:r>
            <w:r>
              <w:rPr>
                <w:spacing w:val="-5"/>
                <w:sz w:val="18"/>
              </w:rPr>
              <w:t>to</w:t>
            </w: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6" w:lineRule="exact"/>
              <w:ind w:left="104"/>
              <w:rPr>
                <w:sz w:val="18"/>
              </w:rPr>
            </w:pPr>
            <w:r>
              <w:rPr>
                <w:spacing w:val="-2"/>
                <w:sz w:val="18"/>
              </w:rPr>
              <w:t>Resources;</w:t>
            </w:r>
          </w:p>
        </w:tc>
        <w:tc>
          <w:tcPr>
            <w:tcW w:w="1894" w:type="dxa"/>
            <w:tcBorders>
              <w:top w:val="nil"/>
              <w:bottom w:val="nil"/>
            </w:tcBorders>
          </w:tcPr>
          <w:p>
            <w:pPr>
              <w:pStyle w:val="TableParagraph"/>
              <w:spacing w:line="176" w:lineRule="exact"/>
              <w:ind w:left="106"/>
              <w:rPr>
                <w:sz w:val="18"/>
              </w:rPr>
            </w:pPr>
            <w:r>
              <w:rPr>
                <w:spacing w:val="-4"/>
                <w:sz w:val="18"/>
              </w:rPr>
              <w:t>100%</w:t>
            </w:r>
          </w:p>
        </w:tc>
      </w:tr>
      <w:tr>
        <w:trPr>
          <w:trHeight w:val="197" w:hRule="atLeast"/>
        </w:trPr>
        <w:tc>
          <w:tcPr>
            <w:tcW w:w="1980" w:type="dxa"/>
            <w:tcBorders>
              <w:top w:val="nil"/>
              <w:bottom w:val="nil"/>
            </w:tcBorders>
          </w:tcPr>
          <w:p>
            <w:pPr>
              <w:pStyle w:val="TableParagraph"/>
              <w:spacing w:line="178" w:lineRule="exact"/>
              <w:ind w:left="107"/>
              <w:rPr>
                <w:sz w:val="18"/>
              </w:rPr>
            </w:pPr>
            <w:r>
              <w:rPr>
                <w:sz w:val="18"/>
              </w:rPr>
              <w:t>Finance </w:t>
            </w:r>
            <w:r>
              <w:rPr>
                <w:spacing w:val="-2"/>
                <w:sz w:val="18"/>
              </w:rPr>
              <w:t>Committee</w:t>
            </w: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8" w:lineRule="exact"/>
              <w:ind w:left="104"/>
              <w:rPr>
                <w:sz w:val="18"/>
              </w:rPr>
            </w:pPr>
            <w:r>
              <w:rPr>
                <w:sz w:val="18"/>
              </w:rPr>
              <w:t>Gov,</w:t>
            </w:r>
            <w:r>
              <w:rPr>
                <w:spacing w:val="-2"/>
                <w:sz w:val="18"/>
              </w:rPr>
              <w:t> </w:t>
            </w:r>
            <w:r>
              <w:rPr>
                <w:sz w:val="18"/>
              </w:rPr>
              <w:t>Search </w:t>
            </w:r>
            <w:r>
              <w:rPr>
                <w:spacing w:val="-10"/>
                <w:sz w:val="18"/>
              </w:rPr>
              <w:t>&amp;</w:t>
            </w:r>
          </w:p>
        </w:tc>
        <w:tc>
          <w:tcPr>
            <w:tcW w:w="1894" w:type="dxa"/>
            <w:tcBorders>
              <w:top w:val="nil"/>
              <w:bottom w:val="nil"/>
            </w:tcBorders>
          </w:tcPr>
          <w:p>
            <w:pPr>
              <w:pStyle w:val="TableParagraph"/>
              <w:spacing w:line="178" w:lineRule="exact"/>
              <w:ind w:left="106"/>
              <w:rPr>
                <w:sz w:val="18"/>
              </w:rPr>
            </w:pPr>
            <w:r>
              <w:rPr>
                <w:spacing w:val="-5"/>
                <w:sz w:val="18"/>
              </w:rPr>
              <w:t>67%</w:t>
            </w:r>
          </w:p>
        </w:tc>
      </w:tr>
      <w:tr>
        <w:trPr>
          <w:trHeight w:val="199" w:hRule="atLeast"/>
        </w:trPr>
        <w:tc>
          <w:tcPr>
            <w:tcW w:w="1980" w:type="dxa"/>
            <w:tcBorders>
              <w:top w:val="nil"/>
            </w:tcBorders>
          </w:tcPr>
          <w:p>
            <w:pPr>
              <w:pStyle w:val="TableParagraph"/>
              <w:spacing w:line="180" w:lineRule="exact"/>
              <w:ind w:left="107"/>
              <w:rPr>
                <w:sz w:val="18"/>
              </w:rPr>
            </w:pPr>
            <w:r>
              <w:rPr>
                <w:sz w:val="18"/>
              </w:rPr>
              <w:t>from</w:t>
            </w:r>
            <w:r>
              <w:rPr>
                <w:spacing w:val="-3"/>
                <w:sz w:val="18"/>
              </w:rPr>
              <w:t> </w:t>
            </w:r>
            <w:r>
              <w:rPr>
                <w:sz w:val="18"/>
              </w:rPr>
              <w:t>Sept</w:t>
            </w:r>
            <w:r>
              <w:rPr>
                <w:spacing w:val="-1"/>
                <w:sz w:val="18"/>
              </w:rPr>
              <w:t> </w:t>
            </w:r>
            <w:r>
              <w:rPr>
                <w:spacing w:val="-5"/>
                <w:sz w:val="18"/>
              </w:rPr>
              <w:t>23)</w:t>
            </w:r>
          </w:p>
        </w:tc>
        <w:tc>
          <w:tcPr>
            <w:tcW w:w="1560" w:type="dxa"/>
            <w:tcBorders>
              <w:top w:val="nil"/>
            </w:tcBorders>
          </w:tcPr>
          <w:p>
            <w:pPr>
              <w:pStyle w:val="TableParagraph"/>
              <w:rPr>
                <w:rFonts w:ascii="Times New Roman"/>
                <w:sz w:val="12"/>
              </w:rPr>
            </w:pPr>
          </w:p>
        </w:tc>
        <w:tc>
          <w:tcPr>
            <w:tcW w:w="850" w:type="dxa"/>
            <w:tcBorders>
              <w:top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tcBorders>
          </w:tcPr>
          <w:p>
            <w:pPr>
              <w:pStyle w:val="TableParagraph"/>
              <w:spacing w:line="180" w:lineRule="exact"/>
              <w:ind w:left="104"/>
              <w:rPr>
                <w:sz w:val="18"/>
              </w:rPr>
            </w:pPr>
            <w:r>
              <w:rPr>
                <w:spacing w:val="-5"/>
                <w:sz w:val="18"/>
              </w:rPr>
              <w:t>Rem</w:t>
            </w:r>
          </w:p>
        </w:tc>
        <w:tc>
          <w:tcPr>
            <w:tcW w:w="1894" w:type="dxa"/>
            <w:tcBorders>
              <w:top w:val="nil"/>
            </w:tcBorders>
          </w:tcPr>
          <w:p>
            <w:pPr>
              <w:pStyle w:val="TableParagraph"/>
              <w:rPr>
                <w:rFonts w:ascii="Times New Roman"/>
                <w:sz w:val="12"/>
              </w:rPr>
            </w:pPr>
          </w:p>
        </w:tc>
      </w:tr>
      <w:tr>
        <w:trPr>
          <w:trHeight w:val="414" w:hRule="atLeast"/>
        </w:trPr>
        <w:tc>
          <w:tcPr>
            <w:tcW w:w="1980" w:type="dxa"/>
          </w:tcPr>
          <w:p>
            <w:pPr>
              <w:pStyle w:val="TableParagraph"/>
              <w:spacing w:line="206" w:lineRule="exact"/>
              <w:ind w:left="107"/>
              <w:rPr>
                <w:sz w:val="18"/>
              </w:rPr>
            </w:pPr>
            <w:r>
              <w:rPr>
                <w:sz w:val="18"/>
              </w:rPr>
              <w:t>Mr John Duncan External</w:t>
            </w:r>
            <w:r>
              <w:rPr>
                <w:spacing w:val="-13"/>
                <w:sz w:val="18"/>
              </w:rPr>
              <w:t> </w:t>
            </w:r>
            <w:r>
              <w:rPr>
                <w:sz w:val="18"/>
              </w:rPr>
              <w:t>Governor</w:t>
            </w:r>
          </w:p>
        </w:tc>
        <w:tc>
          <w:tcPr>
            <w:tcW w:w="1560" w:type="dxa"/>
          </w:tcPr>
          <w:p>
            <w:pPr>
              <w:pStyle w:val="TableParagraph"/>
              <w:spacing w:line="206" w:lineRule="exact"/>
              <w:ind w:left="107"/>
              <w:rPr>
                <w:sz w:val="18"/>
              </w:rPr>
            </w:pPr>
            <w:r>
              <w:rPr>
                <w:sz w:val="18"/>
              </w:rPr>
              <w:t>June</w:t>
            </w:r>
            <w:r>
              <w:rPr>
                <w:spacing w:val="-3"/>
                <w:sz w:val="18"/>
              </w:rPr>
              <w:t> </w:t>
            </w:r>
            <w:r>
              <w:rPr>
                <w:spacing w:val="-4"/>
                <w:sz w:val="18"/>
              </w:rPr>
              <w:t>2020</w:t>
            </w:r>
          </w:p>
        </w:tc>
        <w:tc>
          <w:tcPr>
            <w:tcW w:w="850" w:type="dxa"/>
          </w:tcPr>
          <w:p>
            <w:pPr>
              <w:pStyle w:val="TableParagraph"/>
              <w:spacing w:line="206" w:lineRule="exact"/>
              <w:ind w:left="105"/>
              <w:rPr>
                <w:sz w:val="18"/>
              </w:rPr>
            </w:pPr>
            <w:r>
              <w:rPr>
                <w:sz w:val="18"/>
              </w:rPr>
              <w:t>3</w:t>
            </w:r>
            <w:r>
              <w:rPr>
                <w:spacing w:val="1"/>
                <w:sz w:val="18"/>
              </w:rPr>
              <w:t> </w:t>
            </w:r>
            <w:r>
              <w:rPr>
                <w:spacing w:val="-2"/>
                <w:sz w:val="18"/>
              </w:rPr>
              <w:t>years</w:t>
            </w:r>
          </w:p>
        </w:tc>
        <w:tc>
          <w:tcPr>
            <w:tcW w:w="1419" w:type="dxa"/>
          </w:tcPr>
          <w:p>
            <w:pPr>
              <w:pStyle w:val="TableParagraph"/>
              <w:spacing w:line="206" w:lineRule="exact"/>
              <w:ind w:left="107"/>
              <w:rPr>
                <w:sz w:val="18"/>
              </w:rPr>
            </w:pPr>
            <w:r>
              <w:rPr>
                <w:sz w:val="18"/>
              </w:rPr>
              <w:t>February</w:t>
            </w:r>
            <w:r>
              <w:rPr>
                <w:spacing w:val="-2"/>
                <w:sz w:val="18"/>
              </w:rPr>
              <w:t> </w:t>
            </w:r>
            <w:r>
              <w:rPr>
                <w:spacing w:val="-4"/>
                <w:sz w:val="18"/>
              </w:rPr>
              <w:t>2023</w:t>
            </w:r>
          </w:p>
        </w:tc>
        <w:tc>
          <w:tcPr>
            <w:tcW w:w="1649" w:type="dxa"/>
          </w:tcPr>
          <w:p>
            <w:pPr>
              <w:pStyle w:val="TableParagraph"/>
              <w:spacing w:line="206" w:lineRule="exact"/>
              <w:ind w:left="104"/>
              <w:rPr>
                <w:sz w:val="18"/>
              </w:rPr>
            </w:pPr>
            <w:r>
              <w:rPr>
                <w:spacing w:val="-2"/>
                <w:sz w:val="18"/>
              </w:rPr>
              <w:t>Corporation;</w:t>
            </w:r>
          </w:p>
        </w:tc>
        <w:tc>
          <w:tcPr>
            <w:tcW w:w="1894" w:type="dxa"/>
          </w:tcPr>
          <w:p>
            <w:pPr>
              <w:pStyle w:val="TableParagraph"/>
              <w:spacing w:line="206" w:lineRule="exact"/>
              <w:ind w:left="106"/>
              <w:rPr>
                <w:sz w:val="18"/>
              </w:rPr>
            </w:pPr>
            <w:r>
              <w:rPr>
                <w:spacing w:val="-5"/>
                <w:sz w:val="18"/>
              </w:rPr>
              <w:t>50%</w:t>
            </w:r>
          </w:p>
        </w:tc>
      </w:tr>
      <w:tr>
        <w:trPr>
          <w:trHeight w:val="208" w:hRule="atLeast"/>
        </w:trPr>
        <w:tc>
          <w:tcPr>
            <w:tcW w:w="1980" w:type="dxa"/>
            <w:tcBorders>
              <w:bottom w:val="nil"/>
            </w:tcBorders>
          </w:tcPr>
          <w:p>
            <w:pPr>
              <w:pStyle w:val="TableParagraph"/>
              <w:spacing w:line="189" w:lineRule="exact"/>
              <w:ind w:left="107"/>
              <w:rPr>
                <w:sz w:val="18"/>
              </w:rPr>
            </w:pPr>
            <w:r>
              <w:rPr>
                <w:sz w:val="18"/>
              </w:rPr>
              <w:t>Dr</w:t>
            </w:r>
            <w:r>
              <w:rPr>
                <w:spacing w:val="-3"/>
                <w:sz w:val="18"/>
              </w:rPr>
              <w:t> </w:t>
            </w:r>
            <w:r>
              <w:rPr>
                <w:sz w:val="18"/>
              </w:rPr>
              <w:t>A </w:t>
            </w:r>
            <w:r>
              <w:rPr>
                <w:spacing w:val="-2"/>
                <w:sz w:val="18"/>
              </w:rPr>
              <w:t>Elseragy</w:t>
            </w:r>
          </w:p>
        </w:tc>
        <w:tc>
          <w:tcPr>
            <w:tcW w:w="1560" w:type="dxa"/>
            <w:tcBorders>
              <w:bottom w:val="nil"/>
            </w:tcBorders>
          </w:tcPr>
          <w:p>
            <w:pPr>
              <w:pStyle w:val="TableParagraph"/>
              <w:spacing w:line="189" w:lineRule="exact"/>
              <w:ind w:left="107"/>
              <w:rPr>
                <w:sz w:val="18"/>
              </w:rPr>
            </w:pPr>
            <w:r>
              <w:rPr>
                <w:sz w:val="18"/>
              </w:rPr>
              <w:t>December</w:t>
            </w:r>
            <w:r>
              <w:rPr>
                <w:spacing w:val="-2"/>
                <w:sz w:val="18"/>
              </w:rPr>
              <w:t> </w:t>
            </w:r>
            <w:r>
              <w:rPr>
                <w:spacing w:val="-4"/>
                <w:sz w:val="18"/>
              </w:rPr>
              <w:t>2022</w:t>
            </w:r>
          </w:p>
        </w:tc>
        <w:tc>
          <w:tcPr>
            <w:tcW w:w="850" w:type="dxa"/>
            <w:tcBorders>
              <w:bottom w:val="nil"/>
            </w:tcBorders>
          </w:tcPr>
          <w:p>
            <w:pPr>
              <w:pStyle w:val="TableParagraph"/>
              <w:spacing w:line="189" w:lineRule="exact"/>
              <w:ind w:left="105"/>
              <w:rPr>
                <w:sz w:val="18"/>
              </w:rPr>
            </w:pPr>
            <w:r>
              <w:rPr>
                <w:sz w:val="18"/>
              </w:rPr>
              <w:t>3</w:t>
            </w:r>
            <w:r>
              <w:rPr>
                <w:spacing w:val="1"/>
                <w:sz w:val="18"/>
              </w:rPr>
              <w:t> </w:t>
            </w:r>
            <w:r>
              <w:rPr>
                <w:spacing w:val="-2"/>
                <w:sz w:val="18"/>
              </w:rPr>
              <w:t>years</w:t>
            </w:r>
          </w:p>
        </w:tc>
        <w:tc>
          <w:tcPr>
            <w:tcW w:w="1419" w:type="dxa"/>
            <w:tcBorders>
              <w:bottom w:val="nil"/>
            </w:tcBorders>
          </w:tcPr>
          <w:p>
            <w:pPr>
              <w:pStyle w:val="TableParagraph"/>
              <w:spacing w:line="189" w:lineRule="exact"/>
              <w:ind w:left="107"/>
              <w:rPr>
                <w:sz w:val="18"/>
              </w:rPr>
            </w:pPr>
            <w:r>
              <w:rPr>
                <w:sz w:val="18"/>
              </w:rPr>
              <w:t>July </w:t>
            </w:r>
            <w:r>
              <w:rPr>
                <w:spacing w:val="-4"/>
                <w:sz w:val="18"/>
              </w:rPr>
              <w:t>2023</w:t>
            </w:r>
          </w:p>
        </w:tc>
        <w:tc>
          <w:tcPr>
            <w:tcW w:w="1649" w:type="dxa"/>
            <w:tcBorders>
              <w:bottom w:val="nil"/>
            </w:tcBorders>
          </w:tcPr>
          <w:p>
            <w:pPr>
              <w:pStyle w:val="TableParagraph"/>
              <w:spacing w:line="189" w:lineRule="exact"/>
              <w:ind w:left="104"/>
              <w:rPr>
                <w:sz w:val="18"/>
              </w:rPr>
            </w:pPr>
            <w:r>
              <w:rPr>
                <w:spacing w:val="-2"/>
                <w:sz w:val="18"/>
              </w:rPr>
              <w:t>Corporation</w:t>
            </w:r>
          </w:p>
        </w:tc>
        <w:tc>
          <w:tcPr>
            <w:tcW w:w="1894" w:type="dxa"/>
            <w:tcBorders>
              <w:bottom w:val="nil"/>
            </w:tcBorders>
          </w:tcPr>
          <w:p>
            <w:pPr>
              <w:pStyle w:val="TableParagraph"/>
              <w:spacing w:line="189" w:lineRule="exact"/>
              <w:ind w:left="106"/>
              <w:rPr>
                <w:sz w:val="18"/>
              </w:rPr>
            </w:pPr>
            <w:r>
              <w:rPr>
                <w:spacing w:val="-5"/>
                <w:sz w:val="18"/>
              </w:rPr>
              <w:t>25%</w:t>
            </w:r>
          </w:p>
        </w:tc>
      </w:tr>
      <w:tr>
        <w:trPr>
          <w:trHeight w:val="203" w:hRule="atLeast"/>
        </w:trPr>
        <w:tc>
          <w:tcPr>
            <w:tcW w:w="1980" w:type="dxa"/>
            <w:tcBorders>
              <w:top w:val="nil"/>
            </w:tcBorders>
          </w:tcPr>
          <w:p>
            <w:pPr>
              <w:pStyle w:val="TableParagraph"/>
              <w:rPr>
                <w:rFonts w:ascii="Times New Roman"/>
                <w:sz w:val="14"/>
              </w:rPr>
            </w:pPr>
          </w:p>
        </w:tc>
        <w:tc>
          <w:tcPr>
            <w:tcW w:w="1560" w:type="dxa"/>
            <w:tcBorders>
              <w:top w:val="nil"/>
            </w:tcBorders>
          </w:tcPr>
          <w:p>
            <w:pPr>
              <w:pStyle w:val="TableParagraph"/>
              <w:rPr>
                <w:rFonts w:ascii="Times New Roman"/>
                <w:sz w:val="14"/>
              </w:rPr>
            </w:pPr>
          </w:p>
        </w:tc>
        <w:tc>
          <w:tcPr>
            <w:tcW w:w="850" w:type="dxa"/>
            <w:tcBorders>
              <w:top w:val="nil"/>
            </w:tcBorders>
          </w:tcPr>
          <w:p>
            <w:pPr>
              <w:pStyle w:val="TableParagraph"/>
              <w:rPr>
                <w:rFonts w:ascii="Times New Roman"/>
                <w:sz w:val="14"/>
              </w:rPr>
            </w:pPr>
          </w:p>
        </w:tc>
        <w:tc>
          <w:tcPr>
            <w:tcW w:w="1419" w:type="dxa"/>
            <w:tcBorders>
              <w:top w:val="nil"/>
            </w:tcBorders>
          </w:tcPr>
          <w:p>
            <w:pPr>
              <w:pStyle w:val="TableParagraph"/>
              <w:rPr>
                <w:rFonts w:ascii="Times New Roman"/>
                <w:sz w:val="14"/>
              </w:rPr>
            </w:pPr>
          </w:p>
        </w:tc>
        <w:tc>
          <w:tcPr>
            <w:tcW w:w="1649" w:type="dxa"/>
            <w:tcBorders>
              <w:top w:val="nil"/>
            </w:tcBorders>
          </w:tcPr>
          <w:p>
            <w:pPr>
              <w:pStyle w:val="TableParagraph"/>
              <w:spacing w:line="184" w:lineRule="exact"/>
              <w:ind w:left="104"/>
              <w:rPr>
                <w:sz w:val="18"/>
              </w:rPr>
            </w:pPr>
            <w:r>
              <w:rPr>
                <w:sz w:val="18"/>
              </w:rPr>
              <w:t>HE</w:t>
            </w:r>
            <w:r>
              <w:rPr>
                <w:spacing w:val="-3"/>
                <w:sz w:val="18"/>
              </w:rPr>
              <w:t> </w:t>
            </w:r>
            <w:r>
              <w:rPr>
                <w:spacing w:val="-2"/>
                <w:sz w:val="18"/>
              </w:rPr>
              <w:t>Advisory</w:t>
            </w:r>
          </w:p>
        </w:tc>
        <w:tc>
          <w:tcPr>
            <w:tcW w:w="1894" w:type="dxa"/>
            <w:tcBorders>
              <w:top w:val="nil"/>
            </w:tcBorders>
          </w:tcPr>
          <w:p>
            <w:pPr>
              <w:pStyle w:val="TableParagraph"/>
              <w:spacing w:line="184" w:lineRule="exact"/>
              <w:ind w:left="106"/>
              <w:rPr>
                <w:sz w:val="18"/>
              </w:rPr>
            </w:pPr>
            <w:r>
              <w:rPr>
                <w:spacing w:val="-5"/>
                <w:sz w:val="18"/>
              </w:rPr>
              <w:t>33%</w:t>
            </w:r>
          </w:p>
        </w:tc>
      </w:tr>
      <w:tr>
        <w:trPr>
          <w:trHeight w:val="204" w:hRule="atLeast"/>
        </w:trPr>
        <w:tc>
          <w:tcPr>
            <w:tcW w:w="1980" w:type="dxa"/>
            <w:tcBorders>
              <w:bottom w:val="nil"/>
            </w:tcBorders>
          </w:tcPr>
          <w:p>
            <w:pPr>
              <w:pStyle w:val="TableParagraph"/>
              <w:spacing w:line="185" w:lineRule="exact"/>
              <w:ind w:left="107"/>
              <w:rPr>
                <w:sz w:val="18"/>
              </w:rPr>
            </w:pPr>
            <w:r>
              <w:rPr>
                <w:sz w:val="18"/>
              </w:rPr>
              <w:t>Mr</w:t>
            </w:r>
            <w:r>
              <w:rPr>
                <w:spacing w:val="-1"/>
                <w:sz w:val="18"/>
              </w:rPr>
              <w:t> </w:t>
            </w:r>
            <w:r>
              <w:rPr>
                <w:sz w:val="18"/>
              </w:rPr>
              <w:t>David </w:t>
            </w:r>
            <w:r>
              <w:rPr>
                <w:spacing w:val="-2"/>
                <w:sz w:val="18"/>
              </w:rPr>
              <w:t>Flatters</w:t>
            </w:r>
          </w:p>
        </w:tc>
        <w:tc>
          <w:tcPr>
            <w:tcW w:w="1560" w:type="dxa"/>
            <w:tcBorders>
              <w:bottom w:val="nil"/>
            </w:tcBorders>
          </w:tcPr>
          <w:p>
            <w:pPr>
              <w:pStyle w:val="TableParagraph"/>
              <w:spacing w:line="185" w:lineRule="exact"/>
              <w:ind w:left="107"/>
              <w:rPr>
                <w:sz w:val="18"/>
              </w:rPr>
            </w:pPr>
            <w:r>
              <w:rPr>
                <w:sz w:val="18"/>
              </w:rPr>
              <w:t>February</w:t>
            </w:r>
            <w:r>
              <w:rPr>
                <w:spacing w:val="-2"/>
                <w:sz w:val="18"/>
              </w:rPr>
              <w:t> </w:t>
            </w:r>
            <w:r>
              <w:rPr>
                <w:spacing w:val="-4"/>
                <w:sz w:val="18"/>
              </w:rPr>
              <w:t>2022</w:t>
            </w:r>
          </w:p>
        </w:tc>
        <w:tc>
          <w:tcPr>
            <w:tcW w:w="850" w:type="dxa"/>
            <w:tcBorders>
              <w:bottom w:val="nil"/>
            </w:tcBorders>
          </w:tcPr>
          <w:p>
            <w:pPr>
              <w:pStyle w:val="TableParagraph"/>
              <w:spacing w:line="185" w:lineRule="exact"/>
              <w:ind w:left="105"/>
              <w:rPr>
                <w:sz w:val="18"/>
              </w:rPr>
            </w:pPr>
            <w:r>
              <w:rPr>
                <w:sz w:val="18"/>
              </w:rPr>
              <w:t>3</w:t>
            </w:r>
            <w:r>
              <w:rPr>
                <w:spacing w:val="1"/>
                <w:sz w:val="18"/>
              </w:rPr>
              <w:t> </w:t>
            </w:r>
            <w:r>
              <w:rPr>
                <w:spacing w:val="-2"/>
                <w:sz w:val="18"/>
              </w:rPr>
              <w:t>years</w:t>
            </w:r>
          </w:p>
        </w:tc>
        <w:tc>
          <w:tcPr>
            <w:tcW w:w="1419" w:type="dxa"/>
            <w:vMerge w:val="restart"/>
          </w:tcPr>
          <w:p>
            <w:pPr>
              <w:pStyle w:val="TableParagraph"/>
              <w:rPr>
                <w:rFonts w:ascii="Times New Roman"/>
                <w:sz w:val="18"/>
              </w:rPr>
            </w:pPr>
          </w:p>
        </w:tc>
        <w:tc>
          <w:tcPr>
            <w:tcW w:w="1649" w:type="dxa"/>
            <w:tcBorders>
              <w:bottom w:val="nil"/>
            </w:tcBorders>
          </w:tcPr>
          <w:p>
            <w:pPr>
              <w:pStyle w:val="TableParagraph"/>
              <w:spacing w:line="185" w:lineRule="exact"/>
              <w:ind w:left="104"/>
              <w:rPr>
                <w:sz w:val="18"/>
              </w:rPr>
            </w:pPr>
            <w:r>
              <w:rPr>
                <w:spacing w:val="-2"/>
                <w:sz w:val="18"/>
              </w:rPr>
              <w:t>Corporation;</w:t>
            </w:r>
          </w:p>
        </w:tc>
        <w:tc>
          <w:tcPr>
            <w:tcW w:w="1894" w:type="dxa"/>
            <w:tcBorders>
              <w:bottom w:val="nil"/>
            </w:tcBorders>
          </w:tcPr>
          <w:p>
            <w:pPr>
              <w:pStyle w:val="TableParagraph"/>
              <w:spacing w:line="185" w:lineRule="exact"/>
              <w:ind w:left="106"/>
              <w:rPr>
                <w:sz w:val="18"/>
              </w:rPr>
            </w:pPr>
            <w:r>
              <w:rPr>
                <w:spacing w:val="-5"/>
                <w:sz w:val="18"/>
              </w:rPr>
              <w:t>83%</w:t>
            </w:r>
          </w:p>
        </w:tc>
      </w:tr>
      <w:tr>
        <w:trPr>
          <w:trHeight w:val="200" w:hRule="atLeast"/>
        </w:trPr>
        <w:tc>
          <w:tcPr>
            <w:tcW w:w="1980" w:type="dxa"/>
            <w:tcBorders>
              <w:top w:val="nil"/>
            </w:tcBorders>
          </w:tcPr>
          <w:p>
            <w:pPr>
              <w:pStyle w:val="TableParagraph"/>
              <w:spacing w:line="180" w:lineRule="exact"/>
              <w:ind w:left="107"/>
              <w:rPr>
                <w:sz w:val="18"/>
              </w:rPr>
            </w:pPr>
            <w:r>
              <w:rPr>
                <w:sz w:val="18"/>
              </w:rPr>
              <w:t>External</w:t>
            </w:r>
            <w:r>
              <w:rPr>
                <w:spacing w:val="-3"/>
                <w:sz w:val="18"/>
              </w:rPr>
              <w:t> </w:t>
            </w:r>
            <w:r>
              <w:rPr>
                <w:spacing w:val="-2"/>
                <w:sz w:val="18"/>
              </w:rPr>
              <w:t>Governor</w:t>
            </w:r>
          </w:p>
        </w:tc>
        <w:tc>
          <w:tcPr>
            <w:tcW w:w="1560" w:type="dxa"/>
            <w:tcBorders>
              <w:top w:val="nil"/>
            </w:tcBorders>
          </w:tcPr>
          <w:p>
            <w:pPr>
              <w:pStyle w:val="TableParagraph"/>
              <w:rPr>
                <w:rFonts w:ascii="Times New Roman"/>
                <w:sz w:val="12"/>
              </w:rPr>
            </w:pPr>
          </w:p>
        </w:tc>
        <w:tc>
          <w:tcPr>
            <w:tcW w:w="850" w:type="dxa"/>
            <w:tcBorders>
              <w:top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tcBorders>
          </w:tcPr>
          <w:p>
            <w:pPr>
              <w:pStyle w:val="TableParagraph"/>
              <w:spacing w:line="180" w:lineRule="exact"/>
              <w:ind w:left="104"/>
              <w:rPr>
                <w:sz w:val="18"/>
              </w:rPr>
            </w:pPr>
            <w:r>
              <w:rPr>
                <w:spacing w:val="-2"/>
                <w:sz w:val="18"/>
              </w:rPr>
              <w:t>Audit</w:t>
            </w:r>
          </w:p>
        </w:tc>
        <w:tc>
          <w:tcPr>
            <w:tcW w:w="1894" w:type="dxa"/>
            <w:tcBorders>
              <w:top w:val="nil"/>
            </w:tcBorders>
          </w:tcPr>
          <w:p>
            <w:pPr>
              <w:pStyle w:val="TableParagraph"/>
              <w:spacing w:line="180" w:lineRule="exact"/>
              <w:ind w:left="106"/>
              <w:rPr>
                <w:sz w:val="18"/>
              </w:rPr>
            </w:pPr>
            <w:r>
              <w:rPr>
                <w:spacing w:val="-4"/>
                <w:sz w:val="18"/>
              </w:rPr>
              <w:t>100%</w:t>
            </w:r>
          </w:p>
        </w:tc>
      </w:tr>
      <w:tr>
        <w:trPr>
          <w:trHeight w:val="208" w:hRule="atLeast"/>
        </w:trPr>
        <w:tc>
          <w:tcPr>
            <w:tcW w:w="1980" w:type="dxa"/>
            <w:tcBorders>
              <w:bottom w:val="nil"/>
            </w:tcBorders>
          </w:tcPr>
          <w:p>
            <w:pPr>
              <w:pStyle w:val="TableParagraph"/>
              <w:spacing w:line="189" w:lineRule="exact"/>
              <w:ind w:left="107"/>
              <w:rPr>
                <w:sz w:val="18"/>
              </w:rPr>
            </w:pPr>
            <w:r>
              <w:rPr>
                <w:sz w:val="18"/>
              </w:rPr>
              <w:t>Mr G </w:t>
            </w:r>
            <w:r>
              <w:rPr>
                <w:spacing w:val="-2"/>
                <w:sz w:val="18"/>
              </w:rPr>
              <w:t>Gallen</w:t>
            </w:r>
          </w:p>
        </w:tc>
        <w:tc>
          <w:tcPr>
            <w:tcW w:w="1560" w:type="dxa"/>
            <w:tcBorders>
              <w:bottom w:val="nil"/>
            </w:tcBorders>
          </w:tcPr>
          <w:p>
            <w:pPr>
              <w:pStyle w:val="TableParagraph"/>
              <w:spacing w:line="189" w:lineRule="exact"/>
              <w:ind w:left="107"/>
              <w:rPr>
                <w:sz w:val="18"/>
              </w:rPr>
            </w:pPr>
            <w:r>
              <w:rPr>
                <w:sz w:val="18"/>
              </w:rPr>
              <w:t>December</w:t>
            </w:r>
            <w:r>
              <w:rPr>
                <w:spacing w:val="-2"/>
                <w:sz w:val="18"/>
              </w:rPr>
              <w:t> </w:t>
            </w:r>
            <w:r>
              <w:rPr>
                <w:spacing w:val="-4"/>
                <w:sz w:val="18"/>
              </w:rPr>
              <w:t>2022</w:t>
            </w:r>
          </w:p>
        </w:tc>
        <w:tc>
          <w:tcPr>
            <w:tcW w:w="850" w:type="dxa"/>
            <w:tcBorders>
              <w:bottom w:val="nil"/>
            </w:tcBorders>
          </w:tcPr>
          <w:p>
            <w:pPr>
              <w:pStyle w:val="TableParagraph"/>
              <w:spacing w:line="189" w:lineRule="exact"/>
              <w:ind w:left="105"/>
              <w:rPr>
                <w:sz w:val="18"/>
              </w:rPr>
            </w:pPr>
            <w:r>
              <w:rPr>
                <w:sz w:val="18"/>
              </w:rPr>
              <w:t>3</w:t>
            </w:r>
            <w:r>
              <w:rPr>
                <w:spacing w:val="1"/>
                <w:sz w:val="18"/>
              </w:rPr>
              <w:t> </w:t>
            </w:r>
            <w:r>
              <w:rPr>
                <w:spacing w:val="-2"/>
                <w:sz w:val="18"/>
              </w:rPr>
              <w:t>years</w:t>
            </w:r>
          </w:p>
        </w:tc>
        <w:tc>
          <w:tcPr>
            <w:tcW w:w="1419" w:type="dxa"/>
            <w:tcBorders>
              <w:bottom w:val="nil"/>
            </w:tcBorders>
          </w:tcPr>
          <w:p>
            <w:pPr>
              <w:pStyle w:val="TableParagraph"/>
              <w:spacing w:line="189" w:lineRule="exact"/>
              <w:ind w:left="107"/>
              <w:rPr>
                <w:sz w:val="18"/>
              </w:rPr>
            </w:pPr>
            <w:r>
              <w:rPr>
                <w:sz w:val="18"/>
              </w:rPr>
              <w:t>October</w:t>
            </w:r>
            <w:r>
              <w:rPr>
                <w:spacing w:val="-2"/>
                <w:sz w:val="18"/>
              </w:rPr>
              <w:t> </w:t>
            </w:r>
            <w:r>
              <w:rPr>
                <w:spacing w:val="-4"/>
                <w:sz w:val="18"/>
              </w:rPr>
              <w:t>2023</w:t>
            </w:r>
          </w:p>
        </w:tc>
        <w:tc>
          <w:tcPr>
            <w:tcW w:w="1649" w:type="dxa"/>
            <w:tcBorders>
              <w:bottom w:val="nil"/>
            </w:tcBorders>
          </w:tcPr>
          <w:p>
            <w:pPr>
              <w:pStyle w:val="TableParagraph"/>
              <w:spacing w:line="189" w:lineRule="exact"/>
              <w:ind w:left="104"/>
              <w:rPr>
                <w:sz w:val="18"/>
              </w:rPr>
            </w:pPr>
            <w:r>
              <w:rPr>
                <w:spacing w:val="-2"/>
                <w:sz w:val="18"/>
              </w:rPr>
              <w:t>Corporation;</w:t>
            </w:r>
          </w:p>
        </w:tc>
        <w:tc>
          <w:tcPr>
            <w:tcW w:w="1894" w:type="dxa"/>
            <w:tcBorders>
              <w:bottom w:val="nil"/>
            </w:tcBorders>
          </w:tcPr>
          <w:p>
            <w:pPr>
              <w:pStyle w:val="TableParagraph"/>
              <w:spacing w:line="189" w:lineRule="exact"/>
              <w:ind w:left="106"/>
              <w:rPr>
                <w:sz w:val="18"/>
              </w:rPr>
            </w:pPr>
            <w:r>
              <w:rPr>
                <w:spacing w:val="-5"/>
                <w:sz w:val="18"/>
              </w:rPr>
              <w:t>50%</w:t>
            </w:r>
          </w:p>
        </w:tc>
      </w:tr>
      <w:tr>
        <w:trPr>
          <w:trHeight w:val="207" w:hRule="atLeast"/>
        </w:trPr>
        <w:tc>
          <w:tcPr>
            <w:tcW w:w="1980" w:type="dxa"/>
            <w:tcBorders>
              <w:top w:val="nil"/>
              <w:bottom w:val="nil"/>
            </w:tcBorders>
          </w:tcPr>
          <w:p>
            <w:pPr>
              <w:pStyle w:val="TableParagraph"/>
              <w:rPr>
                <w:rFonts w:ascii="Times New Roman"/>
                <w:sz w:val="14"/>
              </w:rPr>
            </w:pPr>
          </w:p>
        </w:tc>
        <w:tc>
          <w:tcPr>
            <w:tcW w:w="1560" w:type="dxa"/>
            <w:tcBorders>
              <w:top w:val="nil"/>
              <w:bottom w:val="nil"/>
            </w:tcBorders>
          </w:tcPr>
          <w:p>
            <w:pPr>
              <w:pStyle w:val="TableParagraph"/>
              <w:rPr>
                <w:rFonts w:ascii="Times New Roman"/>
                <w:sz w:val="14"/>
              </w:rPr>
            </w:pPr>
          </w:p>
        </w:tc>
        <w:tc>
          <w:tcPr>
            <w:tcW w:w="850" w:type="dxa"/>
            <w:tcBorders>
              <w:top w:val="nil"/>
              <w:bottom w:val="nil"/>
            </w:tcBorders>
          </w:tcPr>
          <w:p>
            <w:pPr>
              <w:pStyle w:val="TableParagraph"/>
              <w:rPr>
                <w:rFonts w:ascii="Times New Roman"/>
                <w:sz w:val="14"/>
              </w:rPr>
            </w:pPr>
          </w:p>
        </w:tc>
        <w:tc>
          <w:tcPr>
            <w:tcW w:w="1419" w:type="dxa"/>
            <w:tcBorders>
              <w:top w:val="nil"/>
              <w:bottom w:val="nil"/>
            </w:tcBorders>
          </w:tcPr>
          <w:p>
            <w:pPr>
              <w:pStyle w:val="TableParagraph"/>
              <w:rPr>
                <w:rFonts w:ascii="Times New Roman"/>
                <w:sz w:val="14"/>
              </w:rPr>
            </w:pPr>
          </w:p>
        </w:tc>
        <w:tc>
          <w:tcPr>
            <w:tcW w:w="1649" w:type="dxa"/>
            <w:tcBorders>
              <w:top w:val="nil"/>
              <w:bottom w:val="nil"/>
            </w:tcBorders>
          </w:tcPr>
          <w:p>
            <w:pPr>
              <w:pStyle w:val="TableParagraph"/>
              <w:spacing w:line="188" w:lineRule="exact"/>
              <w:ind w:left="104"/>
              <w:rPr>
                <w:sz w:val="18"/>
              </w:rPr>
            </w:pPr>
            <w:r>
              <w:rPr>
                <w:sz w:val="18"/>
              </w:rPr>
              <w:t>Finance </w:t>
            </w:r>
            <w:r>
              <w:rPr>
                <w:spacing w:val="-10"/>
                <w:sz w:val="18"/>
              </w:rPr>
              <w:t>&amp;</w:t>
            </w:r>
          </w:p>
        </w:tc>
        <w:tc>
          <w:tcPr>
            <w:tcW w:w="1894" w:type="dxa"/>
            <w:tcBorders>
              <w:top w:val="nil"/>
              <w:bottom w:val="nil"/>
            </w:tcBorders>
          </w:tcPr>
          <w:p>
            <w:pPr>
              <w:pStyle w:val="TableParagraph"/>
              <w:spacing w:line="188" w:lineRule="exact"/>
              <w:ind w:left="106"/>
              <w:rPr>
                <w:sz w:val="18"/>
              </w:rPr>
            </w:pPr>
            <w:r>
              <w:rPr>
                <w:spacing w:val="-4"/>
                <w:sz w:val="18"/>
              </w:rPr>
              <w:t>100%</w:t>
            </w:r>
          </w:p>
        </w:tc>
      </w:tr>
      <w:tr>
        <w:trPr>
          <w:trHeight w:val="204" w:hRule="atLeast"/>
        </w:trPr>
        <w:tc>
          <w:tcPr>
            <w:tcW w:w="1980" w:type="dxa"/>
            <w:tcBorders>
              <w:top w:val="nil"/>
            </w:tcBorders>
          </w:tcPr>
          <w:p>
            <w:pPr>
              <w:pStyle w:val="TableParagraph"/>
              <w:rPr>
                <w:rFonts w:ascii="Times New Roman"/>
                <w:sz w:val="14"/>
              </w:rPr>
            </w:pPr>
          </w:p>
        </w:tc>
        <w:tc>
          <w:tcPr>
            <w:tcW w:w="1560" w:type="dxa"/>
            <w:tcBorders>
              <w:top w:val="nil"/>
            </w:tcBorders>
          </w:tcPr>
          <w:p>
            <w:pPr>
              <w:pStyle w:val="TableParagraph"/>
              <w:rPr>
                <w:rFonts w:ascii="Times New Roman"/>
                <w:sz w:val="14"/>
              </w:rPr>
            </w:pPr>
          </w:p>
        </w:tc>
        <w:tc>
          <w:tcPr>
            <w:tcW w:w="850" w:type="dxa"/>
            <w:tcBorders>
              <w:top w:val="nil"/>
            </w:tcBorders>
          </w:tcPr>
          <w:p>
            <w:pPr>
              <w:pStyle w:val="TableParagraph"/>
              <w:rPr>
                <w:rFonts w:ascii="Times New Roman"/>
                <w:sz w:val="14"/>
              </w:rPr>
            </w:pPr>
          </w:p>
        </w:tc>
        <w:tc>
          <w:tcPr>
            <w:tcW w:w="1419" w:type="dxa"/>
            <w:tcBorders>
              <w:top w:val="nil"/>
            </w:tcBorders>
          </w:tcPr>
          <w:p>
            <w:pPr>
              <w:pStyle w:val="TableParagraph"/>
              <w:rPr>
                <w:rFonts w:ascii="Times New Roman"/>
                <w:sz w:val="14"/>
              </w:rPr>
            </w:pPr>
          </w:p>
        </w:tc>
        <w:tc>
          <w:tcPr>
            <w:tcW w:w="1649" w:type="dxa"/>
            <w:tcBorders>
              <w:top w:val="nil"/>
            </w:tcBorders>
          </w:tcPr>
          <w:p>
            <w:pPr>
              <w:pStyle w:val="TableParagraph"/>
              <w:spacing w:line="185" w:lineRule="exact"/>
              <w:ind w:left="104"/>
              <w:rPr>
                <w:sz w:val="18"/>
              </w:rPr>
            </w:pPr>
            <w:r>
              <w:rPr>
                <w:spacing w:val="-2"/>
                <w:sz w:val="18"/>
              </w:rPr>
              <w:t>Resources</w:t>
            </w:r>
          </w:p>
        </w:tc>
        <w:tc>
          <w:tcPr>
            <w:tcW w:w="1894" w:type="dxa"/>
            <w:tcBorders>
              <w:top w:val="nil"/>
            </w:tcBorders>
          </w:tcPr>
          <w:p>
            <w:pPr>
              <w:pStyle w:val="TableParagraph"/>
              <w:rPr>
                <w:rFonts w:ascii="Times New Roman"/>
                <w:sz w:val="14"/>
              </w:rPr>
            </w:pPr>
          </w:p>
        </w:tc>
      </w:tr>
      <w:tr>
        <w:trPr>
          <w:trHeight w:val="203" w:hRule="atLeast"/>
        </w:trPr>
        <w:tc>
          <w:tcPr>
            <w:tcW w:w="1980" w:type="dxa"/>
            <w:tcBorders>
              <w:bottom w:val="nil"/>
            </w:tcBorders>
          </w:tcPr>
          <w:p>
            <w:pPr>
              <w:pStyle w:val="TableParagraph"/>
              <w:spacing w:line="184" w:lineRule="exact"/>
              <w:ind w:left="107"/>
              <w:rPr>
                <w:sz w:val="18"/>
              </w:rPr>
            </w:pPr>
            <w:r>
              <w:rPr>
                <w:sz w:val="18"/>
              </w:rPr>
              <w:t>Ms</w:t>
            </w:r>
            <w:r>
              <w:rPr>
                <w:spacing w:val="-1"/>
                <w:sz w:val="18"/>
              </w:rPr>
              <w:t> </w:t>
            </w:r>
            <w:r>
              <w:rPr>
                <w:sz w:val="18"/>
              </w:rPr>
              <w:t>Joanne</w:t>
            </w:r>
            <w:r>
              <w:rPr>
                <w:spacing w:val="1"/>
                <w:sz w:val="18"/>
              </w:rPr>
              <w:t> </w:t>
            </w:r>
            <w:r>
              <w:rPr>
                <w:spacing w:val="-2"/>
                <w:sz w:val="18"/>
              </w:rPr>
              <w:t>Gibbons</w:t>
            </w:r>
          </w:p>
        </w:tc>
        <w:tc>
          <w:tcPr>
            <w:tcW w:w="1560" w:type="dxa"/>
            <w:tcBorders>
              <w:bottom w:val="nil"/>
            </w:tcBorders>
          </w:tcPr>
          <w:p>
            <w:pPr>
              <w:pStyle w:val="TableParagraph"/>
              <w:spacing w:line="184" w:lineRule="exact"/>
              <w:ind w:left="107"/>
              <w:rPr>
                <w:sz w:val="18"/>
              </w:rPr>
            </w:pPr>
            <w:r>
              <w:rPr>
                <w:sz w:val="18"/>
              </w:rPr>
              <w:t>February</w:t>
            </w:r>
            <w:r>
              <w:rPr>
                <w:spacing w:val="-2"/>
                <w:sz w:val="18"/>
              </w:rPr>
              <w:t> </w:t>
            </w:r>
            <w:r>
              <w:rPr>
                <w:spacing w:val="-4"/>
                <w:sz w:val="18"/>
              </w:rPr>
              <w:t>2022</w:t>
            </w:r>
          </w:p>
        </w:tc>
        <w:tc>
          <w:tcPr>
            <w:tcW w:w="850" w:type="dxa"/>
            <w:tcBorders>
              <w:bottom w:val="nil"/>
            </w:tcBorders>
          </w:tcPr>
          <w:p>
            <w:pPr>
              <w:pStyle w:val="TableParagraph"/>
              <w:spacing w:line="184" w:lineRule="exact"/>
              <w:ind w:left="105"/>
              <w:rPr>
                <w:sz w:val="18"/>
              </w:rPr>
            </w:pPr>
            <w:r>
              <w:rPr>
                <w:sz w:val="18"/>
              </w:rPr>
              <w:t>3</w:t>
            </w:r>
            <w:r>
              <w:rPr>
                <w:spacing w:val="1"/>
                <w:sz w:val="18"/>
              </w:rPr>
              <w:t> </w:t>
            </w:r>
            <w:r>
              <w:rPr>
                <w:spacing w:val="-2"/>
                <w:sz w:val="18"/>
              </w:rPr>
              <w:t>years</w:t>
            </w:r>
          </w:p>
        </w:tc>
        <w:tc>
          <w:tcPr>
            <w:tcW w:w="1419" w:type="dxa"/>
            <w:vMerge w:val="restart"/>
          </w:tcPr>
          <w:p>
            <w:pPr>
              <w:pStyle w:val="TableParagraph"/>
              <w:rPr>
                <w:rFonts w:ascii="Times New Roman"/>
                <w:sz w:val="18"/>
              </w:rPr>
            </w:pPr>
          </w:p>
        </w:tc>
        <w:tc>
          <w:tcPr>
            <w:tcW w:w="1649" w:type="dxa"/>
            <w:tcBorders>
              <w:bottom w:val="nil"/>
            </w:tcBorders>
          </w:tcPr>
          <w:p>
            <w:pPr>
              <w:pStyle w:val="TableParagraph"/>
              <w:spacing w:line="184" w:lineRule="exact"/>
              <w:ind w:left="104"/>
              <w:rPr>
                <w:sz w:val="18"/>
              </w:rPr>
            </w:pPr>
            <w:r>
              <w:rPr>
                <w:spacing w:val="-2"/>
                <w:sz w:val="18"/>
              </w:rPr>
              <w:t>Corporation;</w:t>
            </w:r>
          </w:p>
        </w:tc>
        <w:tc>
          <w:tcPr>
            <w:tcW w:w="1894" w:type="dxa"/>
            <w:tcBorders>
              <w:bottom w:val="nil"/>
            </w:tcBorders>
          </w:tcPr>
          <w:p>
            <w:pPr>
              <w:pStyle w:val="TableParagraph"/>
              <w:spacing w:line="184" w:lineRule="exact"/>
              <w:ind w:left="106"/>
              <w:rPr>
                <w:sz w:val="18"/>
              </w:rPr>
            </w:pPr>
            <w:r>
              <w:rPr>
                <w:spacing w:val="-5"/>
                <w:sz w:val="18"/>
              </w:rPr>
              <w:t>40%</w:t>
            </w:r>
          </w:p>
        </w:tc>
      </w:tr>
      <w:tr>
        <w:trPr>
          <w:trHeight w:val="196" w:hRule="atLeast"/>
        </w:trPr>
        <w:tc>
          <w:tcPr>
            <w:tcW w:w="1980" w:type="dxa"/>
            <w:tcBorders>
              <w:top w:val="nil"/>
              <w:bottom w:val="nil"/>
            </w:tcBorders>
          </w:tcPr>
          <w:p>
            <w:pPr>
              <w:pStyle w:val="TableParagraph"/>
              <w:spacing w:line="176" w:lineRule="exact"/>
              <w:ind w:left="107"/>
              <w:rPr>
                <w:sz w:val="18"/>
              </w:rPr>
            </w:pPr>
            <w:r>
              <w:rPr>
                <w:sz w:val="18"/>
              </w:rPr>
              <w:t>External</w:t>
            </w:r>
            <w:r>
              <w:rPr>
                <w:spacing w:val="-3"/>
                <w:sz w:val="18"/>
              </w:rPr>
              <w:t> </w:t>
            </w:r>
            <w:r>
              <w:rPr>
                <w:spacing w:val="-2"/>
                <w:sz w:val="18"/>
              </w:rPr>
              <w:t>Governor</w:t>
            </w: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6" w:lineRule="exact"/>
              <w:ind w:left="104"/>
              <w:rPr>
                <w:sz w:val="18"/>
              </w:rPr>
            </w:pPr>
            <w:r>
              <w:rPr>
                <w:sz w:val="18"/>
              </w:rPr>
              <w:t>Finance </w:t>
            </w:r>
            <w:r>
              <w:rPr>
                <w:spacing w:val="-10"/>
                <w:sz w:val="18"/>
              </w:rPr>
              <w:t>&amp;</w:t>
            </w:r>
          </w:p>
        </w:tc>
        <w:tc>
          <w:tcPr>
            <w:tcW w:w="1894" w:type="dxa"/>
            <w:tcBorders>
              <w:top w:val="nil"/>
              <w:bottom w:val="nil"/>
            </w:tcBorders>
          </w:tcPr>
          <w:p>
            <w:pPr>
              <w:pStyle w:val="TableParagraph"/>
              <w:spacing w:line="176" w:lineRule="exact"/>
              <w:ind w:left="106"/>
              <w:rPr>
                <w:sz w:val="18"/>
              </w:rPr>
            </w:pPr>
            <w:r>
              <w:rPr>
                <w:spacing w:val="-5"/>
                <w:sz w:val="18"/>
              </w:rPr>
              <w:t>25%</w:t>
            </w:r>
          </w:p>
        </w:tc>
      </w:tr>
      <w:tr>
        <w:trPr>
          <w:trHeight w:val="246" w:hRule="atLeast"/>
        </w:trPr>
        <w:tc>
          <w:tcPr>
            <w:tcW w:w="1980" w:type="dxa"/>
            <w:tcBorders>
              <w:top w:val="nil"/>
            </w:tcBorders>
          </w:tcPr>
          <w:p>
            <w:pPr>
              <w:pStyle w:val="TableParagraph"/>
              <w:rPr>
                <w:rFonts w:ascii="Times New Roman"/>
                <w:sz w:val="16"/>
              </w:rPr>
            </w:pPr>
          </w:p>
        </w:tc>
        <w:tc>
          <w:tcPr>
            <w:tcW w:w="1560" w:type="dxa"/>
            <w:tcBorders>
              <w:top w:val="nil"/>
            </w:tcBorders>
          </w:tcPr>
          <w:p>
            <w:pPr>
              <w:pStyle w:val="TableParagraph"/>
              <w:rPr>
                <w:rFonts w:ascii="Times New Roman"/>
                <w:sz w:val="16"/>
              </w:rPr>
            </w:pPr>
          </w:p>
        </w:tc>
        <w:tc>
          <w:tcPr>
            <w:tcW w:w="850" w:type="dxa"/>
            <w:tcBorders>
              <w:top w:val="nil"/>
            </w:tcBorders>
          </w:tcPr>
          <w:p>
            <w:pPr>
              <w:pStyle w:val="TableParagraph"/>
              <w:rPr>
                <w:rFonts w:ascii="Times New Roman"/>
                <w:sz w:val="16"/>
              </w:rPr>
            </w:pPr>
          </w:p>
        </w:tc>
        <w:tc>
          <w:tcPr>
            <w:tcW w:w="1419" w:type="dxa"/>
            <w:vMerge/>
            <w:tcBorders>
              <w:top w:val="nil"/>
            </w:tcBorders>
          </w:tcPr>
          <w:p>
            <w:pPr>
              <w:rPr>
                <w:sz w:val="2"/>
                <w:szCs w:val="2"/>
              </w:rPr>
            </w:pPr>
          </w:p>
        </w:tc>
        <w:tc>
          <w:tcPr>
            <w:tcW w:w="1649" w:type="dxa"/>
            <w:tcBorders>
              <w:top w:val="nil"/>
            </w:tcBorders>
          </w:tcPr>
          <w:p>
            <w:pPr>
              <w:pStyle w:val="TableParagraph"/>
              <w:spacing w:line="199" w:lineRule="exact"/>
              <w:ind w:left="104"/>
              <w:rPr>
                <w:sz w:val="18"/>
              </w:rPr>
            </w:pPr>
            <w:r>
              <w:rPr>
                <w:spacing w:val="-2"/>
                <w:sz w:val="18"/>
              </w:rPr>
              <w:t>Resources</w:t>
            </w:r>
          </w:p>
        </w:tc>
        <w:tc>
          <w:tcPr>
            <w:tcW w:w="1894" w:type="dxa"/>
            <w:tcBorders>
              <w:top w:val="nil"/>
            </w:tcBorders>
          </w:tcPr>
          <w:p>
            <w:pPr>
              <w:pStyle w:val="TableParagraph"/>
              <w:rPr>
                <w:rFonts w:ascii="Times New Roman"/>
                <w:sz w:val="16"/>
              </w:rPr>
            </w:pPr>
          </w:p>
        </w:tc>
      </w:tr>
      <w:tr>
        <w:trPr>
          <w:trHeight w:val="204" w:hRule="atLeast"/>
        </w:trPr>
        <w:tc>
          <w:tcPr>
            <w:tcW w:w="1980" w:type="dxa"/>
            <w:tcBorders>
              <w:bottom w:val="nil"/>
            </w:tcBorders>
          </w:tcPr>
          <w:p>
            <w:pPr>
              <w:pStyle w:val="TableParagraph"/>
              <w:spacing w:line="185" w:lineRule="exact"/>
              <w:ind w:left="107"/>
              <w:rPr>
                <w:sz w:val="18"/>
              </w:rPr>
            </w:pPr>
            <w:r>
              <w:rPr>
                <w:sz w:val="18"/>
              </w:rPr>
              <w:t>Ms</w:t>
            </w:r>
            <w:r>
              <w:rPr>
                <w:spacing w:val="-2"/>
                <w:sz w:val="18"/>
              </w:rPr>
              <w:t> </w:t>
            </w:r>
            <w:r>
              <w:rPr>
                <w:sz w:val="18"/>
              </w:rPr>
              <w:t>Debra </w:t>
            </w:r>
            <w:r>
              <w:rPr>
                <w:spacing w:val="-4"/>
                <w:sz w:val="18"/>
              </w:rPr>
              <w:t>Gray</w:t>
            </w:r>
          </w:p>
        </w:tc>
        <w:tc>
          <w:tcPr>
            <w:tcW w:w="1560" w:type="dxa"/>
            <w:tcBorders>
              <w:bottom w:val="nil"/>
            </w:tcBorders>
          </w:tcPr>
          <w:p>
            <w:pPr>
              <w:pStyle w:val="TableParagraph"/>
              <w:spacing w:line="185" w:lineRule="exact"/>
              <w:ind w:left="107"/>
              <w:rPr>
                <w:sz w:val="18"/>
              </w:rPr>
            </w:pPr>
            <w:r>
              <w:rPr>
                <w:sz w:val="18"/>
              </w:rPr>
              <w:t>April </w:t>
            </w:r>
            <w:r>
              <w:rPr>
                <w:spacing w:val="-4"/>
                <w:sz w:val="18"/>
              </w:rPr>
              <w:t>2022</w:t>
            </w:r>
          </w:p>
        </w:tc>
        <w:tc>
          <w:tcPr>
            <w:tcW w:w="850" w:type="dxa"/>
            <w:tcBorders>
              <w:bottom w:val="nil"/>
            </w:tcBorders>
          </w:tcPr>
          <w:p>
            <w:pPr>
              <w:pStyle w:val="TableParagraph"/>
              <w:spacing w:line="185" w:lineRule="exact"/>
              <w:ind w:left="105"/>
              <w:rPr>
                <w:sz w:val="18"/>
              </w:rPr>
            </w:pPr>
            <w:r>
              <w:rPr>
                <w:spacing w:val="-5"/>
                <w:sz w:val="18"/>
              </w:rPr>
              <w:t>n/a</w:t>
            </w:r>
          </w:p>
        </w:tc>
        <w:tc>
          <w:tcPr>
            <w:tcW w:w="1419" w:type="dxa"/>
            <w:vMerge w:val="restart"/>
          </w:tcPr>
          <w:p>
            <w:pPr>
              <w:pStyle w:val="TableParagraph"/>
              <w:rPr>
                <w:rFonts w:ascii="Times New Roman"/>
                <w:sz w:val="18"/>
              </w:rPr>
            </w:pPr>
          </w:p>
        </w:tc>
        <w:tc>
          <w:tcPr>
            <w:tcW w:w="1649" w:type="dxa"/>
            <w:tcBorders>
              <w:bottom w:val="nil"/>
            </w:tcBorders>
          </w:tcPr>
          <w:p>
            <w:pPr>
              <w:pStyle w:val="TableParagraph"/>
              <w:spacing w:line="185" w:lineRule="exact"/>
              <w:ind w:left="104"/>
              <w:rPr>
                <w:sz w:val="18"/>
              </w:rPr>
            </w:pPr>
            <w:r>
              <w:rPr>
                <w:spacing w:val="-2"/>
                <w:sz w:val="18"/>
              </w:rPr>
              <w:t>Corporation;</w:t>
            </w:r>
          </w:p>
        </w:tc>
        <w:tc>
          <w:tcPr>
            <w:tcW w:w="1894" w:type="dxa"/>
            <w:tcBorders>
              <w:bottom w:val="nil"/>
            </w:tcBorders>
          </w:tcPr>
          <w:p>
            <w:pPr>
              <w:pStyle w:val="TableParagraph"/>
              <w:spacing w:line="185" w:lineRule="exact"/>
              <w:ind w:left="106"/>
              <w:rPr>
                <w:sz w:val="18"/>
              </w:rPr>
            </w:pPr>
            <w:r>
              <w:rPr>
                <w:spacing w:val="-4"/>
                <w:sz w:val="18"/>
              </w:rPr>
              <w:t>100%</w:t>
            </w:r>
          </w:p>
        </w:tc>
      </w:tr>
      <w:tr>
        <w:trPr>
          <w:trHeight w:val="197" w:hRule="atLeast"/>
        </w:trPr>
        <w:tc>
          <w:tcPr>
            <w:tcW w:w="1980" w:type="dxa"/>
            <w:tcBorders>
              <w:top w:val="nil"/>
              <w:bottom w:val="nil"/>
            </w:tcBorders>
          </w:tcPr>
          <w:p>
            <w:pPr>
              <w:pStyle w:val="TableParagraph"/>
              <w:spacing w:line="178" w:lineRule="exact"/>
              <w:ind w:left="107"/>
              <w:rPr>
                <w:sz w:val="18"/>
              </w:rPr>
            </w:pPr>
            <w:r>
              <w:rPr>
                <w:spacing w:val="-2"/>
                <w:sz w:val="18"/>
              </w:rPr>
              <w:t>Principal/CEO</w:t>
            </w: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8" w:lineRule="exact"/>
              <w:ind w:left="104"/>
              <w:rPr>
                <w:sz w:val="18"/>
              </w:rPr>
            </w:pPr>
            <w:r>
              <w:rPr>
                <w:sz w:val="18"/>
              </w:rPr>
              <w:t>Finance </w:t>
            </w:r>
            <w:r>
              <w:rPr>
                <w:spacing w:val="-10"/>
                <w:sz w:val="18"/>
              </w:rPr>
              <w:t>&amp;</w:t>
            </w:r>
          </w:p>
        </w:tc>
        <w:tc>
          <w:tcPr>
            <w:tcW w:w="1894" w:type="dxa"/>
            <w:tcBorders>
              <w:top w:val="nil"/>
              <w:bottom w:val="nil"/>
            </w:tcBorders>
          </w:tcPr>
          <w:p>
            <w:pPr>
              <w:pStyle w:val="TableParagraph"/>
              <w:spacing w:line="178" w:lineRule="exact"/>
              <w:ind w:left="106"/>
              <w:rPr>
                <w:sz w:val="18"/>
              </w:rPr>
            </w:pPr>
            <w:r>
              <w:rPr>
                <w:spacing w:val="-5"/>
                <w:sz w:val="18"/>
              </w:rPr>
              <w:t>75%</w:t>
            </w:r>
          </w:p>
        </w:tc>
      </w:tr>
      <w:tr>
        <w:trPr>
          <w:trHeight w:val="196" w:hRule="atLeast"/>
        </w:trPr>
        <w:tc>
          <w:tcPr>
            <w:tcW w:w="1980" w:type="dxa"/>
            <w:tcBorders>
              <w:top w:val="nil"/>
              <w:bottom w:val="nil"/>
            </w:tcBorders>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6" w:lineRule="exact"/>
              <w:ind w:left="104"/>
              <w:rPr>
                <w:sz w:val="18"/>
              </w:rPr>
            </w:pPr>
            <w:r>
              <w:rPr>
                <w:spacing w:val="-2"/>
                <w:sz w:val="18"/>
              </w:rPr>
              <w:t>Resources;</w:t>
            </w:r>
          </w:p>
        </w:tc>
        <w:tc>
          <w:tcPr>
            <w:tcW w:w="1894" w:type="dxa"/>
            <w:tcBorders>
              <w:top w:val="nil"/>
              <w:bottom w:val="nil"/>
            </w:tcBorders>
          </w:tcPr>
          <w:p>
            <w:pPr>
              <w:pStyle w:val="TableParagraph"/>
              <w:rPr>
                <w:rFonts w:ascii="Times New Roman"/>
                <w:sz w:val="12"/>
              </w:rPr>
            </w:pPr>
          </w:p>
        </w:tc>
      </w:tr>
      <w:tr>
        <w:trPr>
          <w:trHeight w:val="196" w:hRule="atLeast"/>
        </w:trPr>
        <w:tc>
          <w:tcPr>
            <w:tcW w:w="1980" w:type="dxa"/>
            <w:tcBorders>
              <w:top w:val="nil"/>
              <w:bottom w:val="nil"/>
            </w:tcBorders>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6" w:lineRule="exact"/>
              <w:ind w:left="104"/>
              <w:rPr>
                <w:sz w:val="18"/>
              </w:rPr>
            </w:pPr>
            <w:r>
              <w:rPr>
                <w:sz w:val="18"/>
              </w:rPr>
              <w:t>Gov,</w:t>
            </w:r>
            <w:r>
              <w:rPr>
                <w:spacing w:val="-2"/>
                <w:sz w:val="18"/>
              </w:rPr>
              <w:t> </w:t>
            </w:r>
            <w:r>
              <w:rPr>
                <w:sz w:val="18"/>
              </w:rPr>
              <w:t>Search </w:t>
            </w:r>
            <w:r>
              <w:rPr>
                <w:spacing w:val="-10"/>
                <w:sz w:val="18"/>
              </w:rPr>
              <w:t>&amp;</w:t>
            </w:r>
          </w:p>
        </w:tc>
        <w:tc>
          <w:tcPr>
            <w:tcW w:w="1894" w:type="dxa"/>
            <w:tcBorders>
              <w:top w:val="nil"/>
              <w:bottom w:val="nil"/>
            </w:tcBorders>
          </w:tcPr>
          <w:p>
            <w:pPr>
              <w:pStyle w:val="TableParagraph"/>
              <w:spacing w:line="176" w:lineRule="exact"/>
              <w:ind w:left="106"/>
              <w:rPr>
                <w:sz w:val="18"/>
              </w:rPr>
            </w:pPr>
            <w:r>
              <w:rPr>
                <w:spacing w:val="-4"/>
                <w:sz w:val="18"/>
              </w:rPr>
              <w:t>100%</w:t>
            </w:r>
          </w:p>
        </w:tc>
      </w:tr>
      <w:tr>
        <w:trPr>
          <w:trHeight w:val="197" w:hRule="atLeast"/>
        </w:trPr>
        <w:tc>
          <w:tcPr>
            <w:tcW w:w="1980" w:type="dxa"/>
            <w:tcBorders>
              <w:top w:val="nil"/>
              <w:bottom w:val="nil"/>
            </w:tcBorders>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8" w:lineRule="exact"/>
              <w:ind w:left="104"/>
              <w:rPr>
                <w:sz w:val="18"/>
              </w:rPr>
            </w:pPr>
            <w:r>
              <w:rPr>
                <w:spacing w:val="-5"/>
                <w:sz w:val="18"/>
              </w:rPr>
              <w:t>Rem</w:t>
            </w:r>
          </w:p>
        </w:tc>
        <w:tc>
          <w:tcPr>
            <w:tcW w:w="1894" w:type="dxa"/>
            <w:tcBorders>
              <w:top w:val="nil"/>
              <w:bottom w:val="nil"/>
            </w:tcBorders>
          </w:tcPr>
          <w:p>
            <w:pPr>
              <w:pStyle w:val="TableParagraph"/>
              <w:rPr>
                <w:rFonts w:ascii="Times New Roman"/>
                <w:sz w:val="12"/>
              </w:rPr>
            </w:pPr>
          </w:p>
        </w:tc>
      </w:tr>
      <w:tr>
        <w:trPr>
          <w:trHeight w:val="197" w:hRule="atLeast"/>
        </w:trPr>
        <w:tc>
          <w:tcPr>
            <w:tcW w:w="1980" w:type="dxa"/>
            <w:tcBorders>
              <w:top w:val="nil"/>
              <w:bottom w:val="nil"/>
            </w:tcBorders>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8" w:lineRule="exact"/>
              <w:ind w:left="104"/>
              <w:rPr>
                <w:sz w:val="18"/>
              </w:rPr>
            </w:pPr>
            <w:r>
              <w:rPr>
                <w:sz w:val="18"/>
              </w:rPr>
              <w:t>HE</w:t>
            </w:r>
            <w:r>
              <w:rPr>
                <w:spacing w:val="-3"/>
                <w:sz w:val="18"/>
              </w:rPr>
              <w:t> </w:t>
            </w:r>
            <w:r>
              <w:rPr>
                <w:spacing w:val="-2"/>
                <w:sz w:val="18"/>
              </w:rPr>
              <w:t>Advisory</w:t>
            </w:r>
          </w:p>
        </w:tc>
        <w:tc>
          <w:tcPr>
            <w:tcW w:w="1894" w:type="dxa"/>
            <w:tcBorders>
              <w:top w:val="nil"/>
              <w:bottom w:val="nil"/>
            </w:tcBorders>
          </w:tcPr>
          <w:p>
            <w:pPr>
              <w:pStyle w:val="TableParagraph"/>
              <w:spacing w:line="178" w:lineRule="exact"/>
              <w:ind w:left="106"/>
              <w:rPr>
                <w:sz w:val="18"/>
              </w:rPr>
            </w:pPr>
            <w:r>
              <w:rPr>
                <w:spacing w:val="-4"/>
                <w:sz w:val="18"/>
              </w:rPr>
              <w:t>100%</w:t>
            </w:r>
          </w:p>
        </w:tc>
      </w:tr>
      <w:tr>
        <w:trPr>
          <w:trHeight w:val="198" w:hRule="atLeast"/>
        </w:trPr>
        <w:tc>
          <w:tcPr>
            <w:tcW w:w="1980" w:type="dxa"/>
            <w:tcBorders>
              <w:top w:val="nil"/>
            </w:tcBorders>
          </w:tcPr>
          <w:p>
            <w:pPr>
              <w:pStyle w:val="TableParagraph"/>
              <w:rPr>
                <w:rFonts w:ascii="Times New Roman"/>
                <w:sz w:val="12"/>
              </w:rPr>
            </w:pPr>
          </w:p>
        </w:tc>
        <w:tc>
          <w:tcPr>
            <w:tcW w:w="1560" w:type="dxa"/>
            <w:tcBorders>
              <w:top w:val="nil"/>
            </w:tcBorders>
          </w:tcPr>
          <w:p>
            <w:pPr>
              <w:pStyle w:val="TableParagraph"/>
              <w:rPr>
                <w:rFonts w:ascii="Times New Roman"/>
                <w:sz w:val="12"/>
              </w:rPr>
            </w:pPr>
          </w:p>
        </w:tc>
        <w:tc>
          <w:tcPr>
            <w:tcW w:w="850" w:type="dxa"/>
            <w:tcBorders>
              <w:top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tcBorders>
          </w:tcPr>
          <w:p>
            <w:pPr>
              <w:pStyle w:val="TableParagraph"/>
              <w:spacing w:line="179" w:lineRule="exact"/>
              <w:ind w:left="104"/>
              <w:rPr>
                <w:sz w:val="18"/>
              </w:rPr>
            </w:pPr>
            <w:r>
              <w:rPr>
                <w:spacing w:val="-2"/>
                <w:sz w:val="18"/>
              </w:rPr>
              <w:t>Standards</w:t>
            </w:r>
          </w:p>
        </w:tc>
        <w:tc>
          <w:tcPr>
            <w:tcW w:w="1894" w:type="dxa"/>
            <w:tcBorders>
              <w:top w:val="nil"/>
            </w:tcBorders>
          </w:tcPr>
          <w:p>
            <w:pPr>
              <w:pStyle w:val="TableParagraph"/>
              <w:spacing w:line="179" w:lineRule="exact"/>
              <w:ind w:left="106"/>
              <w:rPr>
                <w:sz w:val="18"/>
              </w:rPr>
            </w:pPr>
            <w:r>
              <w:rPr>
                <w:spacing w:val="-4"/>
                <w:sz w:val="18"/>
              </w:rPr>
              <w:t>100%</w:t>
            </w:r>
          </w:p>
        </w:tc>
      </w:tr>
      <w:tr>
        <w:trPr>
          <w:trHeight w:val="204" w:hRule="atLeast"/>
        </w:trPr>
        <w:tc>
          <w:tcPr>
            <w:tcW w:w="1980" w:type="dxa"/>
            <w:tcBorders>
              <w:bottom w:val="nil"/>
            </w:tcBorders>
          </w:tcPr>
          <w:p>
            <w:pPr>
              <w:pStyle w:val="TableParagraph"/>
              <w:spacing w:line="185" w:lineRule="exact"/>
              <w:ind w:left="107"/>
              <w:rPr>
                <w:sz w:val="18"/>
              </w:rPr>
            </w:pPr>
            <w:r>
              <w:rPr>
                <w:sz w:val="18"/>
              </w:rPr>
              <w:t>Mr Joey</w:t>
            </w:r>
            <w:r>
              <w:rPr>
                <w:spacing w:val="1"/>
                <w:sz w:val="18"/>
              </w:rPr>
              <w:t> </w:t>
            </w:r>
            <w:r>
              <w:rPr>
                <w:spacing w:val="-2"/>
                <w:sz w:val="18"/>
              </w:rPr>
              <w:t>Greenwood</w:t>
            </w:r>
          </w:p>
        </w:tc>
        <w:tc>
          <w:tcPr>
            <w:tcW w:w="1560" w:type="dxa"/>
            <w:tcBorders>
              <w:bottom w:val="nil"/>
            </w:tcBorders>
          </w:tcPr>
          <w:p>
            <w:pPr>
              <w:pStyle w:val="TableParagraph"/>
              <w:spacing w:line="185" w:lineRule="exact"/>
              <w:ind w:left="107"/>
              <w:rPr>
                <w:sz w:val="18"/>
              </w:rPr>
            </w:pPr>
            <w:r>
              <w:rPr>
                <w:sz w:val="18"/>
              </w:rPr>
              <w:t>August</w:t>
            </w:r>
            <w:r>
              <w:rPr>
                <w:spacing w:val="-2"/>
                <w:sz w:val="18"/>
              </w:rPr>
              <w:t> </w:t>
            </w:r>
            <w:r>
              <w:rPr>
                <w:spacing w:val="-4"/>
                <w:sz w:val="18"/>
              </w:rPr>
              <w:t>2020</w:t>
            </w:r>
          </w:p>
        </w:tc>
        <w:tc>
          <w:tcPr>
            <w:tcW w:w="850" w:type="dxa"/>
            <w:tcBorders>
              <w:bottom w:val="nil"/>
            </w:tcBorders>
          </w:tcPr>
          <w:p>
            <w:pPr>
              <w:pStyle w:val="TableParagraph"/>
              <w:spacing w:line="185" w:lineRule="exact"/>
              <w:ind w:left="105"/>
              <w:rPr>
                <w:sz w:val="18"/>
              </w:rPr>
            </w:pPr>
            <w:r>
              <w:rPr>
                <w:sz w:val="18"/>
              </w:rPr>
              <w:t>3</w:t>
            </w:r>
            <w:r>
              <w:rPr>
                <w:spacing w:val="1"/>
                <w:sz w:val="18"/>
              </w:rPr>
              <w:t> </w:t>
            </w:r>
            <w:r>
              <w:rPr>
                <w:spacing w:val="-2"/>
                <w:sz w:val="18"/>
              </w:rPr>
              <w:t>years</w:t>
            </w:r>
          </w:p>
        </w:tc>
        <w:tc>
          <w:tcPr>
            <w:tcW w:w="1419" w:type="dxa"/>
            <w:vMerge w:val="restart"/>
          </w:tcPr>
          <w:p>
            <w:pPr>
              <w:pStyle w:val="TableParagraph"/>
              <w:rPr>
                <w:rFonts w:ascii="Times New Roman"/>
                <w:sz w:val="18"/>
              </w:rPr>
            </w:pPr>
          </w:p>
        </w:tc>
        <w:tc>
          <w:tcPr>
            <w:tcW w:w="1649" w:type="dxa"/>
            <w:tcBorders>
              <w:bottom w:val="nil"/>
            </w:tcBorders>
          </w:tcPr>
          <w:p>
            <w:pPr>
              <w:pStyle w:val="TableParagraph"/>
              <w:spacing w:line="185" w:lineRule="exact"/>
              <w:ind w:left="104"/>
              <w:rPr>
                <w:sz w:val="18"/>
              </w:rPr>
            </w:pPr>
            <w:r>
              <w:rPr>
                <w:spacing w:val="-2"/>
                <w:sz w:val="18"/>
              </w:rPr>
              <w:t>Corporation;</w:t>
            </w:r>
          </w:p>
        </w:tc>
        <w:tc>
          <w:tcPr>
            <w:tcW w:w="1894" w:type="dxa"/>
            <w:tcBorders>
              <w:bottom w:val="nil"/>
            </w:tcBorders>
          </w:tcPr>
          <w:p>
            <w:pPr>
              <w:pStyle w:val="TableParagraph"/>
              <w:spacing w:line="185" w:lineRule="exact"/>
              <w:ind w:left="106"/>
              <w:rPr>
                <w:sz w:val="18"/>
              </w:rPr>
            </w:pPr>
            <w:r>
              <w:rPr>
                <w:spacing w:val="-5"/>
                <w:sz w:val="18"/>
              </w:rPr>
              <w:t>83%</w:t>
            </w:r>
          </w:p>
        </w:tc>
      </w:tr>
      <w:tr>
        <w:trPr>
          <w:trHeight w:val="197" w:hRule="atLeast"/>
        </w:trPr>
        <w:tc>
          <w:tcPr>
            <w:tcW w:w="1980" w:type="dxa"/>
            <w:tcBorders>
              <w:top w:val="nil"/>
              <w:bottom w:val="nil"/>
            </w:tcBorders>
          </w:tcPr>
          <w:p>
            <w:pPr>
              <w:pStyle w:val="TableParagraph"/>
              <w:spacing w:line="178" w:lineRule="exact"/>
              <w:ind w:left="107"/>
              <w:rPr>
                <w:sz w:val="18"/>
              </w:rPr>
            </w:pPr>
            <w:r>
              <w:rPr>
                <w:sz w:val="18"/>
              </w:rPr>
              <w:t>External</w:t>
            </w:r>
            <w:r>
              <w:rPr>
                <w:spacing w:val="-3"/>
                <w:sz w:val="18"/>
              </w:rPr>
              <w:t> </w:t>
            </w:r>
            <w:r>
              <w:rPr>
                <w:spacing w:val="-2"/>
                <w:sz w:val="18"/>
              </w:rPr>
              <w:t>Governor</w:t>
            </w: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8" w:lineRule="exact"/>
              <w:ind w:left="104"/>
              <w:rPr>
                <w:sz w:val="18"/>
              </w:rPr>
            </w:pPr>
            <w:r>
              <w:rPr>
                <w:spacing w:val="-2"/>
                <w:sz w:val="18"/>
              </w:rPr>
              <w:t>Standards;</w:t>
            </w:r>
          </w:p>
        </w:tc>
        <w:tc>
          <w:tcPr>
            <w:tcW w:w="1894" w:type="dxa"/>
            <w:tcBorders>
              <w:top w:val="nil"/>
              <w:bottom w:val="nil"/>
            </w:tcBorders>
          </w:tcPr>
          <w:p>
            <w:pPr>
              <w:pStyle w:val="TableParagraph"/>
              <w:spacing w:line="178" w:lineRule="exact"/>
              <w:ind w:left="106"/>
              <w:rPr>
                <w:sz w:val="18"/>
              </w:rPr>
            </w:pPr>
            <w:r>
              <w:rPr>
                <w:spacing w:val="-4"/>
                <w:sz w:val="18"/>
              </w:rPr>
              <w:t>100%</w:t>
            </w:r>
          </w:p>
        </w:tc>
      </w:tr>
      <w:tr>
        <w:trPr>
          <w:trHeight w:val="196" w:hRule="atLeast"/>
        </w:trPr>
        <w:tc>
          <w:tcPr>
            <w:tcW w:w="1980" w:type="dxa"/>
            <w:tcBorders>
              <w:top w:val="nil"/>
              <w:bottom w:val="nil"/>
            </w:tcBorders>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6" w:lineRule="exact"/>
              <w:ind w:left="104"/>
              <w:rPr>
                <w:sz w:val="18"/>
              </w:rPr>
            </w:pPr>
            <w:r>
              <w:rPr>
                <w:sz w:val="18"/>
              </w:rPr>
              <w:t>HE</w:t>
            </w:r>
            <w:r>
              <w:rPr>
                <w:spacing w:val="-3"/>
                <w:sz w:val="18"/>
              </w:rPr>
              <w:t> </w:t>
            </w:r>
            <w:r>
              <w:rPr>
                <w:spacing w:val="-2"/>
                <w:sz w:val="18"/>
              </w:rPr>
              <w:t>Advisory</w:t>
            </w:r>
          </w:p>
        </w:tc>
        <w:tc>
          <w:tcPr>
            <w:tcW w:w="1894" w:type="dxa"/>
            <w:tcBorders>
              <w:top w:val="nil"/>
              <w:bottom w:val="nil"/>
            </w:tcBorders>
          </w:tcPr>
          <w:p>
            <w:pPr>
              <w:pStyle w:val="TableParagraph"/>
              <w:spacing w:line="176" w:lineRule="exact"/>
              <w:ind w:left="106"/>
              <w:rPr>
                <w:sz w:val="18"/>
              </w:rPr>
            </w:pPr>
            <w:r>
              <w:rPr>
                <w:spacing w:val="-4"/>
                <w:sz w:val="18"/>
              </w:rPr>
              <w:t>100%</w:t>
            </w:r>
          </w:p>
        </w:tc>
      </w:tr>
      <w:tr>
        <w:trPr>
          <w:trHeight w:val="196" w:hRule="atLeast"/>
        </w:trPr>
        <w:tc>
          <w:tcPr>
            <w:tcW w:w="1980" w:type="dxa"/>
            <w:tcBorders>
              <w:top w:val="nil"/>
              <w:bottom w:val="nil"/>
            </w:tcBorders>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6" w:lineRule="exact"/>
              <w:ind w:left="104"/>
              <w:rPr>
                <w:sz w:val="18"/>
              </w:rPr>
            </w:pPr>
            <w:r>
              <w:rPr>
                <w:sz w:val="18"/>
              </w:rPr>
              <w:t>Gov,</w:t>
            </w:r>
            <w:r>
              <w:rPr>
                <w:spacing w:val="-2"/>
                <w:sz w:val="18"/>
              </w:rPr>
              <w:t> </w:t>
            </w:r>
            <w:r>
              <w:rPr>
                <w:sz w:val="18"/>
              </w:rPr>
              <w:t>Search </w:t>
            </w:r>
            <w:r>
              <w:rPr>
                <w:spacing w:val="-10"/>
                <w:sz w:val="18"/>
              </w:rPr>
              <w:t>&amp;</w:t>
            </w:r>
          </w:p>
        </w:tc>
        <w:tc>
          <w:tcPr>
            <w:tcW w:w="1894" w:type="dxa"/>
            <w:tcBorders>
              <w:top w:val="nil"/>
              <w:bottom w:val="nil"/>
            </w:tcBorders>
          </w:tcPr>
          <w:p>
            <w:pPr>
              <w:pStyle w:val="TableParagraph"/>
              <w:spacing w:line="176" w:lineRule="exact"/>
              <w:ind w:left="106"/>
              <w:rPr>
                <w:sz w:val="18"/>
              </w:rPr>
            </w:pPr>
            <w:r>
              <w:rPr>
                <w:spacing w:val="-4"/>
                <w:sz w:val="18"/>
              </w:rPr>
              <w:t>100%</w:t>
            </w:r>
          </w:p>
        </w:tc>
      </w:tr>
      <w:tr>
        <w:trPr>
          <w:trHeight w:val="201" w:hRule="atLeast"/>
        </w:trPr>
        <w:tc>
          <w:tcPr>
            <w:tcW w:w="1980" w:type="dxa"/>
            <w:tcBorders>
              <w:top w:val="nil"/>
            </w:tcBorders>
          </w:tcPr>
          <w:p>
            <w:pPr>
              <w:pStyle w:val="TableParagraph"/>
              <w:rPr>
                <w:rFonts w:ascii="Times New Roman"/>
                <w:sz w:val="14"/>
              </w:rPr>
            </w:pPr>
          </w:p>
        </w:tc>
        <w:tc>
          <w:tcPr>
            <w:tcW w:w="1560" w:type="dxa"/>
            <w:tcBorders>
              <w:top w:val="nil"/>
            </w:tcBorders>
          </w:tcPr>
          <w:p>
            <w:pPr>
              <w:pStyle w:val="TableParagraph"/>
              <w:rPr>
                <w:rFonts w:ascii="Times New Roman"/>
                <w:sz w:val="14"/>
              </w:rPr>
            </w:pPr>
          </w:p>
        </w:tc>
        <w:tc>
          <w:tcPr>
            <w:tcW w:w="850" w:type="dxa"/>
            <w:tcBorders>
              <w:top w:val="nil"/>
            </w:tcBorders>
          </w:tcPr>
          <w:p>
            <w:pPr>
              <w:pStyle w:val="TableParagraph"/>
              <w:rPr>
                <w:rFonts w:ascii="Times New Roman"/>
                <w:sz w:val="14"/>
              </w:rPr>
            </w:pPr>
          </w:p>
        </w:tc>
        <w:tc>
          <w:tcPr>
            <w:tcW w:w="1419" w:type="dxa"/>
            <w:vMerge/>
            <w:tcBorders>
              <w:top w:val="nil"/>
            </w:tcBorders>
          </w:tcPr>
          <w:p>
            <w:pPr>
              <w:rPr>
                <w:sz w:val="2"/>
                <w:szCs w:val="2"/>
              </w:rPr>
            </w:pPr>
          </w:p>
        </w:tc>
        <w:tc>
          <w:tcPr>
            <w:tcW w:w="1649" w:type="dxa"/>
            <w:tcBorders>
              <w:top w:val="nil"/>
            </w:tcBorders>
          </w:tcPr>
          <w:p>
            <w:pPr>
              <w:pStyle w:val="TableParagraph"/>
              <w:spacing w:line="181" w:lineRule="exact"/>
              <w:ind w:left="104"/>
              <w:rPr>
                <w:sz w:val="18"/>
              </w:rPr>
            </w:pPr>
            <w:r>
              <w:rPr>
                <w:spacing w:val="-5"/>
                <w:sz w:val="18"/>
              </w:rPr>
              <w:t>Rem</w:t>
            </w:r>
          </w:p>
        </w:tc>
        <w:tc>
          <w:tcPr>
            <w:tcW w:w="1894" w:type="dxa"/>
            <w:tcBorders>
              <w:top w:val="nil"/>
            </w:tcBorders>
          </w:tcPr>
          <w:p>
            <w:pPr>
              <w:pStyle w:val="TableParagraph"/>
              <w:rPr>
                <w:rFonts w:ascii="Times New Roman"/>
                <w:sz w:val="14"/>
              </w:rPr>
            </w:pPr>
          </w:p>
        </w:tc>
      </w:tr>
      <w:tr>
        <w:trPr>
          <w:trHeight w:val="203" w:hRule="atLeast"/>
        </w:trPr>
        <w:tc>
          <w:tcPr>
            <w:tcW w:w="1980" w:type="dxa"/>
            <w:tcBorders>
              <w:bottom w:val="nil"/>
            </w:tcBorders>
          </w:tcPr>
          <w:p>
            <w:pPr>
              <w:pStyle w:val="TableParagraph"/>
              <w:spacing w:line="184" w:lineRule="exact"/>
              <w:ind w:left="107"/>
              <w:rPr>
                <w:sz w:val="18"/>
              </w:rPr>
            </w:pPr>
            <w:r>
              <w:rPr>
                <w:sz w:val="18"/>
              </w:rPr>
              <w:t>Mr</w:t>
            </w:r>
            <w:r>
              <w:rPr>
                <w:spacing w:val="-2"/>
                <w:sz w:val="18"/>
              </w:rPr>
              <w:t> </w:t>
            </w:r>
            <w:r>
              <w:rPr>
                <w:sz w:val="18"/>
              </w:rPr>
              <w:t>Rob</w:t>
            </w:r>
            <w:r>
              <w:rPr>
                <w:spacing w:val="-2"/>
                <w:sz w:val="18"/>
              </w:rPr>
              <w:t> Lawson</w:t>
            </w:r>
          </w:p>
        </w:tc>
        <w:tc>
          <w:tcPr>
            <w:tcW w:w="1560" w:type="dxa"/>
            <w:tcBorders>
              <w:bottom w:val="nil"/>
            </w:tcBorders>
          </w:tcPr>
          <w:p>
            <w:pPr>
              <w:pStyle w:val="TableParagraph"/>
              <w:spacing w:line="184" w:lineRule="exact"/>
              <w:ind w:left="107"/>
              <w:rPr>
                <w:sz w:val="18"/>
              </w:rPr>
            </w:pPr>
            <w:r>
              <w:rPr>
                <w:sz w:val="18"/>
              </w:rPr>
              <w:t>July </w:t>
            </w:r>
            <w:r>
              <w:rPr>
                <w:spacing w:val="-4"/>
                <w:sz w:val="18"/>
              </w:rPr>
              <w:t>2022</w:t>
            </w:r>
          </w:p>
        </w:tc>
        <w:tc>
          <w:tcPr>
            <w:tcW w:w="850" w:type="dxa"/>
            <w:tcBorders>
              <w:bottom w:val="nil"/>
            </w:tcBorders>
          </w:tcPr>
          <w:p>
            <w:pPr>
              <w:pStyle w:val="TableParagraph"/>
              <w:spacing w:line="184" w:lineRule="exact"/>
              <w:ind w:left="105"/>
              <w:rPr>
                <w:sz w:val="18"/>
              </w:rPr>
            </w:pPr>
            <w:r>
              <w:rPr>
                <w:sz w:val="18"/>
              </w:rPr>
              <w:t>3</w:t>
            </w:r>
            <w:r>
              <w:rPr>
                <w:spacing w:val="1"/>
                <w:sz w:val="18"/>
              </w:rPr>
              <w:t> </w:t>
            </w:r>
            <w:r>
              <w:rPr>
                <w:spacing w:val="-2"/>
                <w:sz w:val="18"/>
              </w:rPr>
              <w:t>years</w:t>
            </w:r>
          </w:p>
        </w:tc>
        <w:tc>
          <w:tcPr>
            <w:tcW w:w="1419" w:type="dxa"/>
            <w:vMerge w:val="restart"/>
          </w:tcPr>
          <w:p>
            <w:pPr>
              <w:pStyle w:val="TableParagraph"/>
              <w:rPr>
                <w:rFonts w:ascii="Times New Roman"/>
                <w:sz w:val="18"/>
              </w:rPr>
            </w:pPr>
          </w:p>
        </w:tc>
        <w:tc>
          <w:tcPr>
            <w:tcW w:w="1649" w:type="dxa"/>
            <w:tcBorders>
              <w:bottom w:val="nil"/>
            </w:tcBorders>
          </w:tcPr>
          <w:p>
            <w:pPr>
              <w:pStyle w:val="TableParagraph"/>
              <w:spacing w:line="184" w:lineRule="exact"/>
              <w:ind w:left="104"/>
              <w:rPr>
                <w:sz w:val="18"/>
              </w:rPr>
            </w:pPr>
            <w:r>
              <w:rPr>
                <w:spacing w:val="-2"/>
                <w:sz w:val="18"/>
              </w:rPr>
              <w:t>Corporation;</w:t>
            </w:r>
          </w:p>
        </w:tc>
        <w:tc>
          <w:tcPr>
            <w:tcW w:w="1894" w:type="dxa"/>
            <w:tcBorders>
              <w:bottom w:val="nil"/>
            </w:tcBorders>
          </w:tcPr>
          <w:p>
            <w:pPr>
              <w:pStyle w:val="TableParagraph"/>
              <w:spacing w:line="184" w:lineRule="exact"/>
              <w:ind w:left="106"/>
              <w:rPr>
                <w:sz w:val="18"/>
              </w:rPr>
            </w:pPr>
            <w:r>
              <w:rPr>
                <w:spacing w:val="-4"/>
                <w:sz w:val="18"/>
              </w:rPr>
              <w:t>100%</w:t>
            </w:r>
          </w:p>
        </w:tc>
      </w:tr>
      <w:tr>
        <w:trPr>
          <w:trHeight w:val="196" w:hRule="atLeast"/>
        </w:trPr>
        <w:tc>
          <w:tcPr>
            <w:tcW w:w="1980" w:type="dxa"/>
            <w:tcBorders>
              <w:top w:val="nil"/>
              <w:bottom w:val="nil"/>
            </w:tcBorders>
          </w:tcPr>
          <w:p>
            <w:pPr>
              <w:pStyle w:val="TableParagraph"/>
              <w:spacing w:line="176" w:lineRule="exact"/>
              <w:ind w:left="107"/>
              <w:rPr>
                <w:sz w:val="18"/>
              </w:rPr>
            </w:pPr>
            <w:r>
              <w:rPr>
                <w:sz w:val="18"/>
              </w:rPr>
              <w:t>External</w:t>
            </w:r>
            <w:r>
              <w:rPr>
                <w:spacing w:val="-3"/>
                <w:sz w:val="18"/>
              </w:rPr>
              <w:t> </w:t>
            </w:r>
            <w:r>
              <w:rPr>
                <w:spacing w:val="-2"/>
                <w:sz w:val="18"/>
              </w:rPr>
              <w:t>Governor</w:t>
            </w: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6" w:lineRule="exact"/>
              <w:ind w:left="104"/>
              <w:rPr>
                <w:sz w:val="18"/>
              </w:rPr>
            </w:pPr>
            <w:r>
              <w:rPr>
                <w:sz w:val="18"/>
              </w:rPr>
              <w:t>Finance </w:t>
            </w:r>
            <w:r>
              <w:rPr>
                <w:spacing w:val="-10"/>
                <w:sz w:val="18"/>
              </w:rPr>
              <w:t>&amp;</w:t>
            </w:r>
          </w:p>
        </w:tc>
        <w:tc>
          <w:tcPr>
            <w:tcW w:w="1894" w:type="dxa"/>
            <w:tcBorders>
              <w:top w:val="nil"/>
              <w:bottom w:val="nil"/>
            </w:tcBorders>
          </w:tcPr>
          <w:p>
            <w:pPr>
              <w:pStyle w:val="TableParagraph"/>
              <w:spacing w:line="176" w:lineRule="exact"/>
              <w:ind w:left="106"/>
              <w:rPr>
                <w:sz w:val="18"/>
              </w:rPr>
            </w:pPr>
            <w:r>
              <w:rPr>
                <w:spacing w:val="-5"/>
                <w:sz w:val="18"/>
              </w:rPr>
              <w:t>50%</w:t>
            </w:r>
          </w:p>
        </w:tc>
      </w:tr>
      <w:tr>
        <w:trPr>
          <w:trHeight w:val="196" w:hRule="atLeast"/>
        </w:trPr>
        <w:tc>
          <w:tcPr>
            <w:tcW w:w="1980" w:type="dxa"/>
            <w:tcBorders>
              <w:top w:val="nil"/>
              <w:bottom w:val="nil"/>
            </w:tcBorders>
          </w:tcPr>
          <w:p>
            <w:pPr>
              <w:pStyle w:val="TableParagraph"/>
              <w:spacing w:line="176" w:lineRule="exact"/>
              <w:ind w:left="107"/>
              <w:rPr>
                <w:position w:val="6"/>
                <w:sz w:val="12"/>
              </w:rPr>
            </w:pPr>
            <w:r>
              <w:rPr>
                <w:sz w:val="18"/>
              </w:rPr>
              <w:t>(Chair</w:t>
            </w:r>
            <w:r>
              <w:rPr>
                <w:spacing w:val="-5"/>
                <w:sz w:val="18"/>
              </w:rPr>
              <w:t> </w:t>
            </w:r>
            <w:r>
              <w:rPr>
                <w:sz w:val="18"/>
              </w:rPr>
              <w:t>from</w:t>
            </w:r>
            <w:r>
              <w:rPr>
                <w:spacing w:val="-1"/>
                <w:sz w:val="18"/>
              </w:rPr>
              <w:t> </w:t>
            </w:r>
            <w:r>
              <w:rPr>
                <w:spacing w:val="-5"/>
                <w:sz w:val="18"/>
              </w:rPr>
              <w:t>1</w:t>
            </w:r>
            <w:r>
              <w:rPr>
                <w:spacing w:val="-5"/>
                <w:position w:val="6"/>
                <w:sz w:val="12"/>
              </w:rPr>
              <w:t>st</w:t>
            </w: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6" w:lineRule="exact"/>
              <w:ind w:left="104"/>
              <w:rPr>
                <w:sz w:val="18"/>
              </w:rPr>
            </w:pPr>
            <w:r>
              <w:rPr>
                <w:spacing w:val="-2"/>
                <w:sz w:val="18"/>
              </w:rPr>
              <w:t>Resources;</w:t>
            </w:r>
          </w:p>
        </w:tc>
        <w:tc>
          <w:tcPr>
            <w:tcW w:w="1894" w:type="dxa"/>
            <w:tcBorders>
              <w:top w:val="nil"/>
              <w:bottom w:val="nil"/>
            </w:tcBorders>
          </w:tcPr>
          <w:p>
            <w:pPr>
              <w:pStyle w:val="TableParagraph"/>
              <w:rPr>
                <w:rFonts w:ascii="Times New Roman"/>
                <w:sz w:val="12"/>
              </w:rPr>
            </w:pPr>
          </w:p>
        </w:tc>
      </w:tr>
      <w:tr>
        <w:trPr>
          <w:trHeight w:val="197" w:hRule="atLeast"/>
        </w:trPr>
        <w:tc>
          <w:tcPr>
            <w:tcW w:w="1980" w:type="dxa"/>
            <w:tcBorders>
              <w:top w:val="nil"/>
              <w:bottom w:val="nil"/>
            </w:tcBorders>
          </w:tcPr>
          <w:p>
            <w:pPr>
              <w:pStyle w:val="TableParagraph"/>
              <w:spacing w:line="178" w:lineRule="exact"/>
              <w:ind w:left="107"/>
              <w:rPr>
                <w:sz w:val="18"/>
              </w:rPr>
            </w:pPr>
            <w:r>
              <w:rPr>
                <w:sz w:val="18"/>
              </w:rPr>
              <w:t>September</w:t>
            </w:r>
            <w:r>
              <w:rPr>
                <w:spacing w:val="-4"/>
                <w:sz w:val="18"/>
              </w:rPr>
              <w:t> </w:t>
            </w:r>
            <w:r>
              <w:rPr>
                <w:spacing w:val="-2"/>
                <w:sz w:val="18"/>
              </w:rPr>
              <w:t>2022)</w:t>
            </w: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8" w:lineRule="exact"/>
              <w:ind w:left="104"/>
              <w:rPr>
                <w:sz w:val="18"/>
              </w:rPr>
            </w:pPr>
            <w:r>
              <w:rPr>
                <w:sz w:val="18"/>
              </w:rPr>
              <w:t>Gov,</w:t>
            </w:r>
            <w:r>
              <w:rPr>
                <w:spacing w:val="-2"/>
                <w:sz w:val="18"/>
              </w:rPr>
              <w:t> </w:t>
            </w:r>
            <w:r>
              <w:rPr>
                <w:sz w:val="18"/>
              </w:rPr>
              <w:t>Search </w:t>
            </w:r>
            <w:r>
              <w:rPr>
                <w:spacing w:val="-10"/>
                <w:sz w:val="18"/>
              </w:rPr>
              <w:t>&amp;</w:t>
            </w:r>
          </w:p>
        </w:tc>
        <w:tc>
          <w:tcPr>
            <w:tcW w:w="1894" w:type="dxa"/>
            <w:tcBorders>
              <w:top w:val="nil"/>
              <w:bottom w:val="nil"/>
            </w:tcBorders>
          </w:tcPr>
          <w:p>
            <w:pPr>
              <w:pStyle w:val="TableParagraph"/>
              <w:spacing w:line="178" w:lineRule="exact"/>
              <w:ind w:left="106"/>
              <w:rPr>
                <w:sz w:val="18"/>
              </w:rPr>
            </w:pPr>
            <w:r>
              <w:rPr>
                <w:spacing w:val="-4"/>
                <w:sz w:val="18"/>
              </w:rPr>
              <w:t>100%</w:t>
            </w:r>
          </w:p>
        </w:tc>
      </w:tr>
      <w:tr>
        <w:trPr>
          <w:trHeight w:val="197" w:hRule="atLeast"/>
        </w:trPr>
        <w:tc>
          <w:tcPr>
            <w:tcW w:w="1980" w:type="dxa"/>
            <w:tcBorders>
              <w:top w:val="nil"/>
              <w:bottom w:val="nil"/>
            </w:tcBorders>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8" w:lineRule="exact"/>
              <w:ind w:left="104"/>
              <w:rPr>
                <w:sz w:val="18"/>
              </w:rPr>
            </w:pPr>
            <w:r>
              <w:rPr>
                <w:spacing w:val="-5"/>
                <w:sz w:val="18"/>
              </w:rPr>
              <w:t>Rem</w:t>
            </w:r>
          </w:p>
        </w:tc>
        <w:tc>
          <w:tcPr>
            <w:tcW w:w="1894" w:type="dxa"/>
            <w:tcBorders>
              <w:top w:val="nil"/>
              <w:bottom w:val="nil"/>
            </w:tcBorders>
          </w:tcPr>
          <w:p>
            <w:pPr>
              <w:pStyle w:val="TableParagraph"/>
              <w:rPr>
                <w:rFonts w:ascii="Times New Roman"/>
                <w:sz w:val="12"/>
              </w:rPr>
            </w:pPr>
          </w:p>
        </w:tc>
      </w:tr>
      <w:tr>
        <w:trPr>
          <w:trHeight w:val="198" w:hRule="atLeast"/>
        </w:trPr>
        <w:tc>
          <w:tcPr>
            <w:tcW w:w="1980" w:type="dxa"/>
            <w:tcBorders>
              <w:top w:val="nil"/>
            </w:tcBorders>
          </w:tcPr>
          <w:p>
            <w:pPr>
              <w:pStyle w:val="TableParagraph"/>
              <w:rPr>
                <w:rFonts w:ascii="Times New Roman"/>
                <w:sz w:val="12"/>
              </w:rPr>
            </w:pPr>
          </w:p>
        </w:tc>
        <w:tc>
          <w:tcPr>
            <w:tcW w:w="1560" w:type="dxa"/>
            <w:tcBorders>
              <w:top w:val="nil"/>
            </w:tcBorders>
          </w:tcPr>
          <w:p>
            <w:pPr>
              <w:pStyle w:val="TableParagraph"/>
              <w:rPr>
                <w:rFonts w:ascii="Times New Roman"/>
                <w:sz w:val="12"/>
              </w:rPr>
            </w:pPr>
          </w:p>
        </w:tc>
        <w:tc>
          <w:tcPr>
            <w:tcW w:w="850" w:type="dxa"/>
            <w:tcBorders>
              <w:top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tcBorders>
          </w:tcPr>
          <w:p>
            <w:pPr>
              <w:pStyle w:val="TableParagraph"/>
              <w:spacing w:line="179" w:lineRule="exact"/>
              <w:ind w:left="104"/>
              <w:rPr>
                <w:sz w:val="18"/>
              </w:rPr>
            </w:pPr>
            <w:r>
              <w:rPr>
                <w:spacing w:val="-2"/>
                <w:sz w:val="18"/>
              </w:rPr>
              <w:t>Standards</w:t>
            </w:r>
          </w:p>
        </w:tc>
        <w:tc>
          <w:tcPr>
            <w:tcW w:w="1894" w:type="dxa"/>
            <w:tcBorders>
              <w:top w:val="nil"/>
            </w:tcBorders>
          </w:tcPr>
          <w:p>
            <w:pPr>
              <w:pStyle w:val="TableParagraph"/>
              <w:spacing w:line="179" w:lineRule="exact"/>
              <w:ind w:left="106"/>
              <w:rPr>
                <w:sz w:val="18"/>
              </w:rPr>
            </w:pPr>
            <w:r>
              <w:rPr>
                <w:spacing w:val="-5"/>
                <w:sz w:val="18"/>
              </w:rPr>
              <w:t>60%</w:t>
            </w:r>
          </w:p>
        </w:tc>
      </w:tr>
      <w:tr>
        <w:trPr>
          <w:trHeight w:val="204" w:hRule="atLeast"/>
        </w:trPr>
        <w:tc>
          <w:tcPr>
            <w:tcW w:w="1980" w:type="dxa"/>
            <w:tcBorders>
              <w:bottom w:val="nil"/>
            </w:tcBorders>
          </w:tcPr>
          <w:p>
            <w:pPr>
              <w:pStyle w:val="TableParagraph"/>
              <w:spacing w:line="185" w:lineRule="exact"/>
              <w:ind w:left="107"/>
              <w:rPr>
                <w:sz w:val="18"/>
              </w:rPr>
            </w:pPr>
            <w:r>
              <w:rPr>
                <w:sz w:val="18"/>
              </w:rPr>
              <w:t>Ms</w:t>
            </w:r>
            <w:r>
              <w:rPr>
                <w:spacing w:val="-3"/>
                <w:sz w:val="18"/>
              </w:rPr>
              <w:t> </w:t>
            </w:r>
            <w:r>
              <w:rPr>
                <w:sz w:val="18"/>
              </w:rPr>
              <w:t>J</w:t>
            </w:r>
            <w:r>
              <w:rPr>
                <w:spacing w:val="2"/>
                <w:sz w:val="18"/>
              </w:rPr>
              <w:t> </w:t>
            </w:r>
            <w:r>
              <w:rPr>
                <w:spacing w:val="-2"/>
                <w:sz w:val="18"/>
              </w:rPr>
              <w:t>Masterson</w:t>
            </w:r>
          </w:p>
        </w:tc>
        <w:tc>
          <w:tcPr>
            <w:tcW w:w="1560" w:type="dxa"/>
            <w:tcBorders>
              <w:bottom w:val="nil"/>
            </w:tcBorders>
          </w:tcPr>
          <w:p>
            <w:pPr>
              <w:pStyle w:val="TableParagraph"/>
              <w:spacing w:line="185" w:lineRule="exact"/>
              <w:ind w:left="107"/>
              <w:rPr>
                <w:sz w:val="18"/>
              </w:rPr>
            </w:pPr>
            <w:r>
              <w:rPr>
                <w:sz w:val="18"/>
              </w:rPr>
              <w:t>December</w:t>
            </w:r>
            <w:r>
              <w:rPr>
                <w:spacing w:val="-2"/>
                <w:sz w:val="18"/>
              </w:rPr>
              <w:t> </w:t>
            </w:r>
            <w:r>
              <w:rPr>
                <w:spacing w:val="-4"/>
                <w:sz w:val="18"/>
              </w:rPr>
              <w:t>2022</w:t>
            </w:r>
          </w:p>
        </w:tc>
        <w:tc>
          <w:tcPr>
            <w:tcW w:w="850" w:type="dxa"/>
            <w:tcBorders>
              <w:bottom w:val="nil"/>
            </w:tcBorders>
          </w:tcPr>
          <w:p>
            <w:pPr>
              <w:pStyle w:val="TableParagraph"/>
              <w:spacing w:line="185" w:lineRule="exact"/>
              <w:ind w:left="105"/>
              <w:rPr>
                <w:sz w:val="18"/>
              </w:rPr>
            </w:pPr>
            <w:r>
              <w:rPr>
                <w:sz w:val="18"/>
              </w:rPr>
              <w:t>3</w:t>
            </w:r>
            <w:r>
              <w:rPr>
                <w:spacing w:val="1"/>
                <w:sz w:val="18"/>
              </w:rPr>
              <w:t> </w:t>
            </w:r>
            <w:r>
              <w:rPr>
                <w:spacing w:val="-2"/>
                <w:sz w:val="18"/>
              </w:rPr>
              <w:t>years</w:t>
            </w:r>
          </w:p>
        </w:tc>
        <w:tc>
          <w:tcPr>
            <w:tcW w:w="1419" w:type="dxa"/>
            <w:vMerge w:val="restart"/>
          </w:tcPr>
          <w:p>
            <w:pPr>
              <w:pStyle w:val="TableParagraph"/>
              <w:rPr>
                <w:rFonts w:ascii="Times New Roman"/>
                <w:sz w:val="18"/>
              </w:rPr>
            </w:pPr>
          </w:p>
        </w:tc>
        <w:tc>
          <w:tcPr>
            <w:tcW w:w="1649" w:type="dxa"/>
            <w:tcBorders>
              <w:bottom w:val="nil"/>
            </w:tcBorders>
          </w:tcPr>
          <w:p>
            <w:pPr>
              <w:pStyle w:val="TableParagraph"/>
              <w:spacing w:line="185" w:lineRule="exact"/>
              <w:ind w:left="104"/>
              <w:rPr>
                <w:sz w:val="18"/>
              </w:rPr>
            </w:pPr>
            <w:r>
              <w:rPr>
                <w:spacing w:val="-2"/>
                <w:sz w:val="18"/>
              </w:rPr>
              <w:t>Corporation;</w:t>
            </w:r>
          </w:p>
        </w:tc>
        <w:tc>
          <w:tcPr>
            <w:tcW w:w="1894" w:type="dxa"/>
            <w:tcBorders>
              <w:bottom w:val="nil"/>
            </w:tcBorders>
          </w:tcPr>
          <w:p>
            <w:pPr>
              <w:pStyle w:val="TableParagraph"/>
              <w:spacing w:line="185" w:lineRule="exact"/>
              <w:ind w:left="106"/>
              <w:rPr>
                <w:sz w:val="18"/>
              </w:rPr>
            </w:pPr>
            <w:r>
              <w:rPr>
                <w:spacing w:val="-4"/>
                <w:sz w:val="18"/>
              </w:rPr>
              <w:t>100%</w:t>
            </w:r>
          </w:p>
        </w:tc>
      </w:tr>
      <w:tr>
        <w:trPr>
          <w:trHeight w:val="197" w:hRule="atLeast"/>
        </w:trPr>
        <w:tc>
          <w:tcPr>
            <w:tcW w:w="1980" w:type="dxa"/>
            <w:tcBorders>
              <w:top w:val="nil"/>
              <w:bottom w:val="nil"/>
            </w:tcBorders>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8" w:lineRule="exact"/>
              <w:ind w:left="104"/>
              <w:rPr>
                <w:sz w:val="18"/>
              </w:rPr>
            </w:pPr>
            <w:r>
              <w:rPr>
                <w:spacing w:val="-2"/>
                <w:sz w:val="18"/>
              </w:rPr>
              <w:t>Audit</w:t>
            </w:r>
          </w:p>
        </w:tc>
        <w:tc>
          <w:tcPr>
            <w:tcW w:w="1894" w:type="dxa"/>
            <w:tcBorders>
              <w:top w:val="nil"/>
              <w:bottom w:val="nil"/>
            </w:tcBorders>
          </w:tcPr>
          <w:p>
            <w:pPr>
              <w:pStyle w:val="TableParagraph"/>
              <w:spacing w:line="178" w:lineRule="exact"/>
              <w:ind w:left="106"/>
              <w:rPr>
                <w:sz w:val="18"/>
              </w:rPr>
            </w:pPr>
            <w:r>
              <w:rPr>
                <w:spacing w:val="-4"/>
                <w:sz w:val="18"/>
              </w:rPr>
              <w:t>100%</w:t>
            </w:r>
          </w:p>
        </w:tc>
      </w:tr>
      <w:tr>
        <w:trPr>
          <w:trHeight w:val="198" w:hRule="atLeast"/>
        </w:trPr>
        <w:tc>
          <w:tcPr>
            <w:tcW w:w="1980" w:type="dxa"/>
            <w:tcBorders>
              <w:top w:val="nil"/>
            </w:tcBorders>
          </w:tcPr>
          <w:p>
            <w:pPr>
              <w:pStyle w:val="TableParagraph"/>
              <w:rPr>
                <w:rFonts w:ascii="Times New Roman"/>
                <w:sz w:val="12"/>
              </w:rPr>
            </w:pPr>
          </w:p>
        </w:tc>
        <w:tc>
          <w:tcPr>
            <w:tcW w:w="1560" w:type="dxa"/>
            <w:tcBorders>
              <w:top w:val="nil"/>
            </w:tcBorders>
          </w:tcPr>
          <w:p>
            <w:pPr>
              <w:pStyle w:val="TableParagraph"/>
              <w:rPr>
                <w:rFonts w:ascii="Times New Roman"/>
                <w:sz w:val="12"/>
              </w:rPr>
            </w:pPr>
          </w:p>
        </w:tc>
        <w:tc>
          <w:tcPr>
            <w:tcW w:w="850" w:type="dxa"/>
            <w:tcBorders>
              <w:top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tcBorders>
          </w:tcPr>
          <w:p>
            <w:pPr>
              <w:pStyle w:val="TableParagraph"/>
              <w:spacing w:line="179" w:lineRule="exact"/>
              <w:ind w:left="104"/>
              <w:rPr>
                <w:sz w:val="18"/>
              </w:rPr>
            </w:pPr>
            <w:r>
              <w:rPr>
                <w:sz w:val="18"/>
              </w:rPr>
              <w:t>HE</w:t>
            </w:r>
            <w:r>
              <w:rPr>
                <w:spacing w:val="-3"/>
                <w:sz w:val="18"/>
              </w:rPr>
              <w:t> </w:t>
            </w:r>
            <w:r>
              <w:rPr>
                <w:spacing w:val="-2"/>
                <w:sz w:val="18"/>
              </w:rPr>
              <w:t>Advisory</w:t>
            </w:r>
          </w:p>
        </w:tc>
        <w:tc>
          <w:tcPr>
            <w:tcW w:w="1894" w:type="dxa"/>
            <w:tcBorders>
              <w:top w:val="nil"/>
            </w:tcBorders>
          </w:tcPr>
          <w:p>
            <w:pPr>
              <w:pStyle w:val="TableParagraph"/>
              <w:spacing w:line="179" w:lineRule="exact"/>
              <w:ind w:left="106"/>
              <w:rPr>
                <w:sz w:val="18"/>
              </w:rPr>
            </w:pPr>
            <w:r>
              <w:rPr>
                <w:spacing w:val="-4"/>
                <w:sz w:val="18"/>
              </w:rPr>
              <w:t>100%</w:t>
            </w:r>
          </w:p>
        </w:tc>
      </w:tr>
      <w:tr>
        <w:trPr>
          <w:trHeight w:val="482" w:hRule="atLeast"/>
        </w:trPr>
        <w:tc>
          <w:tcPr>
            <w:tcW w:w="1980" w:type="dxa"/>
          </w:tcPr>
          <w:p>
            <w:pPr>
              <w:pStyle w:val="TableParagraph"/>
              <w:ind w:left="107" w:right="82"/>
              <w:rPr>
                <w:sz w:val="18"/>
              </w:rPr>
            </w:pPr>
            <w:r>
              <w:rPr>
                <w:sz w:val="18"/>
              </w:rPr>
              <w:t>Ms Kay Moffitt External</w:t>
            </w:r>
            <w:r>
              <w:rPr>
                <w:spacing w:val="-13"/>
                <w:sz w:val="18"/>
              </w:rPr>
              <w:t> </w:t>
            </w:r>
            <w:r>
              <w:rPr>
                <w:sz w:val="18"/>
              </w:rPr>
              <w:t>Governor</w:t>
            </w:r>
          </w:p>
        </w:tc>
        <w:tc>
          <w:tcPr>
            <w:tcW w:w="1560" w:type="dxa"/>
          </w:tcPr>
          <w:p>
            <w:pPr>
              <w:pStyle w:val="TableParagraph"/>
              <w:spacing w:line="206" w:lineRule="exact"/>
              <w:ind w:left="107"/>
              <w:rPr>
                <w:sz w:val="18"/>
              </w:rPr>
            </w:pPr>
            <w:r>
              <w:rPr>
                <w:sz w:val="18"/>
              </w:rPr>
              <w:t>August</w:t>
            </w:r>
            <w:r>
              <w:rPr>
                <w:spacing w:val="-2"/>
                <w:sz w:val="18"/>
              </w:rPr>
              <w:t> </w:t>
            </w:r>
            <w:r>
              <w:rPr>
                <w:spacing w:val="-4"/>
                <w:sz w:val="18"/>
              </w:rPr>
              <w:t>2020</w:t>
            </w:r>
          </w:p>
        </w:tc>
        <w:tc>
          <w:tcPr>
            <w:tcW w:w="850" w:type="dxa"/>
          </w:tcPr>
          <w:p>
            <w:pPr>
              <w:pStyle w:val="TableParagraph"/>
              <w:spacing w:line="206" w:lineRule="exact"/>
              <w:ind w:left="105"/>
              <w:rPr>
                <w:sz w:val="18"/>
              </w:rPr>
            </w:pPr>
            <w:r>
              <w:rPr>
                <w:sz w:val="18"/>
              </w:rPr>
              <w:t>3</w:t>
            </w:r>
            <w:r>
              <w:rPr>
                <w:spacing w:val="1"/>
                <w:sz w:val="18"/>
              </w:rPr>
              <w:t> </w:t>
            </w:r>
            <w:r>
              <w:rPr>
                <w:spacing w:val="-2"/>
                <w:sz w:val="18"/>
              </w:rPr>
              <w:t>years</w:t>
            </w:r>
          </w:p>
        </w:tc>
        <w:tc>
          <w:tcPr>
            <w:tcW w:w="1419" w:type="dxa"/>
          </w:tcPr>
          <w:p>
            <w:pPr>
              <w:pStyle w:val="TableParagraph"/>
              <w:ind w:left="107" w:right="123"/>
              <w:rPr>
                <w:sz w:val="18"/>
              </w:rPr>
            </w:pPr>
            <w:r>
              <w:rPr>
                <w:spacing w:val="-2"/>
                <w:sz w:val="18"/>
              </w:rPr>
              <w:t>December </w:t>
            </w:r>
            <w:r>
              <w:rPr>
                <w:spacing w:val="-4"/>
                <w:sz w:val="18"/>
              </w:rPr>
              <w:t>2022</w:t>
            </w:r>
          </w:p>
        </w:tc>
        <w:tc>
          <w:tcPr>
            <w:tcW w:w="1649" w:type="dxa"/>
          </w:tcPr>
          <w:p>
            <w:pPr>
              <w:pStyle w:val="TableParagraph"/>
              <w:spacing w:line="206" w:lineRule="exact"/>
              <w:ind w:left="104"/>
              <w:rPr>
                <w:sz w:val="18"/>
              </w:rPr>
            </w:pPr>
            <w:r>
              <w:rPr>
                <w:spacing w:val="-2"/>
                <w:sz w:val="18"/>
              </w:rPr>
              <w:t>Corporation;</w:t>
            </w:r>
          </w:p>
        </w:tc>
        <w:tc>
          <w:tcPr>
            <w:tcW w:w="1894" w:type="dxa"/>
          </w:tcPr>
          <w:p>
            <w:pPr>
              <w:pStyle w:val="TableParagraph"/>
              <w:spacing w:line="206" w:lineRule="exact"/>
              <w:ind w:left="106"/>
              <w:rPr>
                <w:sz w:val="18"/>
              </w:rPr>
            </w:pPr>
            <w:r>
              <w:rPr>
                <w:spacing w:val="-5"/>
                <w:sz w:val="18"/>
              </w:rPr>
              <w:t>0%</w:t>
            </w:r>
          </w:p>
        </w:tc>
      </w:tr>
      <w:tr>
        <w:trPr>
          <w:trHeight w:val="205" w:hRule="atLeast"/>
        </w:trPr>
        <w:tc>
          <w:tcPr>
            <w:tcW w:w="1980" w:type="dxa"/>
            <w:tcBorders>
              <w:bottom w:val="nil"/>
            </w:tcBorders>
          </w:tcPr>
          <w:p>
            <w:pPr>
              <w:pStyle w:val="TableParagraph"/>
              <w:spacing w:line="185" w:lineRule="exact" w:before="1"/>
              <w:ind w:left="107"/>
              <w:rPr>
                <w:sz w:val="18"/>
              </w:rPr>
            </w:pPr>
            <w:r>
              <w:rPr>
                <w:sz w:val="18"/>
              </w:rPr>
              <w:t>Prof</w:t>
            </w:r>
            <w:r>
              <w:rPr>
                <w:spacing w:val="-1"/>
                <w:sz w:val="18"/>
              </w:rPr>
              <w:t> </w:t>
            </w:r>
            <w:r>
              <w:rPr>
                <w:sz w:val="18"/>
              </w:rPr>
              <w:t>C </w:t>
            </w:r>
            <w:r>
              <w:rPr>
                <w:spacing w:val="-2"/>
                <w:sz w:val="18"/>
              </w:rPr>
              <w:t>Raban</w:t>
            </w:r>
          </w:p>
        </w:tc>
        <w:tc>
          <w:tcPr>
            <w:tcW w:w="1560" w:type="dxa"/>
            <w:tcBorders>
              <w:bottom w:val="nil"/>
            </w:tcBorders>
          </w:tcPr>
          <w:p>
            <w:pPr>
              <w:pStyle w:val="TableParagraph"/>
              <w:spacing w:line="185" w:lineRule="exact" w:before="1"/>
              <w:ind w:left="107"/>
              <w:rPr>
                <w:sz w:val="18"/>
              </w:rPr>
            </w:pPr>
            <w:r>
              <w:rPr>
                <w:sz w:val="18"/>
              </w:rPr>
              <w:t>December</w:t>
            </w:r>
            <w:r>
              <w:rPr>
                <w:spacing w:val="-2"/>
                <w:sz w:val="18"/>
              </w:rPr>
              <w:t> </w:t>
            </w:r>
            <w:r>
              <w:rPr>
                <w:spacing w:val="-4"/>
                <w:sz w:val="18"/>
              </w:rPr>
              <w:t>2022</w:t>
            </w:r>
          </w:p>
        </w:tc>
        <w:tc>
          <w:tcPr>
            <w:tcW w:w="850" w:type="dxa"/>
            <w:tcBorders>
              <w:bottom w:val="nil"/>
            </w:tcBorders>
          </w:tcPr>
          <w:p>
            <w:pPr>
              <w:pStyle w:val="TableParagraph"/>
              <w:spacing w:line="185" w:lineRule="exact" w:before="1"/>
              <w:ind w:left="105"/>
              <w:rPr>
                <w:sz w:val="18"/>
              </w:rPr>
            </w:pPr>
            <w:r>
              <w:rPr>
                <w:sz w:val="18"/>
              </w:rPr>
              <w:t>3</w:t>
            </w:r>
            <w:r>
              <w:rPr>
                <w:spacing w:val="1"/>
                <w:sz w:val="18"/>
              </w:rPr>
              <w:t> </w:t>
            </w:r>
            <w:r>
              <w:rPr>
                <w:spacing w:val="-2"/>
                <w:sz w:val="18"/>
              </w:rPr>
              <w:t>years</w:t>
            </w:r>
          </w:p>
        </w:tc>
        <w:tc>
          <w:tcPr>
            <w:tcW w:w="1419" w:type="dxa"/>
            <w:vMerge w:val="restart"/>
          </w:tcPr>
          <w:p>
            <w:pPr>
              <w:pStyle w:val="TableParagraph"/>
              <w:rPr>
                <w:rFonts w:ascii="Times New Roman"/>
                <w:sz w:val="18"/>
              </w:rPr>
            </w:pPr>
          </w:p>
        </w:tc>
        <w:tc>
          <w:tcPr>
            <w:tcW w:w="1649" w:type="dxa"/>
            <w:tcBorders>
              <w:bottom w:val="nil"/>
            </w:tcBorders>
          </w:tcPr>
          <w:p>
            <w:pPr>
              <w:pStyle w:val="TableParagraph"/>
              <w:spacing w:line="185" w:lineRule="exact" w:before="1"/>
              <w:ind w:left="104"/>
              <w:rPr>
                <w:sz w:val="18"/>
              </w:rPr>
            </w:pPr>
            <w:r>
              <w:rPr>
                <w:spacing w:val="-2"/>
                <w:sz w:val="18"/>
              </w:rPr>
              <w:t>Corporation;</w:t>
            </w:r>
          </w:p>
        </w:tc>
        <w:tc>
          <w:tcPr>
            <w:tcW w:w="1894" w:type="dxa"/>
            <w:tcBorders>
              <w:bottom w:val="nil"/>
            </w:tcBorders>
          </w:tcPr>
          <w:p>
            <w:pPr>
              <w:pStyle w:val="TableParagraph"/>
              <w:spacing w:line="185" w:lineRule="exact" w:before="1"/>
              <w:ind w:left="106"/>
              <w:rPr>
                <w:sz w:val="18"/>
              </w:rPr>
            </w:pPr>
            <w:r>
              <w:rPr>
                <w:spacing w:val="-5"/>
                <w:sz w:val="18"/>
              </w:rPr>
              <w:t>75%</w:t>
            </w:r>
          </w:p>
        </w:tc>
      </w:tr>
      <w:tr>
        <w:trPr>
          <w:trHeight w:val="196" w:hRule="atLeast"/>
        </w:trPr>
        <w:tc>
          <w:tcPr>
            <w:tcW w:w="1980" w:type="dxa"/>
            <w:tcBorders>
              <w:top w:val="nil"/>
              <w:bottom w:val="nil"/>
            </w:tcBorders>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850" w:type="dxa"/>
            <w:tcBorders>
              <w:top w:val="nil"/>
              <w:bottom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bottom w:val="nil"/>
            </w:tcBorders>
          </w:tcPr>
          <w:p>
            <w:pPr>
              <w:pStyle w:val="TableParagraph"/>
              <w:spacing w:line="176" w:lineRule="exact"/>
              <w:ind w:left="104"/>
              <w:rPr>
                <w:sz w:val="18"/>
              </w:rPr>
            </w:pPr>
            <w:r>
              <w:rPr>
                <w:sz w:val="18"/>
              </w:rPr>
              <w:t>HE</w:t>
            </w:r>
            <w:r>
              <w:rPr>
                <w:spacing w:val="-3"/>
                <w:sz w:val="18"/>
              </w:rPr>
              <w:t> </w:t>
            </w:r>
            <w:r>
              <w:rPr>
                <w:spacing w:val="-2"/>
                <w:sz w:val="18"/>
              </w:rPr>
              <w:t>Advisory</w:t>
            </w:r>
          </w:p>
        </w:tc>
        <w:tc>
          <w:tcPr>
            <w:tcW w:w="1894" w:type="dxa"/>
            <w:tcBorders>
              <w:top w:val="nil"/>
              <w:bottom w:val="nil"/>
            </w:tcBorders>
          </w:tcPr>
          <w:p>
            <w:pPr>
              <w:pStyle w:val="TableParagraph"/>
              <w:spacing w:line="176" w:lineRule="exact"/>
              <w:ind w:left="106"/>
              <w:rPr>
                <w:sz w:val="18"/>
              </w:rPr>
            </w:pPr>
            <w:r>
              <w:rPr>
                <w:spacing w:val="-4"/>
                <w:sz w:val="18"/>
              </w:rPr>
              <w:t>100%</w:t>
            </w:r>
          </w:p>
        </w:tc>
      </w:tr>
      <w:tr>
        <w:trPr>
          <w:trHeight w:val="198" w:hRule="atLeast"/>
        </w:trPr>
        <w:tc>
          <w:tcPr>
            <w:tcW w:w="1980" w:type="dxa"/>
            <w:tcBorders>
              <w:top w:val="nil"/>
            </w:tcBorders>
          </w:tcPr>
          <w:p>
            <w:pPr>
              <w:pStyle w:val="TableParagraph"/>
              <w:rPr>
                <w:rFonts w:ascii="Times New Roman"/>
                <w:sz w:val="12"/>
              </w:rPr>
            </w:pPr>
          </w:p>
        </w:tc>
        <w:tc>
          <w:tcPr>
            <w:tcW w:w="1560" w:type="dxa"/>
            <w:tcBorders>
              <w:top w:val="nil"/>
            </w:tcBorders>
          </w:tcPr>
          <w:p>
            <w:pPr>
              <w:pStyle w:val="TableParagraph"/>
              <w:rPr>
                <w:rFonts w:ascii="Times New Roman"/>
                <w:sz w:val="12"/>
              </w:rPr>
            </w:pPr>
          </w:p>
        </w:tc>
        <w:tc>
          <w:tcPr>
            <w:tcW w:w="850" w:type="dxa"/>
            <w:tcBorders>
              <w:top w:val="nil"/>
            </w:tcBorders>
          </w:tcPr>
          <w:p>
            <w:pPr>
              <w:pStyle w:val="TableParagraph"/>
              <w:rPr>
                <w:rFonts w:ascii="Times New Roman"/>
                <w:sz w:val="12"/>
              </w:rPr>
            </w:pPr>
          </w:p>
        </w:tc>
        <w:tc>
          <w:tcPr>
            <w:tcW w:w="1419" w:type="dxa"/>
            <w:vMerge/>
            <w:tcBorders>
              <w:top w:val="nil"/>
            </w:tcBorders>
          </w:tcPr>
          <w:p>
            <w:pPr>
              <w:rPr>
                <w:sz w:val="2"/>
                <w:szCs w:val="2"/>
              </w:rPr>
            </w:pPr>
          </w:p>
        </w:tc>
        <w:tc>
          <w:tcPr>
            <w:tcW w:w="1649" w:type="dxa"/>
            <w:tcBorders>
              <w:top w:val="nil"/>
            </w:tcBorders>
          </w:tcPr>
          <w:p>
            <w:pPr>
              <w:pStyle w:val="TableParagraph"/>
              <w:spacing w:line="179" w:lineRule="exact"/>
              <w:ind w:left="104"/>
              <w:rPr>
                <w:sz w:val="18"/>
              </w:rPr>
            </w:pPr>
            <w:r>
              <w:rPr>
                <w:spacing w:val="-2"/>
                <w:sz w:val="18"/>
              </w:rPr>
              <w:t>Standards</w:t>
            </w:r>
          </w:p>
        </w:tc>
        <w:tc>
          <w:tcPr>
            <w:tcW w:w="1894" w:type="dxa"/>
            <w:tcBorders>
              <w:top w:val="nil"/>
            </w:tcBorders>
          </w:tcPr>
          <w:p>
            <w:pPr>
              <w:pStyle w:val="TableParagraph"/>
              <w:spacing w:line="179" w:lineRule="exact"/>
              <w:ind w:left="106"/>
              <w:rPr>
                <w:sz w:val="18"/>
              </w:rPr>
            </w:pPr>
            <w:r>
              <w:rPr>
                <w:spacing w:val="-4"/>
                <w:sz w:val="18"/>
              </w:rPr>
              <w:t>100%</w:t>
            </w:r>
          </w:p>
        </w:tc>
      </w:tr>
      <w:tr>
        <w:trPr>
          <w:trHeight w:val="210" w:hRule="atLeast"/>
        </w:trPr>
        <w:tc>
          <w:tcPr>
            <w:tcW w:w="1980" w:type="dxa"/>
            <w:tcBorders>
              <w:bottom w:val="nil"/>
            </w:tcBorders>
          </w:tcPr>
          <w:p>
            <w:pPr>
              <w:pStyle w:val="TableParagraph"/>
              <w:spacing w:line="190" w:lineRule="exact" w:before="1"/>
              <w:ind w:left="107"/>
              <w:rPr>
                <w:sz w:val="18"/>
              </w:rPr>
            </w:pPr>
            <w:r>
              <w:rPr>
                <w:sz w:val="18"/>
              </w:rPr>
              <w:t>Ms</w:t>
            </w:r>
            <w:r>
              <w:rPr>
                <w:spacing w:val="-3"/>
                <w:sz w:val="18"/>
              </w:rPr>
              <w:t> </w:t>
            </w:r>
            <w:r>
              <w:rPr>
                <w:sz w:val="18"/>
              </w:rPr>
              <w:t>Kathryn</w:t>
            </w:r>
            <w:r>
              <w:rPr>
                <w:spacing w:val="-1"/>
                <w:sz w:val="18"/>
              </w:rPr>
              <w:t> </w:t>
            </w:r>
            <w:r>
              <w:rPr>
                <w:spacing w:val="-2"/>
                <w:sz w:val="18"/>
              </w:rPr>
              <w:t>Shillito</w:t>
            </w:r>
          </w:p>
        </w:tc>
        <w:tc>
          <w:tcPr>
            <w:tcW w:w="1560" w:type="dxa"/>
            <w:tcBorders>
              <w:bottom w:val="nil"/>
            </w:tcBorders>
          </w:tcPr>
          <w:p>
            <w:pPr>
              <w:pStyle w:val="TableParagraph"/>
              <w:spacing w:line="190" w:lineRule="exact" w:before="1"/>
              <w:ind w:left="107"/>
              <w:rPr>
                <w:sz w:val="18"/>
              </w:rPr>
            </w:pPr>
            <w:r>
              <w:rPr>
                <w:sz w:val="18"/>
              </w:rPr>
              <w:t>December</w:t>
            </w:r>
            <w:r>
              <w:rPr>
                <w:spacing w:val="-2"/>
                <w:sz w:val="18"/>
              </w:rPr>
              <w:t> </w:t>
            </w:r>
            <w:r>
              <w:rPr>
                <w:spacing w:val="-4"/>
                <w:sz w:val="18"/>
              </w:rPr>
              <w:t>2022</w:t>
            </w:r>
          </w:p>
        </w:tc>
        <w:tc>
          <w:tcPr>
            <w:tcW w:w="850" w:type="dxa"/>
            <w:tcBorders>
              <w:bottom w:val="nil"/>
            </w:tcBorders>
          </w:tcPr>
          <w:p>
            <w:pPr>
              <w:pStyle w:val="TableParagraph"/>
              <w:spacing w:line="190" w:lineRule="exact" w:before="1"/>
              <w:ind w:left="105"/>
              <w:rPr>
                <w:sz w:val="18"/>
              </w:rPr>
            </w:pPr>
            <w:r>
              <w:rPr>
                <w:sz w:val="18"/>
              </w:rPr>
              <w:t>3</w:t>
            </w:r>
            <w:r>
              <w:rPr>
                <w:spacing w:val="1"/>
                <w:sz w:val="18"/>
              </w:rPr>
              <w:t> </w:t>
            </w:r>
            <w:r>
              <w:rPr>
                <w:spacing w:val="-2"/>
                <w:sz w:val="18"/>
              </w:rPr>
              <w:t>years</w:t>
            </w:r>
          </w:p>
        </w:tc>
        <w:tc>
          <w:tcPr>
            <w:tcW w:w="1419" w:type="dxa"/>
            <w:tcBorders>
              <w:bottom w:val="nil"/>
            </w:tcBorders>
          </w:tcPr>
          <w:p>
            <w:pPr>
              <w:pStyle w:val="TableParagraph"/>
              <w:spacing w:line="190" w:lineRule="exact" w:before="1"/>
              <w:ind w:left="107"/>
              <w:rPr>
                <w:sz w:val="18"/>
              </w:rPr>
            </w:pPr>
            <w:r>
              <w:rPr>
                <w:sz w:val="18"/>
              </w:rPr>
              <w:t>June</w:t>
            </w:r>
            <w:r>
              <w:rPr>
                <w:spacing w:val="-3"/>
                <w:sz w:val="18"/>
              </w:rPr>
              <w:t> </w:t>
            </w:r>
            <w:r>
              <w:rPr>
                <w:spacing w:val="-4"/>
                <w:sz w:val="18"/>
              </w:rPr>
              <w:t>2023</w:t>
            </w:r>
          </w:p>
        </w:tc>
        <w:tc>
          <w:tcPr>
            <w:tcW w:w="1649" w:type="dxa"/>
            <w:tcBorders>
              <w:bottom w:val="nil"/>
            </w:tcBorders>
          </w:tcPr>
          <w:p>
            <w:pPr>
              <w:pStyle w:val="TableParagraph"/>
              <w:spacing w:line="190" w:lineRule="exact" w:before="1"/>
              <w:ind w:left="104"/>
              <w:rPr>
                <w:sz w:val="18"/>
              </w:rPr>
            </w:pPr>
            <w:r>
              <w:rPr>
                <w:spacing w:val="-2"/>
                <w:sz w:val="18"/>
              </w:rPr>
              <w:t>Corporation</w:t>
            </w:r>
          </w:p>
        </w:tc>
        <w:tc>
          <w:tcPr>
            <w:tcW w:w="1894" w:type="dxa"/>
            <w:tcBorders>
              <w:bottom w:val="nil"/>
            </w:tcBorders>
          </w:tcPr>
          <w:p>
            <w:pPr>
              <w:pStyle w:val="TableParagraph"/>
              <w:spacing w:line="190" w:lineRule="exact" w:before="1"/>
              <w:ind w:left="106"/>
              <w:rPr>
                <w:sz w:val="18"/>
              </w:rPr>
            </w:pPr>
            <w:r>
              <w:rPr>
                <w:spacing w:val="-5"/>
                <w:sz w:val="18"/>
              </w:rPr>
              <w:t>67%</w:t>
            </w:r>
          </w:p>
        </w:tc>
      </w:tr>
      <w:tr>
        <w:trPr>
          <w:trHeight w:val="206" w:hRule="atLeast"/>
        </w:trPr>
        <w:tc>
          <w:tcPr>
            <w:tcW w:w="1980" w:type="dxa"/>
            <w:tcBorders>
              <w:top w:val="nil"/>
              <w:bottom w:val="nil"/>
            </w:tcBorders>
          </w:tcPr>
          <w:p>
            <w:pPr>
              <w:pStyle w:val="TableParagraph"/>
              <w:rPr>
                <w:rFonts w:ascii="Times New Roman"/>
                <w:sz w:val="14"/>
              </w:rPr>
            </w:pPr>
          </w:p>
        </w:tc>
        <w:tc>
          <w:tcPr>
            <w:tcW w:w="1560" w:type="dxa"/>
            <w:tcBorders>
              <w:top w:val="nil"/>
              <w:bottom w:val="nil"/>
            </w:tcBorders>
          </w:tcPr>
          <w:p>
            <w:pPr>
              <w:pStyle w:val="TableParagraph"/>
              <w:rPr>
                <w:rFonts w:ascii="Times New Roman"/>
                <w:sz w:val="14"/>
              </w:rPr>
            </w:pPr>
          </w:p>
        </w:tc>
        <w:tc>
          <w:tcPr>
            <w:tcW w:w="850" w:type="dxa"/>
            <w:tcBorders>
              <w:top w:val="nil"/>
              <w:bottom w:val="nil"/>
            </w:tcBorders>
          </w:tcPr>
          <w:p>
            <w:pPr>
              <w:pStyle w:val="TableParagraph"/>
              <w:rPr>
                <w:rFonts w:ascii="Times New Roman"/>
                <w:sz w:val="14"/>
              </w:rPr>
            </w:pPr>
          </w:p>
        </w:tc>
        <w:tc>
          <w:tcPr>
            <w:tcW w:w="1419" w:type="dxa"/>
            <w:tcBorders>
              <w:top w:val="nil"/>
              <w:bottom w:val="nil"/>
            </w:tcBorders>
          </w:tcPr>
          <w:p>
            <w:pPr>
              <w:pStyle w:val="TableParagraph"/>
              <w:rPr>
                <w:rFonts w:ascii="Times New Roman"/>
                <w:sz w:val="14"/>
              </w:rPr>
            </w:pPr>
          </w:p>
        </w:tc>
        <w:tc>
          <w:tcPr>
            <w:tcW w:w="1649" w:type="dxa"/>
            <w:tcBorders>
              <w:top w:val="nil"/>
              <w:bottom w:val="nil"/>
            </w:tcBorders>
          </w:tcPr>
          <w:p>
            <w:pPr>
              <w:pStyle w:val="TableParagraph"/>
              <w:spacing w:line="186" w:lineRule="exact"/>
              <w:ind w:left="104"/>
              <w:rPr>
                <w:sz w:val="18"/>
              </w:rPr>
            </w:pPr>
            <w:r>
              <w:rPr>
                <w:sz w:val="18"/>
              </w:rPr>
              <w:t>Finance </w:t>
            </w:r>
            <w:r>
              <w:rPr>
                <w:spacing w:val="-10"/>
                <w:sz w:val="18"/>
              </w:rPr>
              <w:t>&amp;</w:t>
            </w:r>
          </w:p>
        </w:tc>
        <w:tc>
          <w:tcPr>
            <w:tcW w:w="1894" w:type="dxa"/>
            <w:tcBorders>
              <w:top w:val="nil"/>
              <w:bottom w:val="nil"/>
            </w:tcBorders>
          </w:tcPr>
          <w:p>
            <w:pPr>
              <w:pStyle w:val="TableParagraph"/>
              <w:spacing w:line="186" w:lineRule="exact"/>
              <w:ind w:left="106"/>
              <w:rPr>
                <w:sz w:val="18"/>
              </w:rPr>
            </w:pPr>
            <w:r>
              <w:rPr>
                <w:spacing w:val="-4"/>
                <w:sz w:val="18"/>
              </w:rPr>
              <w:t>100%</w:t>
            </w:r>
          </w:p>
        </w:tc>
      </w:tr>
      <w:tr>
        <w:trPr>
          <w:trHeight w:val="203" w:hRule="atLeast"/>
        </w:trPr>
        <w:tc>
          <w:tcPr>
            <w:tcW w:w="1980" w:type="dxa"/>
            <w:tcBorders>
              <w:top w:val="nil"/>
            </w:tcBorders>
          </w:tcPr>
          <w:p>
            <w:pPr>
              <w:pStyle w:val="TableParagraph"/>
              <w:rPr>
                <w:rFonts w:ascii="Times New Roman"/>
                <w:sz w:val="14"/>
              </w:rPr>
            </w:pPr>
          </w:p>
        </w:tc>
        <w:tc>
          <w:tcPr>
            <w:tcW w:w="1560" w:type="dxa"/>
            <w:tcBorders>
              <w:top w:val="nil"/>
            </w:tcBorders>
          </w:tcPr>
          <w:p>
            <w:pPr>
              <w:pStyle w:val="TableParagraph"/>
              <w:rPr>
                <w:rFonts w:ascii="Times New Roman"/>
                <w:sz w:val="14"/>
              </w:rPr>
            </w:pPr>
          </w:p>
        </w:tc>
        <w:tc>
          <w:tcPr>
            <w:tcW w:w="850" w:type="dxa"/>
            <w:tcBorders>
              <w:top w:val="nil"/>
            </w:tcBorders>
          </w:tcPr>
          <w:p>
            <w:pPr>
              <w:pStyle w:val="TableParagraph"/>
              <w:rPr>
                <w:rFonts w:ascii="Times New Roman"/>
                <w:sz w:val="14"/>
              </w:rPr>
            </w:pPr>
          </w:p>
        </w:tc>
        <w:tc>
          <w:tcPr>
            <w:tcW w:w="1419" w:type="dxa"/>
            <w:tcBorders>
              <w:top w:val="nil"/>
            </w:tcBorders>
          </w:tcPr>
          <w:p>
            <w:pPr>
              <w:pStyle w:val="TableParagraph"/>
              <w:rPr>
                <w:rFonts w:ascii="Times New Roman"/>
                <w:sz w:val="14"/>
              </w:rPr>
            </w:pPr>
          </w:p>
        </w:tc>
        <w:tc>
          <w:tcPr>
            <w:tcW w:w="1649" w:type="dxa"/>
            <w:tcBorders>
              <w:top w:val="nil"/>
            </w:tcBorders>
          </w:tcPr>
          <w:p>
            <w:pPr>
              <w:pStyle w:val="TableParagraph"/>
              <w:spacing w:line="184" w:lineRule="exact"/>
              <w:ind w:left="104"/>
              <w:rPr>
                <w:sz w:val="18"/>
              </w:rPr>
            </w:pPr>
            <w:r>
              <w:rPr>
                <w:spacing w:val="-2"/>
                <w:sz w:val="18"/>
              </w:rPr>
              <w:t>Resources</w:t>
            </w:r>
          </w:p>
        </w:tc>
        <w:tc>
          <w:tcPr>
            <w:tcW w:w="1894" w:type="dxa"/>
            <w:tcBorders>
              <w:top w:val="nil"/>
            </w:tcBorders>
          </w:tcPr>
          <w:p>
            <w:pPr>
              <w:pStyle w:val="TableParagraph"/>
              <w:rPr>
                <w:rFonts w:ascii="Times New Roman"/>
                <w:sz w:val="14"/>
              </w:rPr>
            </w:pPr>
          </w:p>
        </w:tc>
      </w:tr>
      <w:tr>
        <w:trPr>
          <w:trHeight w:val="209" w:hRule="atLeast"/>
        </w:trPr>
        <w:tc>
          <w:tcPr>
            <w:tcW w:w="1980" w:type="dxa"/>
            <w:tcBorders>
              <w:bottom w:val="nil"/>
            </w:tcBorders>
          </w:tcPr>
          <w:p>
            <w:pPr>
              <w:pStyle w:val="TableParagraph"/>
              <w:spacing w:line="190" w:lineRule="exact"/>
              <w:ind w:left="107"/>
              <w:rPr>
                <w:sz w:val="18"/>
              </w:rPr>
            </w:pPr>
            <w:r>
              <w:rPr>
                <w:sz w:val="18"/>
              </w:rPr>
              <w:t>Ms</w:t>
            </w:r>
            <w:r>
              <w:rPr>
                <w:spacing w:val="-3"/>
                <w:sz w:val="18"/>
              </w:rPr>
              <w:t> </w:t>
            </w:r>
            <w:r>
              <w:rPr>
                <w:sz w:val="18"/>
              </w:rPr>
              <w:t>Rachel </w:t>
            </w:r>
            <w:r>
              <w:rPr>
                <w:spacing w:val="-4"/>
                <w:sz w:val="18"/>
              </w:rPr>
              <w:t>Storr</w:t>
            </w:r>
          </w:p>
        </w:tc>
        <w:tc>
          <w:tcPr>
            <w:tcW w:w="1560" w:type="dxa"/>
            <w:tcBorders>
              <w:bottom w:val="nil"/>
            </w:tcBorders>
          </w:tcPr>
          <w:p>
            <w:pPr>
              <w:pStyle w:val="TableParagraph"/>
              <w:spacing w:line="190" w:lineRule="exact"/>
              <w:ind w:left="107"/>
              <w:rPr>
                <w:sz w:val="18"/>
              </w:rPr>
            </w:pPr>
            <w:r>
              <w:rPr>
                <w:sz w:val="18"/>
              </w:rPr>
              <w:t>August</w:t>
            </w:r>
            <w:r>
              <w:rPr>
                <w:spacing w:val="-2"/>
                <w:sz w:val="18"/>
              </w:rPr>
              <w:t> </w:t>
            </w:r>
            <w:r>
              <w:rPr>
                <w:spacing w:val="-4"/>
                <w:sz w:val="18"/>
              </w:rPr>
              <w:t>2020</w:t>
            </w:r>
          </w:p>
        </w:tc>
        <w:tc>
          <w:tcPr>
            <w:tcW w:w="850" w:type="dxa"/>
            <w:tcBorders>
              <w:bottom w:val="nil"/>
            </w:tcBorders>
          </w:tcPr>
          <w:p>
            <w:pPr>
              <w:pStyle w:val="TableParagraph"/>
              <w:spacing w:line="190" w:lineRule="exact"/>
              <w:ind w:left="105"/>
              <w:rPr>
                <w:sz w:val="18"/>
              </w:rPr>
            </w:pPr>
            <w:r>
              <w:rPr>
                <w:sz w:val="18"/>
              </w:rPr>
              <w:t>3</w:t>
            </w:r>
            <w:r>
              <w:rPr>
                <w:spacing w:val="1"/>
                <w:sz w:val="18"/>
              </w:rPr>
              <w:t> </w:t>
            </w:r>
            <w:r>
              <w:rPr>
                <w:spacing w:val="-2"/>
                <w:sz w:val="18"/>
              </w:rPr>
              <w:t>years</w:t>
            </w:r>
          </w:p>
        </w:tc>
        <w:tc>
          <w:tcPr>
            <w:tcW w:w="1419" w:type="dxa"/>
            <w:tcBorders>
              <w:bottom w:val="nil"/>
            </w:tcBorders>
          </w:tcPr>
          <w:p>
            <w:pPr>
              <w:pStyle w:val="TableParagraph"/>
              <w:spacing w:line="190" w:lineRule="exact"/>
              <w:ind w:left="107"/>
              <w:rPr>
                <w:sz w:val="18"/>
              </w:rPr>
            </w:pPr>
            <w:r>
              <w:rPr>
                <w:sz w:val="18"/>
              </w:rPr>
              <w:t>July </w:t>
            </w:r>
            <w:r>
              <w:rPr>
                <w:spacing w:val="-4"/>
                <w:sz w:val="18"/>
              </w:rPr>
              <w:t>2023</w:t>
            </w:r>
          </w:p>
        </w:tc>
        <w:tc>
          <w:tcPr>
            <w:tcW w:w="1649" w:type="dxa"/>
            <w:tcBorders>
              <w:bottom w:val="nil"/>
            </w:tcBorders>
          </w:tcPr>
          <w:p>
            <w:pPr>
              <w:pStyle w:val="TableParagraph"/>
              <w:spacing w:line="190" w:lineRule="exact"/>
              <w:ind w:left="104"/>
              <w:rPr>
                <w:sz w:val="18"/>
              </w:rPr>
            </w:pPr>
            <w:r>
              <w:rPr>
                <w:spacing w:val="-2"/>
                <w:sz w:val="18"/>
              </w:rPr>
              <w:t>Corporation;</w:t>
            </w:r>
          </w:p>
        </w:tc>
        <w:tc>
          <w:tcPr>
            <w:tcW w:w="1894" w:type="dxa"/>
            <w:tcBorders>
              <w:bottom w:val="nil"/>
            </w:tcBorders>
          </w:tcPr>
          <w:p>
            <w:pPr>
              <w:pStyle w:val="TableParagraph"/>
              <w:spacing w:line="190" w:lineRule="exact"/>
              <w:ind w:left="106"/>
              <w:rPr>
                <w:sz w:val="18"/>
              </w:rPr>
            </w:pPr>
            <w:r>
              <w:rPr>
                <w:spacing w:val="-5"/>
                <w:sz w:val="18"/>
              </w:rPr>
              <w:t>50%</w:t>
            </w:r>
          </w:p>
        </w:tc>
      </w:tr>
      <w:tr>
        <w:trPr>
          <w:trHeight w:val="207" w:hRule="atLeast"/>
        </w:trPr>
        <w:tc>
          <w:tcPr>
            <w:tcW w:w="1980" w:type="dxa"/>
            <w:tcBorders>
              <w:top w:val="nil"/>
              <w:bottom w:val="nil"/>
            </w:tcBorders>
          </w:tcPr>
          <w:p>
            <w:pPr>
              <w:pStyle w:val="TableParagraph"/>
              <w:spacing w:line="188" w:lineRule="exact"/>
              <w:ind w:left="107"/>
              <w:rPr>
                <w:sz w:val="18"/>
              </w:rPr>
            </w:pPr>
            <w:r>
              <w:rPr>
                <w:sz w:val="18"/>
              </w:rPr>
              <w:t>External</w:t>
            </w:r>
            <w:r>
              <w:rPr>
                <w:spacing w:val="-3"/>
                <w:sz w:val="18"/>
              </w:rPr>
              <w:t> </w:t>
            </w:r>
            <w:r>
              <w:rPr>
                <w:spacing w:val="-2"/>
                <w:sz w:val="18"/>
              </w:rPr>
              <w:t>Governor</w:t>
            </w:r>
          </w:p>
        </w:tc>
        <w:tc>
          <w:tcPr>
            <w:tcW w:w="1560" w:type="dxa"/>
            <w:tcBorders>
              <w:top w:val="nil"/>
              <w:bottom w:val="nil"/>
            </w:tcBorders>
          </w:tcPr>
          <w:p>
            <w:pPr>
              <w:pStyle w:val="TableParagraph"/>
              <w:rPr>
                <w:rFonts w:ascii="Times New Roman"/>
                <w:sz w:val="14"/>
              </w:rPr>
            </w:pPr>
          </w:p>
        </w:tc>
        <w:tc>
          <w:tcPr>
            <w:tcW w:w="850" w:type="dxa"/>
            <w:tcBorders>
              <w:top w:val="nil"/>
              <w:bottom w:val="nil"/>
            </w:tcBorders>
          </w:tcPr>
          <w:p>
            <w:pPr>
              <w:pStyle w:val="TableParagraph"/>
              <w:rPr>
                <w:rFonts w:ascii="Times New Roman"/>
                <w:sz w:val="14"/>
              </w:rPr>
            </w:pPr>
          </w:p>
        </w:tc>
        <w:tc>
          <w:tcPr>
            <w:tcW w:w="1419" w:type="dxa"/>
            <w:tcBorders>
              <w:top w:val="nil"/>
              <w:bottom w:val="nil"/>
            </w:tcBorders>
          </w:tcPr>
          <w:p>
            <w:pPr>
              <w:pStyle w:val="TableParagraph"/>
              <w:rPr>
                <w:rFonts w:ascii="Times New Roman"/>
                <w:sz w:val="14"/>
              </w:rPr>
            </w:pPr>
          </w:p>
        </w:tc>
        <w:tc>
          <w:tcPr>
            <w:tcW w:w="1649" w:type="dxa"/>
            <w:tcBorders>
              <w:top w:val="nil"/>
              <w:bottom w:val="nil"/>
            </w:tcBorders>
          </w:tcPr>
          <w:p>
            <w:pPr>
              <w:pStyle w:val="TableParagraph"/>
              <w:spacing w:line="188" w:lineRule="exact"/>
              <w:ind w:left="104"/>
              <w:rPr>
                <w:sz w:val="18"/>
              </w:rPr>
            </w:pPr>
            <w:r>
              <w:rPr>
                <w:spacing w:val="-2"/>
                <w:sz w:val="18"/>
              </w:rPr>
              <w:t>Audit</w:t>
            </w:r>
          </w:p>
        </w:tc>
        <w:tc>
          <w:tcPr>
            <w:tcW w:w="1894" w:type="dxa"/>
            <w:tcBorders>
              <w:top w:val="nil"/>
              <w:bottom w:val="nil"/>
            </w:tcBorders>
          </w:tcPr>
          <w:p>
            <w:pPr>
              <w:pStyle w:val="TableParagraph"/>
              <w:spacing w:line="188" w:lineRule="exact"/>
              <w:ind w:left="106"/>
              <w:rPr>
                <w:sz w:val="18"/>
              </w:rPr>
            </w:pPr>
            <w:r>
              <w:rPr>
                <w:spacing w:val="-5"/>
                <w:sz w:val="18"/>
              </w:rPr>
              <w:t>80%</w:t>
            </w:r>
          </w:p>
        </w:tc>
      </w:tr>
      <w:tr>
        <w:trPr>
          <w:trHeight w:val="206" w:hRule="atLeast"/>
        </w:trPr>
        <w:tc>
          <w:tcPr>
            <w:tcW w:w="1980" w:type="dxa"/>
            <w:tcBorders>
              <w:top w:val="nil"/>
              <w:bottom w:val="nil"/>
            </w:tcBorders>
          </w:tcPr>
          <w:p>
            <w:pPr>
              <w:pStyle w:val="TableParagraph"/>
              <w:rPr>
                <w:rFonts w:ascii="Times New Roman"/>
                <w:sz w:val="14"/>
              </w:rPr>
            </w:pPr>
          </w:p>
        </w:tc>
        <w:tc>
          <w:tcPr>
            <w:tcW w:w="1560" w:type="dxa"/>
            <w:tcBorders>
              <w:top w:val="nil"/>
              <w:bottom w:val="nil"/>
            </w:tcBorders>
          </w:tcPr>
          <w:p>
            <w:pPr>
              <w:pStyle w:val="TableParagraph"/>
              <w:rPr>
                <w:rFonts w:ascii="Times New Roman"/>
                <w:sz w:val="14"/>
              </w:rPr>
            </w:pPr>
          </w:p>
        </w:tc>
        <w:tc>
          <w:tcPr>
            <w:tcW w:w="850" w:type="dxa"/>
            <w:tcBorders>
              <w:top w:val="nil"/>
              <w:bottom w:val="nil"/>
            </w:tcBorders>
          </w:tcPr>
          <w:p>
            <w:pPr>
              <w:pStyle w:val="TableParagraph"/>
              <w:rPr>
                <w:rFonts w:ascii="Times New Roman"/>
                <w:sz w:val="14"/>
              </w:rPr>
            </w:pPr>
          </w:p>
        </w:tc>
        <w:tc>
          <w:tcPr>
            <w:tcW w:w="1419" w:type="dxa"/>
            <w:tcBorders>
              <w:top w:val="nil"/>
              <w:bottom w:val="nil"/>
            </w:tcBorders>
          </w:tcPr>
          <w:p>
            <w:pPr>
              <w:pStyle w:val="TableParagraph"/>
              <w:rPr>
                <w:rFonts w:ascii="Times New Roman"/>
                <w:sz w:val="14"/>
              </w:rPr>
            </w:pPr>
          </w:p>
        </w:tc>
        <w:tc>
          <w:tcPr>
            <w:tcW w:w="1649" w:type="dxa"/>
            <w:tcBorders>
              <w:top w:val="nil"/>
              <w:bottom w:val="nil"/>
            </w:tcBorders>
          </w:tcPr>
          <w:p>
            <w:pPr>
              <w:pStyle w:val="TableParagraph"/>
              <w:spacing w:line="186" w:lineRule="exact"/>
              <w:ind w:left="104"/>
              <w:rPr>
                <w:sz w:val="18"/>
              </w:rPr>
            </w:pPr>
            <w:r>
              <w:rPr>
                <w:sz w:val="18"/>
              </w:rPr>
              <w:t>Gov,</w:t>
            </w:r>
            <w:r>
              <w:rPr>
                <w:spacing w:val="-2"/>
                <w:sz w:val="18"/>
              </w:rPr>
              <w:t> </w:t>
            </w:r>
            <w:r>
              <w:rPr>
                <w:sz w:val="18"/>
              </w:rPr>
              <w:t>Search </w:t>
            </w:r>
            <w:r>
              <w:rPr>
                <w:spacing w:val="-10"/>
                <w:sz w:val="18"/>
              </w:rPr>
              <w:t>&amp;</w:t>
            </w:r>
          </w:p>
        </w:tc>
        <w:tc>
          <w:tcPr>
            <w:tcW w:w="1894" w:type="dxa"/>
            <w:tcBorders>
              <w:top w:val="nil"/>
              <w:bottom w:val="nil"/>
            </w:tcBorders>
          </w:tcPr>
          <w:p>
            <w:pPr>
              <w:pStyle w:val="TableParagraph"/>
              <w:spacing w:line="186" w:lineRule="exact"/>
              <w:ind w:left="106"/>
              <w:rPr>
                <w:sz w:val="18"/>
              </w:rPr>
            </w:pPr>
            <w:r>
              <w:rPr>
                <w:spacing w:val="-5"/>
                <w:sz w:val="18"/>
              </w:rPr>
              <w:t>33%</w:t>
            </w:r>
          </w:p>
        </w:tc>
      </w:tr>
      <w:tr>
        <w:trPr>
          <w:trHeight w:val="206" w:hRule="atLeast"/>
        </w:trPr>
        <w:tc>
          <w:tcPr>
            <w:tcW w:w="1980" w:type="dxa"/>
            <w:tcBorders>
              <w:top w:val="nil"/>
              <w:bottom w:val="nil"/>
            </w:tcBorders>
          </w:tcPr>
          <w:p>
            <w:pPr>
              <w:pStyle w:val="TableParagraph"/>
              <w:rPr>
                <w:rFonts w:ascii="Times New Roman"/>
                <w:sz w:val="14"/>
              </w:rPr>
            </w:pPr>
          </w:p>
        </w:tc>
        <w:tc>
          <w:tcPr>
            <w:tcW w:w="1560" w:type="dxa"/>
            <w:tcBorders>
              <w:top w:val="nil"/>
              <w:bottom w:val="nil"/>
            </w:tcBorders>
          </w:tcPr>
          <w:p>
            <w:pPr>
              <w:pStyle w:val="TableParagraph"/>
              <w:rPr>
                <w:rFonts w:ascii="Times New Roman"/>
                <w:sz w:val="14"/>
              </w:rPr>
            </w:pPr>
          </w:p>
        </w:tc>
        <w:tc>
          <w:tcPr>
            <w:tcW w:w="850" w:type="dxa"/>
            <w:tcBorders>
              <w:top w:val="nil"/>
              <w:bottom w:val="nil"/>
            </w:tcBorders>
          </w:tcPr>
          <w:p>
            <w:pPr>
              <w:pStyle w:val="TableParagraph"/>
              <w:rPr>
                <w:rFonts w:ascii="Times New Roman"/>
                <w:sz w:val="14"/>
              </w:rPr>
            </w:pPr>
          </w:p>
        </w:tc>
        <w:tc>
          <w:tcPr>
            <w:tcW w:w="1419" w:type="dxa"/>
            <w:tcBorders>
              <w:top w:val="nil"/>
              <w:bottom w:val="nil"/>
            </w:tcBorders>
          </w:tcPr>
          <w:p>
            <w:pPr>
              <w:pStyle w:val="TableParagraph"/>
              <w:rPr>
                <w:rFonts w:ascii="Times New Roman"/>
                <w:sz w:val="14"/>
              </w:rPr>
            </w:pPr>
          </w:p>
        </w:tc>
        <w:tc>
          <w:tcPr>
            <w:tcW w:w="1649" w:type="dxa"/>
            <w:tcBorders>
              <w:top w:val="nil"/>
              <w:bottom w:val="nil"/>
            </w:tcBorders>
          </w:tcPr>
          <w:p>
            <w:pPr>
              <w:pStyle w:val="TableParagraph"/>
              <w:spacing w:line="186" w:lineRule="exact"/>
              <w:ind w:left="104"/>
              <w:rPr>
                <w:sz w:val="18"/>
              </w:rPr>
            </w:pPr>
            <w:r>
              <w:rPr>
                <w:spacing w:val="-5"/>
                <w:sz w:val="18"/>
              </w:rPr>
              <w:t>Rem</w:t>
            </w:r>
          </w:p>
        </w:tc>
        <w:tc>
          <w:tcPr>
            <w:tcW w:w="1894" w:type="dxa"/>
            <w:tcBorders>
              <w:top w:val="nil"/>
              <w:bottom w:val="nil"/>
            </w:tcBorders>
          </w:tcPr>
          <w:p>
            <w:pPr>
              <w:pStyle w:val="TableParagraph"/>
              <w:rPr>
                <w:rFonts w:ascii="Times New Roman"/>
                <w:sz w:val="14"/>
              </w:rPr>
            </w:pPr>
          </w:p>
        </w:tc>
      </w:tr>
      <w:tr>
        <w:trPr>
          <w:trHeight w:val="206" w:hRule="atLeast"/>
        </w:trPr>
        <w:tc>
          <w:tcPr>
            <w:tcW w:w="1980" w:type="dxa"/>
            <w:tcBorders>
              <w:top w:val="nil"/>
            </w:tcBorders>
          </w:tcPr>
          <w:p>
            <w:pPr>
              <w:pStyle w:val="TableParagraph"/>
              <w:rPr>
                <w:rFonts w:ascii="Times New Roman"/>
                <w:sz w:val="14"/>
              </w:rPr>
            </w:pPr>
          </w:p>
        </w:tc>
        <w:tc>
          <w:tcPr>
            <w:tcW w:w="1560" w:type="dxa"/>
            <w:tcBorders>
              <w:top w:val="nil"/>
            </w:tcBorders>
          </w:tcPr>
          <w:p>
            <w:pPr>
              <w:pStyle w:val="TableParagraph"/>
              <w:rPr>
                <w:rFonts w:ascii="Times New Roman"/>
                <w:sz w:val="14"/>
              </w:rPr>
            </w:pPr>
          </w:p>
        </w:tc>
        <w:tc>
          <w:tcPr>
            <w:tcW w:w="850" w:type="dxa"/>
            <w:tcBorders>
              <w:top w:val="nil"/>
            </w:tcBorders>
          </w:tcPr>
          <w:p>
            <w:pPr>
              <w:pStyle w:val="TableParagraph"/>
              <w:rPr>
                <w:rFonts w:ascii="Times New Roman"/>
                <w:sz w:val="14"/>
              </w:rPr>
            </w:pPr>
          </w:p>
        </w:tc>
        <w:tc>
          <w:tcPr>
            <w:tcW w:w="1419" w:type="dxa"/>
            <w:tcBorders>
              <w:top w:val="nil"/>
            </w:tcBorders>
          </w:tcPr>
          <w:p>
            <w:pPr>
              <w:pStyle w:val="TableParagraph"/>
              <w:rPr>
                <w:rFonts w:ascii="Times New Roman"/>
                <w:sz w:val="14"/>
              </w:rPr>
            </w:pPr>
          </w:p>
        </w:tc>
        <w:tc>
          <w:tcPr>
            <w:tcW w:w="1649" w:type="dxa"/>
            <w:tcBorders>
              <w:top w:val="nil"/>
            </w:tcBorders>
          </w:tcPr>
          <w:p>
            <w:pPr>
              <w:pStyle w:val="TableParagraph"/>
              <w:spacing w:line="186" w:lineRule="exact"/>
              <w:ind w:left="104"/>
              <w:rPr>
                <w:sz w:val="18"/>
              </w:rPr>
            </w:pPr>
            <w:r>
              <w:rPr>
                <w:spacing w:val="-2"/>
                <w:sz w:val="18"/>
              </w:rPr>
              <w:t>Standards</w:t>
            </w:r>
          </w:p>
        </w:tc>
        <w:tc>
          <w:tcPr>
            <w:tcW w:w="1894" w:type="dxa"/>
            <w:tcBorders>
              <w:top w:val="nil"/>
            </w:tcBorders>
          </w:tcPr>
          <w:p>
            <w:pPr>
              <w:pStyle w:val="TableParagraph"/>
              <w:spacing w:line="186" w:lineRule="exact"/>
              <w:ind w:left="106"/>
              <w:rPr>
                <w:sz w:val="18"/>
              </w:rPr>
            </w:pPr>
            <w:r>
              <w:rPr>
                <w:spacing w:val="-5"/>
                <w:sz w:val="18"/>
              </w:rPr>
              <w:t>80%</w:t>
            </w:r>
          </w:p>
        </w:tc>
      </w:tr>
    </w:tbl>
    <w:p>
      <w:pPr>
        <w:pStyle w:val="TableParagraph"/>
        <w:spacing w:after="0" w:line="186" w:lineRule="exact"/>
        <w:rPr>
          <w:sz w:val="18"/>
        </w:rPr>
        <w:sectPr>
          <w:pgSz w:w="11910" w:h="16850"/>
          <w:pgMar w:header="727" w:footer="702" w:top="1520" w:bottom="900" w:left="566" w:right="708"/>
        </w:sectPr>
      </w:pPr>
    </w:p>
    <w:p>
      <w:pPr>
        <w:pStyle w:val="BodyText"/>
        <w:rPr>
          <w:b/>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spacing w:before="45"/>
        <w:rPr>
          <w:b/>
        </w:rPr>
      </w:pPr>
    </w:p>
    <w:p>
      <w:pPr>
        <w:pStyle w:val="BodyText"/>
        <w:ind w:left="852" w:right="1086"/>
        <w:jc w:val="both"/>
      </w:pPr>
      <w:r>
        <w:rPr/>
        <w:t>Since</w:t>
      </w:r>
      <w:r>
        <w:rPr>
          <w:spacing w:val="-7"/>
        </w:rPr>
        <w:t> </w:t>
      </w:r>
      <w:r>
        <w:rPr/>
        <w:t>the</w:t>
      </w:r>
      <w:r>
        <w:rPr>
          <w:spacing w:val="-9"/>
        </w:rPr>
        <w:t> </w:t>
      </w:r>
      <w:r>
        <w:rPr/>
        <w:t>financial</w:t>
      </w:r>
      <w:r>
        <w:rPr>
          <w:spacing w:val="-10"/>
        </w:rPr>
        <w:t> </w:t>
      </w:r>
      <w:r>
        <w:rPr/>
        <w:t>year</w:t>
      </w:r>
      <w:r>
        <w:rPr>
          <w:spacing w:val="-5"/>
        </w:rPr>
        <w:t> </w:t>
      </w:r>
      <w:r>
        <w:rPr/>
        <w:t>end</w:t>
      </w:r>
      <w:r>
        <w:rPr>
          <w:spacing w:val="-7"/>
        </w:rPr>
        <w:t> </w:t>
      </w:r>
      <w:r>
        <w:rPr/>
        <w:t>the</w:t>
      </w:r>
      <w:r>
        <w:rPr>
          <w:spacing w:val="-9"/>
        </w:rPr>
        <w:t> </w:t>
      </w:r>
      <w:r>
        <w:rPr/>
        <w:t>following</w:t>
      </w:r>
      <w:r>
        <w:rPr>
          <w:spacing w:val="-9"/>
        </w:rPr>
        <w:t> </w:t>
      </w:r>
      <w:r>
        <w:rPr/>
        <w:t>governors</w:t>
      </w:r>
      <w:r>
        <w:rPr>
          <w:spacing w:val="-7"/>
        </w:rPr>
        <w:t> </w:t>
      </w:r>
      <w:r>
        <w:rPr/>
        <w:t>have</w:t>
      </w:r>
      <w:r>
        <w:rPr>
          <w:spacing w:val="-9"/>
        </w:rPr>
        <w:t> </w:t>
      </w:r>
      <w:r>
        <w:rPr/>
        <w:t>been</w:t>
      </w:r>
      <w:r>
        <w:rPr>
          <w:spacing w:val="-9"/>
        </w:rPr>
        <w:t> </w:t>
      </w:r>
      <w:r>
        <w:rPr/>
        <w:t>appointed;</w:t>
      </w:r>
      <w:r>
        <w:rPr>
          <w:spacing w:val="-6"/>
        </w:rPr>
        <w:t> </w:t>
      </w:r>
      <w:r>
        <w:rPr/>
        <w:t>Ms</w:t>
      </w:r>
      <w:r>
        <w:rPr>
          <w:spacing w:val="-7"/>
        </w:rPr>
        <w:t> </w:t>
      </w:r>
      <w:r>
        <w:rPr/>
        <w:t>P</w:t>
      </w:r>
      <w:r>
        <w:rPr>
          <w:spacing w:val="-7"/>
        </w:rPr>
        <w:t> </w:t>
      </w:r>
      <w:r>
        <w:rPr/>
        <w:t>Gouldthorpe,</w:t>
      </w:r>
      <w:r>
        <w:rPr>
          <w:spacing w:val="-6"/>
        </w:rPr>
        <w:t> </w:t>
      </w:r>
      <w:r>
        <w:rPr/>
        <w:t>Mr</w:t>
      </w:r>
      <w:r>
        <w:rPr>
          <w:spacing w:val="-5"/>
        </w:rPr>
        <w:t> </w:t>
      </w:r>
      <w:r>
        <w:rPr/>
        <w:t>N Snaith, Mr J Cook, Dr B Howell, Ms R Garland, Ms Lauren Dale, Mr M Blowman (Staff Governor), Ms T Lynam (Staff Governor).</w:t>
      </w:r>
    </w:p>
    <w:p>
      <w:pPr>
        <w:pStyle w:val="BodyText"/>
      </w:pPr>
    </w:p>
    <w:p>
      <w:pPr>
        <w:pStyle w:val="BodyText"/>
        <w:ind w:left="852" w:right="1088"/>
        <w:jc w:val="both"/>
      </w:pPr>
      <w:r>
        <w:rPr/>
        <w:t>It is the Corporation’s responsibility to bring independent judgement to bear on issues of strategy, performance, quality, resources and standards of conduct.</w:t>
      </w:r>
    </w:p>
    <w:p>
      <w:pPr>
        <w:pStyle w:val="BodyText"/>
        <w:spacing w:before="1"/>
      </w:pPr>
    </w:p>
    <w:p>
      <w:pPr>
        <w:pStyle w:val="BodyText"/>
        <w:ind w:left="852" w:right="1086"/>
        <w:jc w:val="both"/>
      </w:pPr>
      <w:r>
        <w:rPr/>
        <w:t>Through the scrutiny provided by its meetings and those of its sub-committees, the Corporation is updated with regular and timely information on the overall financial performance of Hull College together with other information such as performance against funding targets, proposed capital expenditure,</w:t>
      </w:r>
      <w:r>
        <w:rPr>
          <w:spacing w:val="-2"/>
        </w:rPr>
        <w:t> </w:t>
      </w:r>
      <w:r>
        <w:rPr/>
        <w:t>quality issues, personnel related matters and on items such as health</w:t>
      </w:r>
      <w:r>
        <w:rPr>
          <w:spacing w:val="-2"/>
        </w:rPr>
        <w:t> </w:t>
      </w:r>
      <w:r>
        <w:rPr/>
        <w:t>and</w:t>
      </w:r>
      <w:r>
        <w:rPr>
          <w:spacing w:val="-2"/>
        </w:rPr>
        <w:t> </w:t>
      </w:r>
      <w:r>
        <w:rPr/>
        <w:t>safety and the environment.</w:t>
      </w:r>
      <w:r>
        <w:rPr>
          <w:spacing w:val="40"/>
        </w:rPr>
        <w:t> </w:t>
      </w:r>
      <w:r>
        <w:rPr/>
        <w:t>The Corporation</w:t>
      </w:r>
      <w:r>
        <w:rPr>
          <w:spacing w:val="-2"/>
        </w:rPr>
        <w:t> </w:t>
      </w:r>
      <w:r>
        <w:rPr/>
        <w:t>sets the</w:t>
      </w:r>
      <w:r>
        <w:rPr>
          <w:spacing w:val="-2"/>
        </w:rPr>
        <w:t> </w:t>
      </w:r>
      <w:r>
        <w:rPr/>
        <w:t>College’s strategy, approves its quality framework and monitors outcomes against these.</w:t>
      </w:r>
    </w:p>
    <w:p>
      <w:pPr>
        <w:pStyle w:val="BodyText"/>
        <w:spacing w:before="1"/>
      </w:pPr>
    </w:p>
    <w:p>
      <w:pPr>
        <w:pStyle w:val="BodyText"/>
        <w:spacing w:before="1"/>
        <w:ind w:left="852" w:right="1088"/>
        <w:jc w:val="both"/>
      </w:pPr>
      <w:r>
        <w:rPr/>
        <w:t>During</w:t>
      </w:r>
      <w:r>
        <w:rPr>
          <w:spacing w:val="-7"/>
        </w:rPr>
        <w:t> </w:t>
      </w:r>
      <w:r>
        <w:rPr/>
        <w:t>the</w:t>
      </w:r>
      <w:r>
        <w:rPr>
          <w:spacing w:val="-7"/>
        </w:rPr>
        <w:t> </w:t>
      </w:r>
      <w:r>
        <w:rPr/>
        <w:t>financial</w:t>
      </w:r>
      <w:r>
        <w:rPr>
          <w:spacing w:val="-7"/>
        </w:rPr>
        <w:t> </w:t>
      </w:r>
      <w:r>
        <w:rPr/>
        <w:t>year,</w:t>
      </w:r>
      <w:r>
        <w:rPr>
          <w:spacing w:val="-6"/>
        </w:rPr>
        <w:t> </w:t>
      </w:r>
      <w:r>
        <w:rPr/>
        <w:t>the</w:t>
      </w:r>
      <w:r>
        <w:rPr>
          <w:spacing w:val="-7"/>
        </w:rPr>
        <w:t> </w:t>
      </w:r>
      <w:r>
        <w:rPr/>
        <w:t>Corporation</w:t>
      </w:r>
      <w:r>
        <w:rPr>
          <w:spacing w:val="-4"/>
        </w:rPr>
        <w:t> </w:t>
      </w:r>
      <w:r>
        <w:rPr/>
        <w:t>conducted</w:t>
      </w:r>
      <w:r>
        <w:rPr>
          <w:spacing w:val="-4"/>
        </w:rPr>
        <w:t> </w:t>
      </w:r>
      <w:r>
        <w:rPr/>
        <w:t>its</w:t>
      </w:r>
      <w:r>
        <w:rPr>
          <w:spacing w:val="-3"/>
        </w:rPr>
        <w:t> </w:t>
      </w:r>
      <w:r>
        <w:rPr/>
        <w:t>business</w:t>
      </w:r>
      <w:r>
        <w:rPr>
          <w:spacing w:val="-5"/>
        </w:rPr>
        <w:t> </w:t>
      </w:r>
      <w:r>
        <w:rPr/>
        <w:t>through</w:t>
      </w:r>
      <w:r>
        <w:rPr>
          <w:spacing w:val="-4"/>
        </w:rPr>
        <w:t> </w:t>
      </w:r>
      <w:r>
        <w:rPr/>
        <w:t>a</w:t>
      </w:r>
      <w:r>
        <w:rPr>
          <w:spacing w:val="-4"/>
        </w:rPr>
        <w:t> </w:t>
      </w:r>
      <w:r>
        <w:rPr/>
        <w:t>number</w:t>
      </w:r>
      <w:r>
        <w:rPr>
          <w:spacing w:val="-5"/>
        </w:rPr>
        <w:t> </w:t>
      </w:r>
      <w:r>
        <w:rPr/>
        <w:t>of</w:t>
      </w:r>
      <w:r>
        <w:rPr>
          <w:spacing w:val="-6"/>
        </w:rPr>
        <w:t> </w:t>
      </w:r>
      <w:r>
        <w:rPr/>
        <w:t>committees. Each committee has terms of reference, which have been approved by the Corporation, and an annual work plan.</w:t>
      </w:r>
      <w:r>
        <w:rPr>
          <w:spacing w:val="40"/>
        </w:rPr>
        <w:t> </w:t>
      </w:r>
      <w:r>
        <w:rPr/>
        <w:t>These committees are:</w:t>
      </w:r>
    </w:p>
    <w:p>
      <w:pPr>
        <w:pStyle w:val="BodyText"/>
      </w:pPr>
    </w:p>
    <w:p>
      <w:pPr>
        <w:pStyle w:val="ListParagraph"/>
        <w:numPr>
          <w:ilvl w:val="1"/>
          <w:numId w:val="4"/>
        </w:numPr>
        <w:tabs>
          <w:tab w:pos="1572" w:val="left" w:leader="none"/>
        </w:tabs>
        <w:spacing w:line="240" w:lineRule="auto" w:before="0" w:after="0"/>
        <w:ind w:left="1572" w:right="0" w:hanging="360"/>
        <w:jc w:val="left"/>
        <w:rPr>
          <w:sz w:val="20"/>
        </w:rPr>
      </w:pPr>
      <w:r>
        <w:rPr>
          <w:spacing w:val="-4"/>
          <w:sz w:val="20"/>
        </w:rPr>
        <w:t>Audit</w:t>
      </w:r>
    </w:p>
    <w:p>
      <w:pPr>
        <w:pStyle w:val="ListParagraph"/>
        <w:numPr>
          <w:ilvl w:val="1"/>
          <w:numId w:val="4"/>
        </w:numPr>
        <w:tabs>
          <w:tab w:pos="1572" w:val="left" w:leader="none"/>
        </w:tabs>
        <w:spacing w:line="240" w:lineRule="auto" w:before="33" w:after="0"/>
        <w:ind w:left="1572" w:right="0" w:hanging="360"/>
        <w:jc w:val="left"/>
        <w:rPr>
          <w:sz w:val="20"/>
        </w:rPr>
      </w:pPr>
      <w:r>
        <w:rPr>
          <w:sz w:val="20"/>
        </w:rPr>
        <w:t>Finance</w:t>
      </w:r>
      <w:r>
        <w:rPr>
          <w:spacing w:val="-6"/>
          <w:sz w:val="20"/>
        </w:rPr>
        <w:t> </w:t>
      </w:r>
      <w:r>
        <w:rPr>
          <w:sz w:val="20"/>
        </w:rPr>
        <w:t>&amp;</w:t>
      </w:r>
      <w:r>
        <w:rPr>
          <w:spacing w:val="-5"/>
          <w:sz w:val="20"/>
        </w:rPr>
        <w:t> </w:t>
      </w:r>
      <w:r>
        <w:rPr>
          <w:spacing w:val="-2"/>
          <w:sz w:val="20"/>
        </w:rPr>
        <w:t>Resources</w:t>
      </w:r>
    </w:p>
    <w:p>
      <w:pPr>
        <w:pStyle w:val="ListParagraph"/>
        <w:numPr>
          <w:ilvl w:val="1"/>
          <w:numId w:val="4"/>
        </w:numPr>
        <w:tabs>
          <w:tab w:pos="1572" w:val="left" w:leader="none"/>
        </w:tabs>
        <w:spacing w:line="240" w:lineRule="auto" w:before="34" w:after="0"/>
        <w:ind w:left="1572" w:right="0" w:hanging="360"/>
        <w:jc w:val="left"/>
        <w:rPr>
          <w:sz w:val="20"/>
        </w:rPr>
      </w:pPr>
      <w:r>
        <w:rPr>
          <w:sz w:val="20"/>
        </w:rPr>
        <w:t>Governance,</w:t>
      </w:r>
      <w:r>
        <w:rPr>
          <w:spacing w:val="-7"/>
          <w:sz w:val="20"/>
        </w:rPr>
        <w:t> </w:t>
      </w:r>
      <w:r>
        <w:rPr>
          <w:sz w:val="20"/>
        </w:rPr>
        <w:t>Search</w:t>
      </w:r>
      <w:r>
        <w:rPr>
          <w:spacing w:val="-8"/>
          <w:sz w:val="20"/>
        </w:rPr>
        <w:t> </w:t>
      </w:r>
      <w:r>
        <w:rPr>
          <w:sz w:val="20"/>
        </w:rPr>
        <w:t>&amp;</w:t>
      </w:r>
      <w:r>
        <w:rPr>
          <w:spacing w:val="-9"/>
          <w:sz w:val="20"/>
        </w:rPr>
        <w:t> </w:t>
      </w:r>
      <w:r>
        <w:rPr>
          <w:spacing w:val="-2"/>
          <w:sz w:val="20"/>
        </w:rPr>
        <w:t>Remuneration</w:t>
      </w:r>
    </w:p>
    <w:p>
      <w:pPr>
        <w:pStyle w:val="ListParagraph"/>
        <w:numPr>
          <w:ilvl w:val="1"/>
          <w:numId w:val="4"/>
        </w:numPr>
        <w:tabs>
          <w:tab w:pos="1572" w:val="left" w:leader="none"/>
        </w:tabs>
        <w:spacing w:line="240" w:lineRule="auto" w:before="33" w:after="0"/>
        <w:ind w:left="1572" w:right="0" w:hanging="360"/>
        <w:jc w:val="left"/>
        <w:rPr>
          <w:sz w:val="20"/>
        </w:rPr>
      </w:pPr>
      <w:r>
        <w:rPr>
          <w:sz w:val="20"/>
        </w:rPr>
        <w:t>HE</w:t>
      </w:r>
      <w:r>
        <w:rPr>
          <w:spacing w:val="-2"/>
          <w:sz w:val="20"/>
        </w:rPr>
        <w:t> Advisory</w:t>
      </w:r>
    </w:p>
    <w:p>
      <w:pPr>
        <w:pStyle w:val="ListParagraph"/>
        <w:numPr>
          <w:ilvl w:val="1"/>
          <w:numId w:val="4"/>
        </w:numPr>
        <w:tabs>
          <w:tab w:pos="1572" w:val="left" w:leader="none"/>
        </w:tabs>
        <w:spacing w:line="240" w:lineRule="auto" w:before="31" w:after="0"/>
        <w:ind w:left="1572" w:right="0" w:hanging="360"/>
        <w:jc w:val="left"/>
        <w:rPr>
          <w:sz w:val="20"/>
        </w:rPr>
      </w:pPr>
      <w:r>
        <w:rPr>
          <w:spacing w:val="-2"/>
          <w:sz w:val="20"/>
        </w:rPr>
        <w:t>Standards</w:t>
      </w:r>
    </w:p>
    <w:p>
      <w:pPr>
        <w:pStyle w:val="BodyText"/>
        <w:spacing w:before="2"/>
      </w:pPr>
    </w:p>
    <w:p>
      <w:pPr>
        <w:pStyle w:val="BodyText"/>
        <w:ind w:left="852" w:right="1090"/>
        <w:jc w:val="both"/>
      </w:pPr>
      <w:r>
        <w:rPr/>
        <w:t>Full minutes of all meetings, except those deemed to be confidential by the Corporation, are published on the College website.</w:t>
      </w:r>
    </w:p>
    <w:p>
      <w:pPr>
        <w:pStyle w:val="BodyText"/>
        <w:spacing w:before="1"/>
      </w:pPr>
    </w:p>
    <w:p>
      <w:pPr>
        <w:pStyle w:val="BodyText"/>
        <w:spacing w:before="1"/>
        <w:ind w:left="852" w:right="1088"/>
        <w:jc w:val="both"/>
      </w:pPr>
      <w:r>
        <w:rPr/>
        <w:t>The Director of Governance maintains a register of financial and personal interests of the Governors.</w:t>
      </w:r>
      <w:r>
        <w:rPr>
          <w:spacing w:val="40"/>
        </w:rPr>
        <w:t> </w:t>
      </w:r>
      <w:r>
        <w:rPr/>
        <w:t>The register is available for inspection during office hours at the above address.</w:t>
      </w:r>
    </w:p>
    <w:p>
      <w:pPr>
        <w:pStyle w:val="BodyText"/>
        <w:spacing w:before="229"/>
        <w:ind w:left="852" w:right="1088"/>
        <w:jc w:val="both"/>
      </w:pPr>
      <w:r>
        <w:rPr/>
        <w:t>All</w:t>
      </w:r>
      <w:r>
        <w:rPr>
          <w:spacing w:val="-2"/>
        </w:rPr>
        <w:t> </w:t>
      </w:r>
      <w:r>
        <w:rPr/>
        <w:t>Governors are able</w:t>
      </w:r>
      <w:r>
        <w:rPr>
          <w:spacing w:val="-1"/>
        </w:rPr>
        <w:t> </w:t>
      </w:r>
      <w:r>
        <w:rPr/>
        <w:t>to</w:t>
      </w:r>
      <w:r>
        <w:rPr>
          <w:spacing w:val="-1"/>
        </w:rPr>
        <w:t> </w:t>
      </w:r>
      <w:r>
        <w:rPr/>
        <w:t>take</w:t>
      </w:r>
      <w:r>
        <w:rPr>
          <w:spacing w:val="-1"/>
        </w:rPr>
        <w:t> </w:t>
      </w:r>
      <w:r>
        <w:rPr/>
        <w:t>independent</w:t>
      </w:r>
      <w:r>
        <w:rPr>
          <w:spacing w:val="-1"/>
        </w:rPr>
        <w:t> </w:t>
      </w:r>
      <w:r>
        <w:rPr/>
        <w:t>professional</w:t>
      </w:r>
      <w:r>
        <w:rPr>
          <w:spacing w:val="-2"/>
        </w:rPr>
        <w:t> </w:t>
      </w:r>
      <w:r>
        <w:rPr/>
        <w:t>advice</w:t>
      </w:r>
      <w:r>
        <w:rPr>
          <w:spacing w:val="-1"/>
        </w:rPr>
        <w:t> </w:t>
      </w:r>
      <w:r>
        <w:rPr/>
        <w:t>in</w:t>
      </w:r>
      <w:r>
        <w:rPr>
          <w:spacing w:val="-1"/>
        </w:rPr>
        <w:t> </w:t>
      </w:r>
      <w:r>
        <w:rPr/>
        <w:t>furtherance of</w:t>
      </w:r>
      <w:r>
        <w:rPr>
          <w:spacing w:val="-1"/>
        </w:rPr>
        <w:t> </w:t>
      </w:r>
      <w:r>
        <w:rPr/>
        <w:t>their duties at</w:t>
      </w:r>
      <w:r>
        <w:rPr>
          <w:spacing w:val="-1"/>
        </w:rPr>
        <w:t> </w:t>
      </w:r>
      <w:r>
        <w:rPr/>
        <w:t>the College’s expense and have access to the Director of Governance, who is responsible to the Corporation for ensuring that all applicable procedures and regulations are complied with. The appointment,</w:t>
      </w:r>
      <w:r>
        <w:rPr>
          <w:spacing w:val="-7"/>
        </w:rPr>
        <w:t> </w:t>
      </w:r>
      <w:r>
        <w:rPr/>
        <w:t>evaluation</w:t>
      </w:r>
      <w:r>
        <w:rPr>
          <w:spacing w:val="-8"/>
        </w:rPr>
        <w:t> </w:t>
      </w:r>
      <w:r>
        <w:rPr/>
        <w:t>and</w:t>
      </w:r>
      <w:r>
        <w:rPr>
          <w:spacing w:val="-10"/>
        </w:rPr>
        <w:t> </w:t>
      </w:r>
      <w:r>
        <w:rPr/>
        <w:t>removal</w:t>
      </w:r>
      <w:r>
        <w:rPr>
          <w:spacing w:val="-8"/>
        </w:rPr>
        <w:t> </w:t>
      </w:r>
      <w:r>
        <w:rPr/>
        <w:t>of</w:t>
      </w:r>
      <w:r>
        <w:rPr>
          <w:spacing w:val="-10"/>
        </w:rPr>
        <w:t> </w:t>
      </w:r>
      <w:r>
        <w:rPr/>
        <w:t>the</w:t>
      </w:r>
      <w:r>
        <w:rPr>
          <w:spacing w:val="-8"/>
        </w:rPr>
        <w:t> </w:t>
      </w:r>
      <w:r>
        <w:rPr/>
        <w:t>Director</w:t>
      </w:r>
      <w:r>
        <w:rPr>
          <w:spacing w:val="-6"/>
        </w:rPr>
        <w:t> </w:t>
      </w:r>
      <w:r>
        <w:rPr/>
        <w:t>of</w:t>
      </w:r>
      <w:r>
        <w:rPr>
          <w:spacing w:val="-7"/>
        </w:rPr>
        <w:t> </w:t>
      </w:r>
      <w:r>
        <w:rPr/>
        <w:t>Governance</w:t>
      </w:r>
      <w:r>
        <w:rPr>
          <w:spacing w:val="-8"/>
        </w:rPr>
        <w:t> </w:t>
      </w:r>
      <w:r>
        <w:rPr/>
        <w:t>are</w:t>
      </w:r>
      <w:r>
        <w:rPr>
          <w:spacing w:val="-8"/>
        </w:rPr>
        <w:t> </w:t>
      </w:r>
      <w:r>
        <w:rPr/>
        <w:t>matters</w:t>
      </w:r>
      <w:r>
        <w:rPr>
          <w:spacing w:val="-8"/>
        </w:rPr>
        <w:t> </w:t>
      </w:r>
      <w:r>
        <w:rPr/>
        <w:t>for</w:t>
      </w:r>
      <w:r>
        <w:rPr>
          <w:spacing w:val="-6"/>
        </w:rPr>
        <w:t> </w:t>
      </w:r>
      <w:r>
        <w:rPr/>
        <w:t>the</w:t>
      </w:r>
      <w:r>
        <w:rPr>
          <w:spacing w:val="-8"/>
        </w:rPr>
        <w:t> </w:t>
      </w:r>
      <w:r>
        <w:rPr/>
        <w:t>Corporation as a whole.</w:t>
      </w:r>
    </w:p>
    <w:p>
      <w:pPr>
        <w:pStyle w:val="BodyText"/>
      </w:pPr>
    </w:p>
    <w:p>
      <w:pPr>
        <w:pStyle w:val="BodyText"/>
        <w:ind w:left="852" w:right="1088"/>
        <w:jc w:val="both"/>
      </w:pPr>
      <w:r>
        <w:rPr/>
        <w:t>Formal agendas, papers and reports are supplied to governors in a timely manner, prior to Corporation meetings.</w:t>
      </w:r>
      <w:r>
        <w:rPr>
          <w:spacing w:val="40"/>
        </w:rPr>
        <w:t> </w:t>
      </w:r>
      <w:r>
        <w:rPr/>
        <w:t>Briefings are also provided on a regular basis. Papers remain available to all Governors through a secure electronic portal, which helps to ensure transparency of decision-</w:t>
      </w:r>
      <w:r>
        <w:rPr>
          <w:spacing w:val="-2"/>
        </w:rPr>
        <w:t>making.</w:t>
      </w:r>
    </w:p>
    <w:p>
      <w:pPr>
        <w:pStyle w:val="BodyText"/>
      </w:pPr>
    </w:p>
    <w:p>
      <w:pPr>
        <w:pStyle w:val="BodyText"/>
        <w:ind w:left="851" w:right="1085"/>
        <w:jc w:val="both"/>
      </w:pPr>
      <w:r>
        <w:rPr/>
        <w:t>The Corporation has a strong and independent non-executive element and no individual or group dominates its decision making process. The Corporation considers that each of its non-executive members is independent of management and free from any business or other relationship which could materially interfere with the exercise of their independent judgement. This applies equally to the Director of Governance who has an annual statement passed by Remuneration Committee to ensure their total independence of action.</w:t>
      </w:r>
    </w:p>
    <w:p>
      <w:pPr>
        <w:pStyle w:val="BodyText"/>
        <w:spacing w:before="1"/>
      </w:pPr>
    </w:p>
    <w:p>
      <w:pPr>
        <w:pStyle w:val="BodyText"/>
        <w:ind w:left="851" w:right="1088"/>
        <w:jc w:val="both"/>
      </w:pPr>
      <w:r>
        <w:rPr/>
        <w:t>There</w:t>
      </w:r>
      <w:r>
        <w:rPr>
          <w:spacing w:val="-14"/>
        </w:rPr>
        <w:t> </w:t>
      </w:r>
      <w:r>
        <w:rPr/>
        <w:t>is</w:t>
      </w:r>
      <w:r>
        <w:rPr>
          <w:spacing w:val="-14"/>
        </w:rPr>
        <w:t> </w:t>
      </w:r>
      <w:r>
        <w:rPr/>
        <w:t>a</w:t>
      </w:r>
      <w:r>
        <w:rPr>
          <w:spacing w:val="-14"/>
        </w:rPr>
        <w:t> </w:t>
      </w:r>
      <w:r>
        <w:rPr/>
        <w:t>clear</w:t>
      </w:r>
      <w:r>
        <w:rPr>
          <w:spacing w:val="-14"/>
        </w:rPr>
        <w:t> </w:t>
      </w:r>
      <w:r>
        <w:rPr/>
        <w:t>division</w:t>
      </w:r>
      <w:r>
        <w:rPr>
          <w:spacing w:val="-14"/>
        </w:rPr>
        <w:t> </w:t>
      </w:r>
      <w:r>
        <w:rPr/>
        <w:t>of</w:t>
      </w:r>
      <w:r>
        <w:rPr>
          <w:spacing w:val="-14"/>
        </w:rPr>
        <w:t> </w:t>
      </w:r>
      <w:r>
        <w:rPr/>
        <w:t>responsibility</w:t>
      </w:r>
      <w:r>
        <w:rPr>
          <w:spacing w:val="-14"/>
        </w:rPr>
        <w:t> </w:t>
      </w:r>
      <w:r>
        <w:rPr/>
        <w:t>in</w:t>
      </w:r>
      <w:r>
        <w:rPr>
          <w:spacing w:val="-14"/>
        </w:rPr>
        <w:t> </w:t>
      </w:r>
      <w:r>
        <w:rPr/>
        <w:t>that</w:t>
      </w:r>
      <w:r>
        <w:rPr>
          <w:spacing w:val="-14"/>
        </w:rPr>
        <w:t> </w:t>
      </w:r>
      <w:r>
        <w:rPr/>
        <w:t>the</w:t>
      </w:r>
      <w:r>
        <w:rPr>
          <w:spacing w:val="-13"/>
        </w:rPr>
        <w:t> </w:t>
      </w:r>
      <w:r>
        <w:rPr/>
        <w:t>roles</w:t>
      </w:r>
      <w:r>
        <w:rPr>
          <w:spacing w:val="-14"/>
        </w:rPr>
        <w:t> </w:t>
      </w:r>
      <w:r>
        <w:rPr/>
        <w:t>of</w:t>
      </w:r>
      <w:r>
        <w:rPr>
          <w:spacing w:val="-14"/>
        </w:rPr>
        <w:t> </w:t>
      </w:r>
      <w:r>
        <w:rPr/>
        <w:t>the</w:t>
      </w:r>
      <w:r>
        <w:rPr>
          <w:spacing w:val="-14"/>
        </w:rPr>
        <w:t> </w:t>
      </w:r>
      <w:r>
        <w:rPr/>
        <w:t>Corporation</w:t>
      </w:r>
      <w:r>
        <w:rPr>
          <w:spacing w:val="-14"/>
        </w:rPr>
        <w:t> </w:t>
      </w:r>
      <w:r>
        <w:rPr/>
        <w:t>Chair</w:t>
      </w:r>
      <w:r>
        <w:rPr>
          <w:spacing w:val="-14"/>
        </w:rPr>
        <w:t> </w:t>
      </w:r>
      <w:r>
        <w:rPr/>
        <w:t>and</w:t>
      </w:r>
      <w:r>
        <w:rPr>
          <w:spacing w:val="-14"/>
        </w:rPr>
        <w:t> </w:t>
      </w:r>
      <w:r>
        <w:rPr/>
        <w:t>the</w:t>
      </w:r>
      <w:r>
        <w:rPr>
          <w:spacing w:val="-14"/>
        </w:rPr>
        <w:t> </w:t>
      </w:r>
      <w:r>
        <w:rPr/>
        <w:t>Accounting Officer are separate.</w:t>
      </w:r>
    </w:p>
    <w:p>
      <w:pPr>
        <w:pStyle w:val="BodyText"/>
        <w:spacing w:before="2"/>
      </w:pPr>
    </w:p>
    <w:p>
      <w:pPr>
        <w:pStyle w:val="BodyText"/>
        <w:ind w:left="851" w:right="1086"/>
        <w:jc w:val="both"/>
      </w:pPr>
      <w:r>
        <w:rPr/>
        <w:t>The Corporation has continued to meet throughout the year using a hybrid approach, with some governors attending Corporation meetings virtually whilst others are on site.</w:t>
      </w:r>
      <w:r>
        <w:rPr>
          <w:spacing w:val="40"/>
        </w:rPr>
        <w:t> </w:t>
      </w:r>
      <w:r>
        <w:rPr/>
        <w:t>The majority of committee</w:t>
      </w:r>
      <w:r>
        <w:rPr>
          <w:spacing w:val="-2"/>
        </w:rPr>
        <w:t> </w:t>
      </w:r>
      <w:r>
        <w:rPr/>
        <w:t>meetings</w:t>
      </w:r>
      <w:r>
        <w:rPr>
          <w:spacing w:val="-3"/>
        </w:rPr>
        <w:t> </w:t>
      </w:r>
      <w:r>
        <w:rPr/>
        <w:t>have</w:t>
      </w:r>
      <w:r>
        <w:rPr>
          <w:spacing w:val="-2"/>
        </w:rPr>
        <w:t> </w:t>
      </w:r>
      <w:r>
        <w:rPr/>
        <w:t>been</w:t>
      </w:r>
      <w:r>
        <w:rPr>
          <w:spacing w:val="-2"/>
        </w:rPr>
        <w:t> </w:t>
      </w:r>
      <w:r>
        <w:rPr/>
        <w:t>held</w:t>
      </w:r>
      <w:r>
        <w:rPr>
          <w:spacing w:val="-4"/>
        </w:rPr>
        <w:t> </w:t>
      </w:r>
      <w:r>
        <w:rPr/>
        <w:t>virtually.</w:t>
      </w:r>
      <w:r>
        <w:rPr>
          <w:spacing w:val="40"/>
        </w:rPr>
        <w:t> </w:t>
      </w:r>
      <w:r>
        <w:rPr/>
        <w:t>Governors</w:t>
      </w:r>
      <w:r>
        <w:rPr>
          <w:spacing w:val="-3"/>
        </w:rPr>
        <w:t> </w:t>
      </w:r>
      <w:r>
        <w:rPr/>
        <w:t>have</w:t>
      </w:r>
      <w:r>
        <w:rPr>
          <w:spacing w:val="-4"/>
        </w:rPr>
        <w:t> </w:t>
      </w:r>
      <w:r>
        <w:rPr/>
        <w:t>engaged</w:t>
      </w:r>
      <w:r>
        <w:rPr>
          <w:spacing w:val="-3"/>
        </w:rPr>
        <w:t> </w:t>
      </w:r>
      <w:r>
        <w:rPr/>
        <w:t>well</w:t>
      </w:r>
      <w:r>
        <w:rPr>
          <w:spacing w:val="-3"/>
        </w:rPr>
        <w:t> </w:t>
      </w:r>
      <w:r>
        <w:rPr/>
        <w:t>with</w:t>
      </w:r>
      <w:r>
        <w:rPr>
          <w:spacing w:val="-4"/>
        </w:rPr>
        <w:t> </w:t>
      </w:r>
      <w:r>
        <w:rPr/>
        <w:t>this</w:t>
      </w:r>
      <w:r>
        <w:rPr>
          <w:spacing w:val="-3"/>
        </w:rPr>
        <w:t> </w:t>
      </w:r>
      <w:r>
        <w:rPr/>
        <w:t>practice</w:t>
      </w:r>
      <w:r>
        <w:rPr>
          <w:spacing w:val="-2"/>
        </w:rPr>
        <w:t> </w:t>
      </w:r>
      <w:r>
        <w:rPr/>
        <w:t>and have</w:t>
      </w:r>
      <w:r>
        <w:rPr>
          <w:spacing w:val="-14"/>
        </w:rPr>
        <w:t> </w:t>
      </w:r>
      <w:r>
        <w:rPr/>
        <w:t>continued</w:t>
      </w:r>
      <w:r>
        <w:rPr>
          <w:spacing w:val="-14"/>
        </w:rPr>
        <w:t> </w:t>
      </w:r>
      <w:r>
        <w:rPr/>
        <w:t>to</w:t>
      </w:r>
      <w:r>
        <w:rPr>
          <w:spacing w:val="-14"/>
        </w:rPr>
        <w:t> </w:t>
      </w:r>
      <w:r>
        <w:rPr/>
        <w:t>apply</w:t>
      </w:r>
      <w:r>
        <w:rPr>
          <w:spacing w:val="-14"/>
        </w:rPr>
        <w:t> </w:t>
      </w:r>
      <w:r>
        <w:rPr/>
        <w:t>a</w:t>
      </w:r>
      <w:r>
        <w:rPr>
          <w:spacing w:val="-14"/>
        </w:rPr>
        <w:t> </w:t>
      </w:r>
      <w:r>
        <w:rPr/>
        <w:t>high</w:t>
      </w:r>
      <w:r>
        <w:rPr>
          <w:spacing w:val="-14"/>
        </w:rPr>
        <w:t> </w:t>
      </w:r>
      <w:r>
        <w:rPr/>
        <w:t>level</w:t>
      </w:r>
      <w:r>
        <w:rPr>
          <w:spacing w:val="-14"/>
        </w:rPr>
        <w:t> </w:t>
      </w:r>
      <w:r>
        <w:rPr/>
        <w:t>of</w:t>
      </w:r>
      <w:r>
        <w:rPr>
          <w:spacing w:val="-14"/>
        </w:rPr>
        <w:t> </w:t>
      </w:r>
      <w:r>
        <w:rPr/>
        <w:t>scrutiny,</w:t>
      </w:r>
      <w:r>
        <w:rPr>
          <w:spacing w:val="-14"/>
        </w:rPr>
        <w:t> </w:t>
      </w:r>
      <w:r>
        <w:rPr/>
        <w:t>challenge</w:t>
      </w:r>
      <w:r>
        <w:rPr>
          <w:spacing w:val="-13"/>
        </w:rPr>
        <w:t> </w:t>
      </w:r>
      <w:r>
        <w:rPr/>
        <w:t>and</w:t>
      </w:r>
      <w:r>
        <w:rPr>
          <w:spacing w:val="-14"/>
        </w:rPr>
        <w:t> </w:t>
      </w:r>
      <w:r>
        <w:rPr/>
        <w:t>support</w:t>
      </w:r>
      <w:r>
        <w:rPr>
          <w:spacing w:val="-14"/>
        </w:rPr>
        <w:t> </w:t>
      </w:r>
      <w:r>
        <w:rPr/>
        <w:t>to</w:t>
      </w:r>
      <w:r>
        <w:rPr>
          <w:spacing w:val="-14"/>
        </w:rPr>
        <w:t> </w:t>
      </w:r>
      <w:r>
        <w:rPr/>
        <w:t>the</w:t>
      </w:r>
      <w:r>
        <w:rPr>
          <w:spacing w:val="-14"/>
        </w:rPr>
        <w:t> </w:t>
      </w:r>
      <w:r>
        <w:rPr/>
        <w:t>work</w:t>
      </w:r>
      <w:r>
        <w:rPr>
          <w:spacing w:val="-14"/>
        </w:rPr>
        <w:t> </w:t>
      </w:r>
      <w:r>
        <w:rPr/>
        <w:t>of</w:t>
      </w:r>
      <w:r>
        <w:rPr>
          <w:spacing w:val="-14"/>
        </w:rPr>
        <w:t> </w:t>
      </w:r>
      <w:r>
        <w:rPr/>
        <w:t>the</w:t>
      </w:r>
      <w:r>
        <w:rPr>
          <w:spacing w:val="-14"/>
        </w:rPr>
        <w:t> </w:t>
      </w:r>
      <w:r>
        <w:rPr/>
        <w:t>Corporation and its committees.</w:t>
      </w:r>
    </w:p>
    <w:p>
      <w:pPr>
        <w:pStyle w:val="BodyText"/>
        <w:spacing w:after="0"/>
        <w:jc w:val="both"/>
        <w:sectPr>
          <w:pgSz w:w="11910" w:h="16850"/>
          <w:pgMar w:header="727" w:footer="702" w:top="1520" w:bottom="98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spacing w:before="45"/>
        <w:rPr>
          <w:b/>
        </w:rPr>
      </w:pPr>
    </w:p>
    <w:p>
      <w:pPr>
        <w:pStyle w:val="BodyText"/>
        <w:ind w:left="852" w:right="1088"/>
        <w:jc w:val="both"/>
      </w:pPr>
      <w:r>
        <w:rPr/>
        <w:t>The</w:t>
      </w:r>
      <w:r>
        <w:rPr>
          <w:spacing w:val="-9"/>
        </w:rPr>
        <w:t> </w:t>
      </w:r>
      <w:r>
        <w:rPr/>
        <w:t>Corporation</w:t>
      </w:r>
      <w:r>
        <w:rPr>
          <w:spacing w:val="-7"/>
        </w:rPr>
        <w:t> </w:t>
      </w:r>
      <w:r>
        <w:rPr/>
        <w:t>has</w:t>
      </w:r>
      <w:r>
        <w:rPr>
          <w:spacing w:val="-7"/>
        </w:rPr>
        <w:t> </w:t>
      </w:r>
      <w:r>
        <w:rPr/>
        <w:t>continued</w:t>
      </w:r>
      <w:r>
        <w:rPr>
          <w:spacing w:val="-7"/>
        </w:rPr>
        <w:t> </w:t>
      </w:r>
      <w:r>
        <w:rPr/>
        <w:t>to</w:t>
      </w:r>
      <w:r>
        <w:rPr>
          <w:spacing w:val="-7"/>
        </w:rPr>
        <w:t> </w:t>
      </w:r>
      <w:r>
        <w:rPr/>
        <w:t>be</w:t>
      </w:r>
      <w:r>
        <w:rPr>
          <w:spacing w:val="-7"/>
        </w:rPr>
        <w:t> </w:t>
      </w:r>
      <w:r>
        <w:rPr/>
        <w:t>advised</w:t>
      </w:r>
      <w:r>
        <w:rPr>
          <w:spacing w:val="-7"/>
        </w:rPr>
        <w:t> </w:t>
      </w:r>
      <w:r>
        <w:rPr/>
        <w:t>of</w:t>
      </w:r>
      <w:r>
        <w:rPr>
          <w:spacing w:val="-9"/>
        </w:rPr>
        <w:t> </w:t>
      </w:r>
      <w:r>
        <w:rPr/>
        <w:t>circumstances</w:t>
      </w:r>
      <w:r>
        <w:rPr>
          <w:spacing w:val="-7"/>
        </w:rPr>
        <w:t> </w:t>
      </w:r>
      <w:r>
        <w:rPr/>
        <w:t>where</w:t>
      </w:r>
      <w:r>
        <w:rPr>
          <w:spacing w:val="-9"/>
        </w:rPr>
        <w:t> </w:t>
      </w:r>
      <w:r>
        <w:rPr/>
        <w:t>the</w:t>
      </w:r>
      <w:r>
        <w:rPr>
          <w:spacing w:val="-7"/>
        </w:rPr>
        <w:t> </w:t>
      </w:r>
      <w:r>
        <w:rPr/>
        <w:t>College</w:t>
      </w:r>
      <w:r>
        <w:rPr>
          <w:spacing w:val="-7"/>
        </w:rPr>
        <w:t> </w:t>
      </w:r>
      <w:r>
        <w:rPr/>
        <w:t>has</w:t>
      </w:r>
      <w:r>
        <w:rPr>
          <w:spacing w:val="-7"/>
        </w:rPr>
        <w:t> </w:t>
      </w:r>
      <w:r>
        <w:rPr/>
        <w:t>been</w:t>
      </w:r>
      <w:r>
        <w:rPr>
          <w:spacing w:val="-7"/>
        </w:rPr>
        <w:t> </w:t>
      </w:r>
      <w:r>
        <w:rPr/>
        <w:t>unable to meet its usual Procurement Policy requirements after the peak of the pandemic to ensure that through any interim arrangements the College continues to obtain value for money.</w:t>
      </w:r>
    </w:p>
    <w:p>
      <w:pPr>
        <w:pStyle w:val="BodyText"/>
      </w:pPr>
    </w:p>
    <w:p>
      <w:pPr>
        <w:pStyle w:val="BodyText"/>
        <w:ind w:left="852" w:right="1086"/>
        <w:jc w:val="both"/>
      </w:pPr>
      <w:r>
        <w:rPr/>
        <w:t>As a result of the reclassification of Colleges to the central government sector on 29 November 2022, consideration has been applied to ensuring compliance with new reclassification requirements whilst reviewing policies and procedures as part of its current review process</w:t>
      </w:r>
    </w:p>
    <w:p>
      <w:pPr>
        <w:pStyle w:val="BodyText"/>
        <w:spacing w:before="48"/>
      </w:pPr>
    </w:p>
    <w:p>
      <w:pPr>
        <w:pStyle w:val="Heading3"/>
      </w:pPr>
      <w:r>
        <w:rPr/>
        <w:t>Appointments</w:t>
      </w:r>
      <w:r>
        <w:rPr>
          <w:spacing w:val="-3"/>
        </w:rPr>
        <w:t> </w:t>
      </w:r>
      <w:r>
        <w:rPr/>
        <w:t>to</w:t>
      </w:r>
      <w:r>
        <w:rPr>
          <w:spacing w:val="-4"/>
        </w:rPr>
        <w:t> </w:t>
      </w:r>
      <w:r>
        <w:rPr/>
        <w:t>the</w:t>
      </w:r>
      <w:r>
        <w:rPr>
          <w:spacing w:val="-2"/>
        </w:rPr>
        <w:t> Corporation</w:t>
      </w:r>
    </w:p>
    <w:p>
      <w:pPr>
        <w:pStyle w:val="BodyText"/>
        <w:spacing w:before="275"/>
        <w:ind w:left="852" w:right="1085"/>
        <w:jc w:val="both"/>
      </w:pPr>
      <w:r>
        <w:rPr/>
        <w:t>The Governance, Search &amp; Remuneration Committee is responsible for the selection and appointment of any new governors or co-opted members, on which recommendations are then made to the Corporation.</w:t>
      </w:r>
      <w:r>
        <w:rPr>
          <w:spacing w:val="40"/>
        </w:rPr>
        <w:t> </w:t>
      </w:r>
      <w:r>
        <w:rPr/>
        <w:t>The Corporation is responsible for ensuring that appropriate training is provided</w:t>
      </w:r>
      <w:r>
        <w:rPr>
          <w:spacing w:val="-13"/>
        </w:rPr>
        <w:t> </w:t>
      </w:r>
      <w:r>
        <w:rPr/>
        <w:t>as</w:t>
      </w:r>
      <w:r>
        <w:rPr>
          <w:spacing w:val="-11"/>
        </w:rPr>
        <w:t> </w:t>
      </w:r>
      <w:r>
        <w:rPr/>
        <w:t>required</w:t>
      </w:r>
      <w:r>
        <w:rPr>
          <w:spacing w:val="-13"/>
        </w:rPr>
        <w:t> </w:t>
      </w:r>
      <w:r>
        <w:rPr/>
        <w:t>and</w:t>
      </w:r>
      <w:r>
        <w:rPr>
          <w:spacing w:val="-13"/>
        </w:rPr>
        <w:t> </w:t>
      </w:r>
      <w:r>
        <w:rPr/>
        <w:t>the</w:t>
      </w:r>
      <w:r>
        <w:rPr>
          <w:spacing w:val="-13"/>
        </w:rPr>
        <w:t> </w:t>
      </w:r>
      <w:r>
        <w:rPr/>
        <w:t>Director</w:t>
      </w:r>
      <w:r>
        <w:rPr>
          <w:spacing w:val="-9"/>
        </w:rPr>
        <w:t> </w:t>
      </w:r>
      <w:r>
        <w:rPr/>
        <w:t>of</w:t>
      </w:r>
      <w:r>
        <w:rPr>
          <w:spacing w:val="-13"/>
        </w:rPr>
        <w:t> </w:t>
      </w:r>
      <w:r>
        <w:rPr/>
        <w:t>Governance</w:t>
      </w:r>
      <w:r>
        <w:rPr>
          <w:spacing w:val="-13"/>
        </w:rPr>
        <w:t> </w:t>
      </w:r>
      <w:r>
        <w:rPr/>
        <w:t>and</w:t>
      </w:r>
      <w:r>
        <w:rPr>
          <w:spacing w:val="-13"/>
        </w:rPr>
        <w:t> </w:t>
      </w:r>
      <w:r>
        <w:rPr/>
        <w:t>relevant</w:t>
      </w:r>
      <w:r>
        <w:rPr>
          <w:spacing w:val="-13"/>
        </w:rPr>
        <w:t> </w:t>
      </w:r>
      <w:r>
        <w:rPr/>
        <w:t>senior</w:t>
      </w:r>
      <w:r>
        <w:rPr>
          <w:spacing w:val="-12"/>
        </w:rPr>
        <w:t> </w:t>
      </w:r>
      <w:r>
        <w:rPr/>
        <w:t>staff</w:t>
      </w:r>
      <w:r>
        <w:rPr>
          <w:spacing w:val="-13"/>
        </w:rPr>
        <w:t> </w:t>
      </w:r>
      <w:r>
        <w:rPr/>
        <w:t>deliver</w:t>
      </w:r>
      <w:r>
        <w:rPr>
          <w:spacing w:val="-12"/>
        </w:rPr>
        <w:t> </w:t>
      </w:r>
      <w:r>
        <w:rPr/>
        <w:t>a</w:t>
      </w:r>
      <w:r>
        <w:rPr>
          <w:spacing w:val="-13"/>
        </w:rPr>
        <w:t> </w:t>
      </w:r>
      <w:r>
        <w:rPr/>
        <w:t>full</w:t>
      </w:r>
      <w:r>
        <w:rPr>
          <w:spacing w:val="-11"/>
        </w:rPr>
        <w:t> </w:t>
      </w:r>
      <w:r>
        <w:rPr/>
        <w:t>induction training programme.</w:t>
      </w:r>
    </w:p>
    <w:p>
      <w:pPr>
        <w:pStyle w:val="BodyText"/>
      </w:pPr>
    </w:p>
    <w:p>
      <w:pPr>
        <w:pStyle w:val="BodyText"/>
        <w:spacing w:before="1"/>
        <w:ind w:left="852" w:right="1088"/>
        <w:jc w:val="both"/>
      </w:pPr>
      <w:r>
        <w:rPr/>
        <w:t>Members</w:t>
      </w:r>
      <w:r>
        <w:rPr>
          <w:spacing w:val="-3"/>
        </w:rPr>
        <w:t> </w:t>
      </w:r>
      <w:r>
        <w:rPr/>
        <w:t>of</w:t>
      </w:r>
      <w:r>
        <w:rPr>
          <w:spacing w:val="-4"/>
        </w:rPr>
        <w:t> </w:t>
      </w:r>
      <w:r>
        <w:rPr/>
        <w:t>the</w:t>
      </w:r>
      <w:r>
        <w:rPr>
          <w:spacing w:val="-4"/>
        </w:rPr>
        <w:t> </w:t>
      </w:r>
      <w:r>
        <w:rPr/>
        <w:t>Corporation</w:t>
      </w:r>
      <w:r>
        <w:rPr>
          <w:spacing w:val="-4"/>
        </w:rPr>
        <w:t> </w:t>
      </w:r>
      <w:r>
        <w:rPr/>
        <w:t>are</w:t>
      </w:r>
      <w:r>
        <w:rPr>
          <w:spacing w:val="-4"/>
        </w:rPr>
        <w:t> </w:t>
      </w:r>
      <w:r>
        <w:rPr/>
        <w:t>appointed</w:t>
      </w:r>
      <w:r>
        <w:rPr>
          <w:spacing w:val="-4"/>
        </w:rPr>
        <w:t> </w:t>
      </w:r>
      <w:r>
        <w:rPr/>
        <w:t>for</w:t>
      </w:r>
      <w:r>
        <w:rPr>
          <w:spacing w:val="-3"/>
        </w:rPr>
        <w:t> </w:t>
      </w:r>
      <w:r>
        <w:rPr/>
        <w:t>a</w:t>
      </w:r>
      <w:r>
        <w:rPr>
          <w:spacing w:val="-4"/>
        </w:rPr>
        <w:t> </w:t>
      </w:r>
      <w:r>
        <w:rPr/>
        <w:t>term</w:t>
      </w:r>
      <w:r>
        <w:rPr>
          <w:spacing w:val="-2"/>
        </w:rPr>
        <w:t> </w:t>
      </w:r>
      <w:r>
        <w:rPr/>
        <w:t>of</w:t>
      </w:r>
      <w:r>
        <w:rPr>
          <w:spacing w:val="-4"/>
        </w:rPr>
        <w:t> </w:t>
      </w:r>
      <w:r>
        <w:rPr/>
        <w:t>office</w:t>
      </w:r>
      <w:r>
        <w:rPr>
          <w:spacing w:val="-4"/>
        </w:rPr>
        <w:t> </w:t>
      </w:r>
      <w:r>
        <w:rPr/>
        <w:t>of</w:t>
      </w:r>
      <w:r>
        <w:rPr>
          <w:spacing w:val="-4"/>
        </w:rPr>
        <w:t> </w:t>
      </w:r>
      <w:r>
        <w:rPr/>
        <w:t>3</w:t>
      </w:r>
      <w:r>
        <w:rPr>
          <w:spacing w:val="-4"/>
        </w:rPr>
        <w:t> </w:t>
      </w:r>
      <w:r>
        <w:rPr/>
        <w:t>years</w:t>
      </w:r>
      <w:r>
        <w:rPr>
          <w:spacing w:val="-3"/>
        </w:rPr>
        <w:t> </w:t>
      </w:r>
      <w:r>
        <w:rPr/>
        <w:t>and</w:t>
      </w:r>
      <w:r>
        <w:rPr>
          <w:spacing w:val="-3"/>
        </w:rPr>
        <w:t> </w:t>
      </w:r>
      <w:r>
        <w:rPr/>
        <w:t>are</w:t>
      </w:r>
      <w:r>
        <w:rPr>
          <w:spacing w:val="-2"/>
        </w:rPr>
        <w:t> </w:t>
      </w:r>
      <w:r>
        <w:rPr/>
        <w:t>able</w:t>
      </w:r>
      <w:r>
        <w:rPr>
          <w:spacing w:val="-4"/>
        </w:rPr>
        <w:t> </w:t>
      </w:r>
      <w:r>
        <w:rPr/>
        <w:t>to</w:t>
      </w:r>
      <w:r>
        <w:rPr>
          <w:spacing w:val="-4"/>
        </w:rPr>
        <w:t> </w:t>
      </w:r>
      <w:r>
        <w:rPr/>
        <w:t>undertake three terms. subject to a reappointment process.</w:t>
      </w:r>
      <w:r>
        <w:rPr>
          <w:spacing w:val="40"/>
        </w:rPr>
        <w:t> </w:t>
      </w:r>
      <w:r>
        <w:rPr/>
        <w:t>Any extension beyond this timescale is for a specified</w:t>
      </w:r>
      <w:r>
        <w:rPr>
          <w:spacing w:val="-11"/>
        </w:rPr>
        <w:t> </w:t>
      </w:r>
      <w:r>
        <w:rPr/>
        <w:t>period</w:t>
      </w:r>
      <w:r>
        <w:rPr>
          <w:spacing w:val="-11"/>
        </w:rPr>
        <w:t> </w:t>
      </w:r>
      <w:r>
        <w:rPr/>
        <w:t>or</w:t>
      </w:r>
      <w:r>
        <w:rPr>
          <w:spacing w:val="-10"/>
        </w:rPr>
        <w:t> </w:t>
      </w:r>
      <w:r>
        <w:rPr/>
        <w:t>task,</w:t>
      </w:r>
      <w:r>
        <w:rPr>
          <w:spacing w:val="-11"/>
        </w:rPr>
        <w:t> </w:t>
      </w:r>
      <w:r>
        <w:rPr/>
        <w:t>or</w:t>
      </w:r>
      <w:r>
        <w:rPr>
          <w:spacing w:val="-10"/>
        </w:rPr>
        <w:t> </w:t>
      </w:r>
      <w:r>
        <w:rPr/>
        <w:t>where</w:t>
      </w:r>
      <w:r>
        <w:rPr>
          <w:spacing w:val="-11"/>
        </w:rPr>
        <w:t> </w:t>
      </w:r>
      <w:r>
        <w:rPr/>
        <w:t>the</w:t>
      </w:r>
      <w:r>
        <w:rPr>
          <w:spacing w:val="-11"/>
        </w:rPr>
        <w:t> </w:t>
      </w:r>
      <w:r>
        <w:rPr/>
        <w:t>Corporation</w:t>
      </w:r>
      <w:r>
        <w:rPr>
          <w:spacing w:val="-11"/>
        </w:rPr>
        <w:t> </w:t>
      </w:r>
      <w:r>
        <w:rPr/>
        <w:t>has</w:t>
      </w:r>
      <w:r>
        <w:rPr>
          <w:spacing w:val="-10"/>
        </w:rPr>
        <w:t> </w:t>
      </w:r>
      <w:r>
        <w:rPr/>
        <w:t>been</w:t>
      </w:r>
      <w:r>
        <w:rPr>
          <w:spacing w:val="-11"/>
        </w:rPr>
        <w:t> </w:t>
      </w:r>
      <w:r>
        <w:rPr/>
        <w:t>unable</w:t>
      </w:r>
      <w:r>
        <w:rPr>
          <w:spacing w:val="-11"/>
        </w:rPr>
        <w:t> </w:t>
      </w:r>
      <w:r>
        <w:rPr/>
        <w:t>to</w:t>
      </w:r>
      <w:r>
        <w:rPr>
          <w:spacing w:val="-11"/>
        </w:rPr>
        <w:t> </w:t>
      </w:r>
      <w:r>
        <w:rPr/>
        <w:t>recruit</w:t>
      </w:r>
      <w:r>
        <w:rPr>
          <w:spacing w:val="-11"/>
        </w:rPr>
        <w:t> </w:t>
      </w:r>
      <w:r>
        <w:rPr/>
        <w:t>a</w:t>
      </w:r>
      <w:r>
        <w:rPr>
          <w:spacing w:val="-11"/>
        </w:rPr>
        <w:t> </w:t>
      </w:r>
      <w:r>
        <w:rPr/>
        <w:t>suitable</w:t>
      </w:r>
      <w:r>
        <w:rPr>
          <w:spacing w:val="-11"/>
        </w:rPr>
        <w:t> </w:t>
      </w:r>
      <w:r>
        <w:rPr/>
        <w:t>replacement </w:t>
      </w:r>
      <w:r>
        <w:rPr>
          <w:spacing w:val="-2"/>
        </w:rPr>
        <w:t>skillset.</w:t>
      </w:r>
    </w:p>
    <w:p>
      <w:pPr>
        <w:pStyle w:val="BodyText"/>
        <w:spacing w:before="23"/>
      </w:pPr>
    </w:p>
    <w:p>
      <w:pPr>
        <w:pStyle w:val="Heading3"/>
        <w:spacing w:before="1"/>
      </w:pPr>
      <w:r>
        <w:rPr/>
        <w:t>Corporation</w:t>
      </w:r>
      <w:r>
        <w:rPr>
          <w:spacing w:val="-6"/>
        </w:rPr>
        <w:t> </w:t>
      </w:r>
      <w:r>
        <w:rPr>
          <w:spacing w:val="-2"/>
        </w:rPr>
        <w:t>performance</w:t>
      </w:r>
    </w:p>
    <w:p>
      <w:pPr>
        <w:pStyle w:val="BodyText"/>
        <w:spacing w:before="227"/>
        <w:ind w:left="852" w:right="1088"/>
        <w:jc w:val="both"/>
      </w:pPr>
      <w:r>
        <w:rPr/>
        <w:t>Each of</w:t>
      </w:r>
      <w:r>
        <w:rPr>
          <w:spacing w:val="-2"/>
        </w:rPr>
        <w:t> </w:t>
      </w:r>
      <w:r>
        <w:rPr/>
        <w:t>the committees of</w:t>
      </w:r>
      <w:r>
        <w:rPr>
          <w:spacing w:val="-2"/>
        </w:rPr>
        <w:t> </w:t>
      </w:r>
      <w:r>
        <w:rPr/>
        <w:t>the</w:t>
      </w:r>
      <w:r>
        <w:rPr>
          <w:spacing w:val="-2"/>
        </w:rPr>
        <w:t> </w:t>
      </w:r>
      <w:r>
        <w:rPr/>
        <w:t>Corporation</w:t>
      </w:r>
      <w:r>
        <w:rPr>
          <w:spacing w:val="-2"/>
        </w:rPr>
        <w:t> </w:t>
      </w:r>
      <w:r>
        <w:rPr/>
        <w:t>considers its performance and effectiveness at the</w:t>
      </w:r>
      <w:r>
        <w:rPr>
          <w:spacing w:val="-2"/>
        </w:rPr>
        <w:t> </w:t>
      </w:r>
      <w:r>
        <w:rPr/>
        <w:t>end of</w:t>
      </w:r>
      <w:r>
        <w:rPr>
          <w:spacing w:val="-4"/>
        </w:rPr>
        <w:t> </w:t>
      </w:r>
      <w:r>
        <w:rPr/>
        <w:t>each</w:t>
      </w:r>
      <w:r>
        <w:rPr>
          <w:spacing w:val="-2"/>
        </w:rPr>
        <w:t> </w:t>
      </w:r>
      <w:r>
        <w:rPr/>
        <w:t>academic</w:t>
      </w:r>
      <w:r>
        <w:rPr>
          <w:spacing w:val="-3"/>
        </w:rPr>
        <w:t> </w:t>
      </w:r>
      <w:r>
        <w:rPr/>
        <w:t>year.</w:t>
      </w:r>
      <w:r>
        <w:rPr>
          <w:spacing w:val="40"/>
        </w:rPr>
        <w:t> </w:t>
      </w:r>
      <w:r>
        <w:rPr/>
        <w:t>As previously</w:t>
      </w:r>
      <w:r>
        <w:rPr>
          <w:spacing w:val="-3"/>
        </w:rPr>
        <w:t> </w:t>
      </w:r>
      <w:r>
        <w:rPr/>
        <w:t>stated,</w:t>
      </w:r>
      <w:r>
        <w:rPr>
          <w:spacing w:val="-4"/>
        </w:rPr>
        <w:t> </w:t>
      </w:r>
      <w:r>
        <w:rPr/>
        <w:t>the</w:t>
      </w:r>
      <w:r>
        <w:rPr>
          <w:spacing w:val="-4"/>
        </w:rPr>
        <w:t> </w:t>
      </w:r>
      <w:r>
        <w:rPr/>
        <w:t>Corporation</w:t>
      </w:r>
      <w:r>
        <w:rPr>
          <w:spacing w:val="-4"/>
        </w:rPr>
        <w:t> </w:t>
      </w:r>
      <w:r>
        <w:rPr/>
        <w:t>undertook</w:t>
      </w:r>
      <w:r>
        <w:rPr>
          <w:spacing w:val="-3"/>
        </w:rPr>
        <w:t> </w:t>
      </w:r>
      <w:r>
        <w:rPr/>
        <w:t>an</w:t>
      </w:r>
      <w:r>
        <w:rPr>
          <w:spacing w:val="-2"/>
        </w:rPr>
        <w:t> </w:t>
      </w:r>
      <w:r>
        <w:rPr/>
        <w:t>independent</w:t>
      </w:r>
      <w:r>
        <w:rPr>
          <w:spacing w:val="-4"/>
        </w:rPr>
        <w:t> </w:t>
      </w:r>
      <w:r>
        <w:rPr/>
        <w:t>review</w:t>
      </w:r>
      <w:r>
        <w:rPr>
          <w:spacing w:val="-4"/>
        </w:rPr>
        <w:t> </w:t>
      </w:r>
      <w:r>
        <w:rPr/>
        <w:t>of Governance</w:t>
      </w:r>
      <w:r>
        <w:rPr>
          <w:spacing w:val="-5"/>
        </w:rPr>
        <w:t> </w:t>
      </w:r>
      <w:r>
        <w:rPr/>
        <w:t>as</w:t>
      </w:r>
      <w:r>
        <w:rPr>
          <w:spacing w:val="-4"/>
        </w:rPr>
        <w:t> </w:t>
      </w:r>
      <w:r>
        <w:rPr/>
        <w:t>against</w:t>
      </w:r>
      <w:r>
        <w:rPr>
          <w:spacing w:val="-5"/>
        </w:rPr>
        <w:t> </w:t>
      </w:r>
      <w:r>
        <w:rPr/>
        <w:t>the</w:t>
      </w:r>
      <w:r>
        <w:rPr>
          <w:spacing w:val="-3"/>
        </w:rPr>
        <w:t> </w:t>
      </w:r>
      <w:r>
        <w:rPr/>
        <w:t>Code</w:t>
      </w:r>
      <w:r>
        <w:rPr>
          <w:spacing w:val="-5"/>
        </w:rPr>
        <w:t> </w:t>
      </w:r>
      <w:r>
        <w:rPr/>
        <w:t>of</w:t>
      </w:r>
      <w:r>
        <w:rPr>
          <w:spacing w:val="-5"/>
        </w:rPr>
        <w:t> </w:t>
      </w:r>
      <w:r>
        <w:rPr/>
        <w:t>Good</w:t>
      </w:r>
      <w:r>
        <w:rPr>
          <w:spacing w:val="-5"/>
        </w:rPr>
        <w:t> </w:t>
      </w:r>
      <w:r>
        <w:rPr/>
        <w:t>Governance</w:t>
      </w:r>
      <w:r>
        <w:rPr>
          <w:spacing w:val="-3"/>
        </w:rPr>
        <w:t> </w:t>
      </w:r>
      <w:r>
        <w:rPr/>
        <w:t>for</w:t>
      </w:r>
      <w:r>
        <w:rPr>
          <w:spacing w:val="-4"/>
        </w:rPr>
        <w:t> </w:t>
      </w:r>
      <w:r>
        <w:rPr/>
        <w:t>English</w:t>
      </w:r>
      <w:r>
        <w:rPr>
          <w:spacing w:val="-5"/>
        </w:rPr>
        <w:t> </w:t>
      </w:r>
      <w:r>
        <w:rPr/>
        <w:t>Colleges.</w:t>
      </w:r>
      <w:r>
        <w:rPr>
          <w:spacing w:val="40"/>
        </w:rPr>
        <w:t> </w:t>
      </w:r>
      <w:r>
        <w:rPr/>
        <w:t>All</w:t>
      </w:r>
      <w:r>
        <w:rPr>
          <w:spacing w:val="-6"/>
        </w:rPr>
        <w:t> </w:t>
      </w:r>
      <w:r>
        <w:rPr/>
        <w:t>recommendations of this review have been considered by the Corporation and/or implemented.</w:t>
      </w:r>
    </w:p>
    <w:p>
      <w:pPr>
        <w:pStyle w:val="BodyText"/>
      </w:pPr>
    </w:p>
    <w:p>
      <w:pPr>
        <w:pStyle w:val="BodyText"/>
        <w:ind w:left="852" w:right="1087"/>
        <w:jc w:val="both"/>
      </w:pPr>
      <w:r>
        <w:rPr>
          <w:spacing w:val="-2"/>
        </w:rPr>
        <w:t>The</w:t>
      </w:r>
      <w:r>
        <w:rPr>
          <w:spacing w:val="-7"/>
        </w:rPr>
        <w:t> </w:t>
      </w:r>
      <w:r>
        <w:rPr>
          <w:spacing w:val="-2"/>
        </w:rPr>
        <w:t>Corporation</w:t>
      </w:r>
      <w:r>
        <w:rPr>
          <w:spacing w:val="-7"/>
        </w:rPr>
        <w:t> </w:t>
      </w:r>
      <w:r>
        <w:rPr>
          <w:spacing w:val="-2"/>
        </w:rPr>
        <w:t>considered,</w:t>
      </w:r>
      <w:r>
        <w:rPr>
          <w:spacing w:val="-6"/>
        </w:rPr>
        <w:t> </w:t>
      </w:r>
      <w:r>
        <w:rPr>
          <w:spacing w:val="-2"/>
        </w:rPr>
        <w:t>at</w:t>
      </w:r>
      <w:r>
        <w:rPr>
          <w:spacing w:val="-3"/>
        </w:rPr>
        <w:t> </w:t>
      </w:r>
      <w:r>
        <w:rPr>
          <w:spacing w:val="-2"/>
        </w:rPr>
        <w:t>its meeting</w:t>
      </w:r>
      <w:r>
        <w:rPr>
          <w:spacing w:val="-3"/>
        </w:rPr>
        <w:t> </w:t>
      </w:r>
      <w:r>
        <w:rPr>
          <w:spacing w:val="-2"/>
        </w:rPr>
        <w:t>held</w:t>
      </w:r>
      <w:r>
        <w:rPr>
          <w:spacing w:val="-3"/>
        </w:rPr>
        <w:t> </w:t>
      </w:r>
      <w:r>
        <w:rPr>
          <w:spacing w:val="-2"/>
        </w:rPr>
        <w:t>March</w:t>
      </w:r>
      <w:r>
        <w:rPr>
          <w:spacing w:val="-3"/>
        </w:rPr>
        <w:t> </w:t>
      </w:r>
      <w:r>
        <w:rPr>
          <w:spacing w:val="-2"/>
        </w:rPr>
        <w:t>2023,</w:t>
      </w:r>
      <w:r>
        <w:rPr>
          <w:spacing w:val="-3"/>
        </w:rPr>
        <w:t> </w:t>
      </w:r>
      <w:r>
        <w:rPr>
          <w:spacing w:val="-2"/>
        </w:rPr>
        <w:t>the</w:t>
      </w:r>
      <w:r>
        <w:rPr>
          <w:spacing w:val="-7"/>
        </w:rPr>
        <w:t> </w:t>
      </w:r>
      <w:r>
        <w:rPr>
          <w:spacing w:val="-2"/>
        </w:rPr>
        <w:t>requirement</w:t>
      </w:r>
      <w:r>
        <w:rPr>
          <w:spacing w:val="-6"/>
        </w:rPr>
        <w:t> </w:t>
      </w:r>
      <w:r>
        <w:rPr>
          <w:spacing w:val="-2"/>
        </w:rPr>
        <w:t>for</w:t>
      </w:r>
      <w:r>
        <w:rPr>
          <w:spacing w:val="-4"/>
        </w:rPr>
        <w:t> </w:t>
      </w:r>
      <w:r>
        <w:rPr>
          <w:spacing w:val="-2"/>
        </w:rPr>
        <w:t>a</w:t>
      </w:r>
      <w:r>
        <w:rPr>
          <w:spacing w:val="-3"/>
        </w:rPr>
        <w:t> </w:t>
      </w:r>
      <w:r>
        <w:rPr>
          <w:spacing w:val="-2"/>
        </w:rPr>
        <w:t>triannual</w:t>
      </w:r>
      <w:r>
        <w:rPr>
          <w:spacing w:val="-4"/>
        </w:rPr>
        <w:t> </w:t>
      </w:r>
      <w:r>
        <w:rPr>
          <w:spacing w:val="-2"/>
        </w:rPr>
        <w:t>external </w:t>
      </w:r>
      <w:r>
        <w:rPr/>
        <w:t>board review. The Corporation concluded that an external board review will be commissioned for the spring term 2023-24, with a final report presented in May 2024. The AoC were appointed to conduct the review following a robust process in line with the College's financial regulations.</w:t>
      </w:r>
    </w:p>
    <w:p>
      <w:pPr>
        <w:pStyle w:val="BodyText"/>
        <w:spacing w:before="2"/>
      </w:pPr>
    </w:p>
    <w:p>
      <w:pPr>
        <w:pStyle w:val="Heading3"/>
      </w:pPr>
      <w:bookmarkStart w:name="Governance, Search &amp; Remuneration Commit" w:id="5"/>
      <w:bookmarkEnd w:id="5"/>
      <w:r>
        <w:rPr>
          <w:b w:val="0"/>
        </w:rPr>
      </w:r>
      <w:r>
        <w:rPr/>
        <w:t>Governance,</w:t>
      </w:r>
      <w:r>
        <w:rPr>
          <w:spacing w:val="-5"/>
        </w:rPr>
        <w:t> </w:t>
      </w:r>
      <w:r>
        <w:rPr/>
        <w:t>Search</w:t>
      </w:r>
      <w:r>
        <w:rPr>
          <w:spacing w:val="-5"/>
        </w:rPr>
        <w:t> </w:t>
      </w:r>
      <w:r>
        <w:rPr/>
        <w:t>&amp;</w:t>
      </w:r>
      <w:r>
        <w:rPr>
          <w:spacing w:val="-2"/>
        </w:rPr>
        <w:t> </w:t>
      </w:r>
      <w:r>
        <w:rPr/>
        <w:t>Remuneration</w:t>
      </w:r>
      <w:r>
        <w:rPr>
          <w:spacing w:val="-2"/>
        </w:rPr>
        <w:t> Committee</w:t>
      </w:r>
    </w:p>
    <w:p>
      <w:pPr>
        <w:pStyle w:val="BodyText"/>
        <w:spacing w:before="228"/>
        <w:ind w:left="852" w:right="1088"/>
        <w:jc w:val="both"/>
      </w:pPr>
      <w:r>
        <w:rPr/>
        <w:t>During the year ending 31 July 2023, the Governance, Search &amp; Remuneration Committee consisted of five external governors. The Committee’s remuneration responsibilities are to make recommendations to the Corporation on the remuneration and benefits of the Accounting Officer, Director of Governance and other senior postholders.</w:t>
      </w:r>
      <w:r>
        <w:rPr>
          <w:spacing w:val="40"/>
        </w:rPr>
        <w:t> </w:t>
      </w:r>
      <w:r>
        <w:rPr/>
        <w:t>Details of staff remuneration for the year ended 31 July 2023 are set out in note 7 to the financial statements.</w:t>
      </w:r>
    </w:p>
    <w:p>
      <w:pPr>
        <w:pStyle w:val="BodyText"/>
      </w:pPr>
    </w:p>
    <w:p>
      <w:pPr>
        <w:pStyle w:val="BodyText"/>
        <w:ind w:left="852" w:right="1087"/>
        <w:jc w:val="both"/>
      </w:pPr>
      <w:r>
        <w:rPr/>
        <w:t>Through the appropriate Senior Post Holder policies the Corporation has applied the principles of both the AoC’s Senior Staff Remuneration Code and the Higher Education Senior Staff Remuneration Code.</w:t>
      </w:r>
    </w:p>
    <w:p>
      <w:pPr>
        <w:pStyle w:val="BodyText"/>
        <w:spacing w:before="2"/>
      </w:pPr>
    </w:p>
    <w:p>
      <w:pPr>
        <w:pStyle w:val="Heading3"/>
      </w:pPr>
      <w:r>
        <w:rPr/>
        <w:t>Finance</w:t>
      </w:r>
      <w:r>
        <w:rPr>
          <w:spacing w:val="-3"/>
        </w:rPr>
        <w:t> </w:t>
      </w:r>
      <w:r>
        <w:rPr/>
        <w:t>&amp;</w:t>
      </w:r>
      <w:r>
        <w:rPr>
          <w:spacing w:val="-3"/>
        </w:rPr>
        <w:t> </w:t>
      </w:r>
      <w:r>
        <w:rPr/>
        <w:t>Resources</w:t>
      </w:r>
      <w:r>
        <w:rPr>
          <w:spacing w:val="-4"/>
        </w:rPr>
        <w:t> </w:t>
      </w:r>
      <w:r>
        <w:rPr>
          <w:spacing w:val="-2"/>
        </w:rPr>
        <w:t>Committee</w:t>
      </w:r>
    </w:p>
    <w:p>
      <w:pPr>
        <w:pStyle w:val="BodyText"/>
        <w:spacing w:before="275"/>
        <w:ind w:left="852" w:right="1084"/>
        <w:jc w:val="both"/>
      </w:pPr>
      <w:r>
        <w:rPr/>
        <w:t>During the year ending 31 July 2023, the Finance &amp; Resources Committee consisted of six governors. The Committee’s responsibilities are to advise the Corporation on the financial health, performance and solvency of the College, the health, safety and welfare of staff, the financial implications of any new initiatives and ventures and proposed capital expenditure for the College and to monitor the implementation of the College’s Estates Strategy.</w:t>
      </w:r>
    </w:p>
    <w:p>
      <w:pPr>
        <w:pStyle w:val="BodyText"/>
        <w:spacing w:after="0"/>
        <w:jc w:val="both"/>
        <w:sectPr>
          <w:pgSz w:w="11910" w:h="16850"/>
          <w:pgMar w:header="727" w:footer="702" w:top="1520" w:bottom="90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rPr>
          <w:b/>
          <w:sz w:val="24"/>
        </w:rPr>
      </w:pPr>
    </w:p>
    <w:p>
      <w:pPr>
        <w:spacing w:before="0"/>
        <w:ind w:left="852" w:right="0" w:firstLine="0"/>
        <w:jc w:val="both"/>
        <w:rPr>
          <w:b/>
          <w:sz w:val="24"/>
        </w:rPr>
      </w:pPr>
      <w:r>
        <w:rPr>
          <w:b/>
          <w:sz w:val="24"/>
        </w:rPr>
        <w:t>Audit</w:t>
      </w:r>
      <w:r>
        <w:rPr>
          <w:b/>
          <w:spacing w:val="-4"/>
          <w:sz w:val="24"/>
        </w:rPr>
        <w:t> </w:t>
      </w:r>
      <w:r>
        <w:rPr>
          <w:b/>
          <w:spacing w:val="-2"/>
          <w:sz w:val="24"/>
        </w:rPr>
        <w:t>Committee</w:t>
      </w:r>
    </w:p>
    <w:p>
      <w:pPr>
        <w:pStyle w:val="BodyText"/>
        <w:spacing w:before="230"/>
        <w:ind w:left="852" w:right="1086"/>
        <w:jc w:val="both"/>
      </w:pPr>
      <w:r>
        <w:rPr/>
        <w:t>The Audit Committee meets at least once per term and provides a forum for reporting by the College’s internal, regularity and financial statements auditors, who also have access to the committee for independent discussion, without the presence of College management.</w:t>
      </w:r>
      <w:r>
        <w:rPr>
          <w:spacing w:val="40"/>
        </w:rPr>
        <w:t> </w:t>
      </w:r>
      <w:r>
        <w:rPr/>
        <w:t>It also receives and considers reports from the main FE funding body, as they affect the College’s business. The Audit Committee takes an active role to ensure that adequate risk management processes</w:t>
      </w:r>
      <w:r>
        <w:rPr>
          <w:spacing w:val="-10"/>
        </w:rPr>
        <w:t> </w:t>
      </w:r>
      <w:r>
        <w:rPr/>
        <w:t>are</w:t>
      </w:r>
      <w:r>
        <w:rPr>
          <w:spacing w:val="-11"/>
        </w:rPr>
        <w:t> </w:t>
      </w:r>
      <w:r>
        <w:rPr/>
        <w:t>in</w:t>
      </w:r>
      <w:r>
        <w:rPr>
          <w:spacing w:val="-11"/>
        </w:rPr>
        <w:t> </w:t>
      </w:r>
      <w:r>
        <w:rPr/>
        <w:t>place</w:t>
      </w:r>
      <w:r>
        <w:rPr>
          <w:spacing w:val="-11"/>
        </w:rPr>
        <w:t> </w:t>
      </w:r>
      <w:r>
        <w:rPr/>
        <w:t>within</w:t>
      </w:r>
      <w:r>
        <w:rPr>
          <w:spacing w:val="-11"/>
        </w:rPr>
        <w:t> </w:t>
      </w:r>
      <w:r>
        <w:rPr/>
        <w:t>the</w:t>
      </w:r>
      <w:r>
        <w:rPr>
          <w:spacing w:val="-11"/>
        </w:rPr>
        <w:t> </w:t>
      </w:r>
      <w:r>
        <w:rPr/>
        <w:t>College,</w:t>
      </w:r>
      <w:r>
        <w:rPr>
          <w:spacing w:val="-11"/>
        </w:rPr>
        <w:t> </w:t>
      </w:r>
      <w:r>
        <w:rPr/>
        <w:t>receiving</w:t>
      </w:r>
      <w:r>
        <w:rPr>
          <w:spacing w:val="-11"/>
        </w:rPr>
        <w:t> </w:t>
      </w:r>
      <w:r>
        <w:rPr/>
        <w:t>regular</w:t>
      </w:r>
      <w:r>
        <w:rPr>
          <w:spacing w:val="-10"/>
        </w:rPr>
        <w:t> </w:t>
      </w:r>
      <w:r>
        <w:rPr/>
        <w:t>reports</w:t>
      </w:r>
      <w:r>
        <w:rPr>
          <w:spacing w:val="-10"/>
        </w:rPr>
        <w:t> </w:t>
      </w:r>
      <w:r>
        <w:rPr/>
        <w:t>on</w:t>
      </w:r>
      <w:r>
        <w:rPr>
          <w:spacing w:val="-11"/>
        </w:rPr>
        <w:t> </w:t>
      </w:r>
      <w:r>
        <w:rPr/>
        <w:t>the</w:t>
      </w:r>
      <w:r>
        <w:rPr>
          <w:spacing w:val="-11"/>
        </w:rPr>
        <w:t> </w:t>
      </w:r>
      <w:r>
        <w:rPr/>
        <w:t>risk</w:t>
      </w:r>
      <w:r>
        <w:rPr>
          <w:spacing w:val="-10"/>
        </w:rPr>
        <w:t> </w:t>
      </w:r>
      <w:r>
        <w:rPr/>
        <w:t>register</w:t>
      </w:r>
      <w:r>
        <w:rPr>
          <w:spacing w:val="-10"/>
        </w:rPr>
        <w:t> </w:t>
      </w:r>
      <w:r>
        <w:rPr/>
        <w:t>and</w:t>
      </w:r>
      <w:r>
        <w:rPr>
          <w:spacing w:val="-11"/>
        </w:rPr>
        <w:t> </w:t>
      </w:r>
      <w:r>
        <w:rPr/>
        <w:t>monitors progress on the mitigation of those risks.</w:t>
      </w:r>
    </w:p>
    <w:p>
      <w:pPr>
        <w:pStyle w:val="BodyText"/>
        <w:spacing w:before="1"/>
      </w:pPr>
    </w:p>
    <w:p>
      <w:pPr>
        <w:pStyle w:val="BodyText"/>
        <w:ind w:left="852" w:right="1087"/>
        <w:jc w:val="both"/>
      </w:pPr>
      <w:r>
        <w:rPr/>
        <w:t>The College’s internal auditors review the systems of internal control, risk management controls and governance processes in accordance with an agreed plan of input and report their findings to management</w:t>
      </w:r>
      <w:r>
        <w:rPr>
          <w:spacing w:val="-14"/>
        </w:rPr>
        <w:t> </w:t>
      </w:r>
      <w:r>
        <w:rPr/>
        <w:t>and</w:t>
      </w:r>
      <w:r>
        <w:rPr>
          <w:spacing w:val="-14"/>
        </w:rPr>
        <w:t> </w:t>
      </w:r>
      <w:r>
        <w:rPr/>
        <w:t>the</w:t>
      </w:r>
      <w:r>
        <w:rPr>
          <w:spacing w:val="-14"/>
        </w:rPr>
        <w:t> </w:t>
      </w:r>
      <w:r>
        <w:rPr/>
        <w:t>Audit</w:t>
      </w:r>
      <w:r>
        <w:rPr>
          <w:spacing w:val="-14"/>
        </w:rPr>
        <w:t> </w:t>
      </w:r>
      <w:r>
        <w:rPr/>
        <w:t>Committee.</w:t>
      </w:r>
      <w:r>
        <w:rPr>
          <w:spacing w:val="24"/>
        </w:rPr>
        <w:t> </w:t>
      </w:r>
      <w:r>
        <w:rPr/>
        <w:t>Management</w:t>
      </w:r>
      <w:r>
        <w:rPr>
          <w:spacing w:val="-14"/>
        </w:rPr>
        <w:t> </w:t>
      </w:r>
      <w:r>
        <w:rPr/>
        <w:t>is</w:t>
      </w:r>
      <w:r>
        <w:rPr>
          <w:spacing w:val="-14"/>
        </w:rPr>
        <w:t> </w:t>
      </w:r>
      <w:r>
        <w:rPr/>
        <w:t>responsible</w:t>
      </w:r>
      <w:r>
        <w:rPr>
          <w:spacing w:val="-13"/>
        </w:rPr>
        <w:t> </w:t>
      </w:r>
      <w:r>
        <w:rPr/>
        <w:t>for</w:t>
      </w:r>
      <w:r>
        <w:rPr>
          <w:spacing w:val="-13"/>
        </w:rPr>
        <w:t> </w:t>
      </w:r>
      <w:r>
        <w:rPr/>
        <w:t>the</w:t>
      </w:r>
      <w:r>
        <w:rPr>
          <w:spacing w:val="-14"/>
        </w:rPr>
        <w:t> </w:t>
      </w:r>
      <w:r>
        <w:rPr/>
        <w:t>implementation</w:t>
      </w:r>
      <w:r>
        <w:rPr>
          <w:spacing w:val="-14"/>
        </w:rPr>
        <w:t> </w:t>
      </w:r>
      <w:r>
        <w:rPr/>
        <w:t>of</w:t>
      </w:r>
      <w:r>
        <w:rPr>
          <w:spacing w:val="-14"/>
        </w:rPr>
        <w:t> </w:t>
      </w:r>
      <w:r>
        <w:rPr/>
        <w:t>these recommendations, and internal audit undertakes periodic follow-up reviews to ensure such recommendations have been implemented.</w:t>
      </w:r>
    </w:p>
    <w:p>
      <w:pPr>
        <w:pStyle w:val="BodyText"/>
        <w:spacing w:before="229"/>
        <w:ind w:left="852" w:right="1088"/>
        <w:jc w:val="both"/>
      </w:pPr>
      <w:r>
        <w:rPr>
          <w:spacing w:val="-2"/>
        </w:rPr>
        <w:t>The</w:t>
      </w:r>
      <w:r>
        <w:rPr>
          <w:spacing w:val="-3"/>
        </w:rPr>
        <w:t> </w:t>
      </w:r>
      <w:r>
        <w:rPr>
          <w:spacing w:val="-2"/>
        </w:rPr>
        <w:t>Audit</w:t>
      </w:r>
      <w:r>
        <w:rPr>
          <w:spacing w:val="-3"/>
        </w:rPr>
        <w:t> </w:t>
      </w:r>
      <w:r>
        <w:rPr>
          <w:spacing w:val="-2"/>
        </w:rPr>
        <w:t>Committee</w:t>
      </w:r>
      <w:r>
        <w:rPr>
          <w:spacing w:val="-3"/>
        </w:rPr>
        <w:t> </w:t>
      </w:r>
      <w:r>
        <w:rPr>
          <w:spacing w:val="-2"/>
        </w:rPr>
        <w:t>also</w:t>
      </w:r>
      <w:r>
        <w:rPr>
          <w:spacing w:val="-6"/>
        </w:rPr>
        <w:t> </w:t>
      </w:r>
      <w:r>
        <w:rPr>
          <w:spacing w:val="-2"/>
        </w:rPr>
        <w:t>advises</w:t>
      </w:r>
      <w:r>
        <w:rPr>
          <w:spacing w:val="-4"/>
        </w:rPr>
        <w:t> </w:t>
      </w:r>
      <w:r>
        <w:rPr>
          <w:spacing w:val="-2"/>
        </w:rPr>
        <w:t>the</w:t>
      </w:r>
      <w:r>
        <w:rPr>
          <w:spacing w:val="-3"/>
        </w:rPr>
        <w:t> </w:t>
      </w:r>
      <w:r>
        <w:rPr>
          <w:spacing w:val="-2"/>
        </w:rPr>
        <w:t>Corporation</w:t>
      </w:r>
      <w:r>
        <w:rPr>
          <w:spacing w:val="-3"/>
        </w:rPr>
        <w:t> </w:t>
      </w:r>
      <w:r>
        <w:rPr>
          <w:spacing w:val="-2"/>
        </w:rPr>
        <w:t>on</w:t>
      </w:r>
      <w:r>
        <w:rPr>
          <w:spacing w:val="-3"/>
        </w:rPr>
        <w:t> </w:t>
      </w:r>
      <w:r>
        <w:rPr>
          <w:spacing w:val="-2"/>
        </w:rPr>
        <w:t>the</w:t>
      </w:r>
      <w:r>
        <w:rPr>
          <w:spacing w:val="-6"/>
        </w:rPr>
        <w:t> </w:t>
      </w:r>
      <w:r>
        <w:rPr>
          <w:spacing w:val="-2"/>
        </w:rPr>
        <w:t>appointment</w:t>
      </w:r>
      <w:r>
        <w:rPr>
          <w:spacing w:val="-3"/>
        </w:rPr>
        <w:t> </w:t>
      </w:r>
      <w:r>
        <w:rPr>
          <w:spacing w:val="-2"/>
        </w:rPr>
        <w:t>of</w:t>
      </w:r>
      <w:r>
        <w:rPr>
          <w:spacing w:val="-3"/>
        </w:rPr>
        <w:t> </w:t>
      </w:r>
      <w:r>
        <w:rPr>
          <w:spacing w:val="-2"/>
        </w:rPr>
        <w:t>internal</w:t>
      </w:r>
      <w:r>
        <w:rPr>
          <w:spacing w:val="-4"/>
        </w:rPr>
        <w:t> </w:t>
      </w:r>
      <w:r>
        <w:rPr>
          <w:spacing w:val="-2"/>
        </w:rPr>
        <w:t>auditors,</w:t>
      </w:r>
      <w:r>
        <w:rPr>
          <w:spacing w:val="-5"/>
        </w:rPr>
        <w:t> </w:t>
      </w:r>
      <w:r>
        <w:rPr>
          <w:spacing w:val="-2"/>
        </w:rPr>
        <w:t>regularity </w:t>
      </w:r>
      <w:r>
        <w:rPr/>
        <w:t>reporting accountants and financial statements auditors and their remuneration for both audit and non-audit work as well as reporting annually to the Corporation.</w:t>
      </w:r>
    </w:p>
    <w:p>
      <w:pPr>
        <w:pStyle w:val="BodyText"/>
        <w:spacing w:before="1"/>
      </w:pPr>
    </w:p>
    <w:p>
      <w:pPr>
        <w:pStyle w:val="BodyText"/>
        <w:spacing w:before="1"/>
        <w:ind w:left="852" w:right="1084"/>
        <w:jc w:val="both"/>
      </w:pPr>
      <w:r>
        <w:rPr/>
        <w:t>In the financial year ended 31</w:t>
      </w:r>
      <w:r>
        <w:rPr>
          <w:position w:val="6"/>
          <w:sz w:val="13"/>
        </w:rPr>
        <w:t>st</w:t>
      </w:r>
      <w:r>
        <w:rPr>
          <w:spacing w:val="40"/>
          <w:position w:val="6"/>
          <w:sz w:val="13"/>
        </w:rPr>
        <w:t> </w:t>
      </w:r>
      <w:r>
        <w:rPr/>
        <w:t>July 2023, the Audit Committee completed a tender process to appoint</w:t>
      </w:r>
      <w:r>
        <w:rPr>
          <w:spacing w:val="-3"/>
        </w:rPr>
        <w:t> </w:t>
      </w:r>
      <w:r>
        <w:rPr/>
        <w:t>an</w:t>
      </w:r>
      <w:r>
        <w:rPr>
          <w:spacing w:val="-3"/>
        </w:rPr>
        <w:t> </w:t>
      </w:r>
      <w:r>
        <w:rPr/>
        <w:t>internal</w:t>
      </w:r>
      <w:r>
        <w:rPr>
          <w:spacing w:val="-4"/>
        </w:rPr>
        <w:t> </w:t>
      </w:r>
      <w:r>
        <w:rPr/>
        <w:t>audit</w:t>
      </w:r>
      <w:r>
        <w:rPr>
          <w:spacing w:val="-3"/>
        </w:rPr>
        <w:t> </w:t>
      </w:r>
      <w:r>
        <w:rPr/>
        <w:t>firm</w:t>
      </w:r>
      <w:r>
        <w:rPr>
          <w:spacing w:val="-6"/>
        </w:rPr>
        <w:t> </w:t>
      </w:r>
      <w:r>
        <w:rPr/>
        <w:t>from</w:t>
      </w:r>
      <w:r>
        <w:rPr>
          <w:spacing w:val="-3"/>
        </w:rPr>
        <w:t> </w:t>
      </w:r>
      <w:r>
        <w:rPr/>
        <w:t>1</w:t>
      </w:r>
      <w:r>
        <w:rPr>
          <w:position w:val="6"/>
          <w:sz w:val="13"/>
        </w:rPr>
        <w:t>st</w:t>
      </w:r>
      <w:r>
        <w:rPr>
          <w:spacing w:val="16"/>
          <w:position w:val="6"/>
          <w:sz w:val="13"/>
        </w:rPr>
        <w:t> </w:t>
      </w:r>
      <w:r>
        <w:rPr/>
        <w:t>August</w:t>
      </w:r>
      <w:r>
        <w:rPr>
          <w:spacing w:val="-3"/>
        </w:rPr>
        <w:t> </w:t>
      </w:r>
      <w:r>
        <w:rPr/>
        <w:t>2023</w:t>
      </w:r>
      <w:r>
        <w:rPr>
          <w:spacing w:val="-6"/>
        </w:rPr>
        <w:t> </w:t>
      </w:r>
      <w:r>
        <w:rPr/>
        <w:t>following</w:t>
      </w:r>
      <w:r>
        <w:rPr>
          <w:spacing w:val="-6"/>
        </w:rPr>
        <w:t> </w:t>
      </w:r>
      <w:r>
        <w:rPr/>
        <w:t>the</w:t>
      </w:r>
      <w:r>
        <w:rPr>
          <w:spacing w:val="-3"/>
        </w:rPr>
        <w:t> </w:t>
      </w:r>
      <w:r>
        <w:rPr/>
        <w:t>end</w:t>
      </w:r>
      <w:r>
        <w:rPr>
          <w:spacing w:val="-3"/>
        </w:rPr>
        <w:t> </w:t>
      </w:r>
      <w:r>
        <w:rPr/>
        <w:t>of</w:t>
      </w:r>
      <w:r>
        <w:rPr>
          <w:spacing w:val="-3"/>
        </w:rPr>
        <w:t> </w:t>
      </w:r>
      <w:r>
        <w:rPr/>
        <w:t>the</w:t>
      </w:r>
      <w:r>
        <w:rPr>
          <w:spacing w:val="-3"/>
        </w:rPr>
        <w:t> </w:t>
      </w:r>
      <w:r>
        <w:rPr/>
        <w:t>term</w:t>
      </w:r>
      <w:r>
        <w:rPr>
          <w:spacing w:val="-6"/>
        </w:rPr>
        <w:t> </w:t>
      </w:r>
      <w:r>
        <w:rPr/>
        <w:t>of</w:t>
      </w:r>
      <w:r>
        <w:rPr>
          <w:spacing w:val="-5"/>
        </w:rPr>
        <w:t> </w:t>
      </w:r>
      <w:r>
        <w:rPr/>
        <w:t>office</w:t>
      </w:r>
      <w:r>
        <w:rPr>
          <w:spacing w:val="-3"/>
        </w:rPr>
        <w:t> </w:t>
      </w:r>
      <w:r>
        <w:rPr/>
        <w:t>from</w:t>
      </w:r>
      <w:r>
        <w:rPr>
          <w:spacing w:val="-3"/>
        </w:rPr>
        <w:t> </w:t>
      </w:r>
      <w:r>
        <w:rPr/>
        <w:t>Audit One. The Internal Auditors TIAA Ltd were appointed from 1</w:t>
      </w:r>
      <w:r>
        <w:rPr>
          <w:position w:val="6"/>
          <w:sz w:val="13"/>
        </w:rPr>
        <w:t>st</w:t>
      </w:r>
      <w:r>
        <w:rPr>
          <w:spacing w:val="32"/>
          <w:position w:val="6"/>
          <w:sz w:val="13"/>
        </w:rPr>
        <w:t> </w:t>
      </w:r>
      <w:r>
        <w:rPr/>
        <w:t>August 2023.</w:t>
      </w:r>
    </w:p>
    <w:p>
      <w:pPr>
        <w:pStyle w:val="BodyText"/>
        <w:spacing w:before="228"/>
        <w:ind w:left="852" w:right="1089"/>
        <w:jc w:val="both"/>
      </w:pPr>
      <w:r>
        <w:rPr/>
        <w:t>The Audit Committee received training through attendance at the AoC Workshops via regular relevant sector updates from the Internal Audit Service, and the Financial Statements Auditor.</w:t>
      </w:r>
    </w:p>
    <w:p>
      <w:pPr>
        <w:pStyle w:val="BodyText"/>
        <w:spacing w:before="1"/>
      </w:pPr>
    </w:p>
    <w:p>
      <w:pPr>
        <w:pStyle w:val="BodyText"/>
        <w:ind w:left="852" w:right="1088"/>
        <w:jc w:val="both"/>
      </w:pPr>
      <w:r>
        <w:rPr/>
        <w:t>The Audit Committee met 5 times the year to 31 July 2023. The members of the committee and their attendance records are shown below:</w:t>
      </w:r>
    </w:p>
    <w:p>
      <w:pPr>
        <w:pStyle w:val="BodyText"/>
        <w:spacing w:before="10"/>
        <w:rPr>
          <w:sz w:val="19"/>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6"/>
        <w:gridCol w:w="1447"/>
      </w:tblGrid>
      <w:tr>
        <w:trPr>
          <w:trHeight w:val="208" w:hRule="atLeast"/>
        </w:trPr>
        <w:tc>
          <w:tcPr>
            <w:tcW w:w="7236" w:type="dxa"/>
          </w:tcPr>
          <w:p>
            <w:pPr>
              <w:pStyle w:val="TableParagraph"/>
              <w:spacing w:line="188" w:lineRule="exact"/>
              <w:ind w:left="107"/>
              <w:rPr>
                <w:sz w:val="18"/>
              </w:rPr>
            </w:pPr>
            <w:r>
              <w:rPr>
                <w:spacing w:val="-4"/>
                <w:sz w:val="18"/>
              </w:rPr>
              <w:t>Name</w:t>
            </w:r>
          </w:p>
        </w:tc>
        <w:tc>
          <w:tcPr>
            <w:tcW w:w="1447" w:type="dxa"/>
          </w:tcPr>
          <w:p>
            <w:pPr>
              <w:pStyle w:val="TableParagraph"/>
              <w:spacing w:line="188" w:lineRule="exact"/>
              <w:ind w:left="6"/>
              <w:jc w:val="center"/>
              <w:rPr>
                <w:sz w:val="18"/>
              </w:rPr>
            </w:pPr>
            <w:r>
              <w:rPr>
                <w:spacing w:val="-2"/>
                <w:sz w:val="18"/>
              </w:rPr>
              <w:t>Attendance</w:t>
            </w:r>
          </w:p>
        </w:tc>
      </w:tr>
      <w:tr>
        <w:trPr>
          <w:trHeight w:val="229" w:hRule="atLeast"/>
        </w:trPr>
        <w:tc>
          <w:tcPr>
            <w:tcW w:w="7236" w:type="dxa"/>
          </w:tcPr>
          <w:p>
            <w:pPr>
              <w:pStyle w:val="TableParagraph"/>
              <w:spacing w:line="206" w:lineRule="exact"/>
              <w:ind w:left="107"/>
              <w:rPr>
                <w:sz w:val="18"/>
              </w:rPr>
            </w:pPr>
            <w:r>
              <w:rPr>
                <w:sz w:val="18"/>
              </w:rPr>
              <w:t>Alistair</w:t>
            </w:r>
            <w:r>
              <w:rPr>
                <w:spacing w:val="-5"/>
                <w:sz w:val="18"/>
              </w:rPr>
              <w:t> </w:t>
            </w:r>
            <w:r>
              <w:rPr>
                <w:spacing w:val="-2"/>
                <w:sz w:val="18"/>
              </w:rPr>
              <w:t>Brooks</w:t>
            </w:r>
          </w:p>
        </w:tc>
        <w:tc>
          <w:tcPr>
            <w:tcW w:w="1447" w:type="dxa"/>
          </w:tcPr>
          <w:p>
            <w:pPr>
              <w:pStyle w:val="TableParagraph"/>
              <w:spacing w:line="210" w:lineRule="exact"/>
              <w:ind w:left="6" w:right="4"/>
              <w:jc w:val="center"/>
              <w:rPr>
                <w:sz w:val="20"/>
              </w:rPr>
            </w:pPr>
            <w:r>
              <w:rPr>
                <w:sz w:val="20"/>
              </w:rPr>
              <w:t>5</w:t>
            </w:r>
            <w:r>
              <w:rPr>
                <w:spacing w:val="-3"/>
                <w:sz w:val="20"/>
              </w:rPr>
              <w:t> </w:t>
            </w:r>
            <w:r>
              <w:rPr>
                <w:sz w:val="20"/>
              </w:rPr>
              <w:t>of</w:t>
            </w:r>
            <w:r>
              <w:rPr>
                <w:spacing w:val="-1"/>
                <w:sz w:val="20"/>
              </w:rPr>
              <w:t> </w:t>
            </w:r>
            <w:r>
              <w:rPr>
                <w:spacing w:val="-10"/>
                <w:sz w:val="20"/>
              </w:rPr>
              <w:t>5</w:t>
            </w:r>
          </w:p>
        </w:tc>
      </w:tr>
      <w:tr>
        <w:trPr>
          <w:trHeight w:val="230" w:hRule="atLeast"/>
        </w:trPr>
        <w:tc>
          <w:tcPr>
            <w:tcW w:w="7236" w:type="dxa"/>
          </w:tcPr>
          <w:p>
            <w:pPr>
              <w:pStyle w:val="TableParagraph"/>
              <w:spacing w:line="206" w:lineRule="exact"/>
              <w:ind w:left="107"/>
              <w:rPr>
                <w:sz w:val="18"/>
              </w:rPr>
            </w:pPr>
            <w:r>
              <w:rPr>
                <w:sz w:val="18"/>
              </w:rPr>
              <w:t>David</w:t>
            </w:r>
            <w:r>
              <w:rPr>
                <w:spacing w:val="-2"/>
                <w:sz w:val="18"/>
              </w:rPr>
              <w:t> Flatters</w:t>
            </w:r>
          </w:p>
        </w:tc>
        <w:tc>
          <w:tcPr>
            <w:tcW w:w="1447" w:type="dxa"/>
          </w:tcPr>
          <w:p>
            <w:pPr>
              <w:pStyle w:val="TableParagraph"/>
              <w:spacing w:line="210" w:lineRule="exact"/>
              <w:ind w:left="6" w:right="4"/>
              <w:jc w:val="center"/>
              <w:rPr>
                <w:sz w:val="20"/>
              </w:rPr>
            </w:pPr>
            <w:r>
              <w:rPr>
                <w:sz w:val="20"/>
              </w:rPr>
              <w:t>5</w:t>
            </w:r>
            <w:r>
              <w:rPr>
                <w:spacing w:val="-3"/>
                <w:sz w:val="20"/>
              </w:rPr>
              <w:t> </w:t>
            </w:r>
            <w:r>
              <w:rPr>
                <w:sz w:val="20"/>
              </w:rPr>
              <w:t>of</w:t>
            </w:r>
            <w:r>
              <w:rPr>
                <w:spacing w:val="-1"/>
                <w:sz w:val="20"/>
              </w:rPr>
              <w:t> </w:t>
            </w:r>
            <w:r>
              <w:rPr>
                <w:spacing w:val="-10"/>
                <w:sz w:val="20"/>
              </w:rPr>
              <w:t>5</w:t>
            </w:r>
          </w:p>
        </w:tc>
      </w:tr>
      <w:tr>
        <w:trPr>
          <w:trHeight w:val="230" w:hRule="atLeast"/>
        </w:trPr>
        <w:tc>
          <w:tcPr>
            <w:tcW w:w="7236" w:type="dxa"/>
          </w:tcPr>
          <w:p>
            <w:pPr>
              <w:pStyle w:val="TableParagraph"/>
              <w:spacing w:line="206" w:lineRule="exact"/>
              <w:ind w:left="107"/>
              <w:rPr>
                <w:sz w:val="18"/>
              </w:rPr>
            </w:pPr>
            <w:r>
              <w:rPr>
                <w:sz w:val="18"/>
              </w:rPr>
              <w:t>Joanne</w:t>
            </w:r>
            <w:r>
              <w:rPr>
                <w:spacing w:val="-5"/>
                <w:sz w:val="18"/>
              </w:rPr>
              <w:t> </w:t>
            </w:r>
            <w:r>
              <w:rPr>
                <w:spacing w:val="-2"/>
                <w:sz w:val="18"/>
              </w:rPr>
              <w:t>Masterson</w:t>
            </w:r>
          </w:p>
        </w:tc>
        <w:tc>
          <w:tcPr>
            <w:tcW w:w="1447" w:type="dxa"/>
          </w:tcPr>
          <w:p>
            <w:pPr>
              <w:pStyle w:val="TableParagraph"/>
              <w:spacing w:line="210" w:lineRule="exact"/>
              <w:ind w:left="6" w:right="4"/>
              <w:jc w:val="center"/>
              <w:rPr>
                <w:sz w:val="20"/>
              </w:rPr>
            </w:pPr>
            <w:r>
              <w:rPr>
                <w:sz w:val="20"/>
              </w:rPr>
              <w:t>2</w:t>
            </w:r>
            <w:r>
              <w:rPr>
                <w:spacing w:val="-3"/>
                <w:sz w:val="20"/>
              </w:rPr>
              <w:t> </w:t>
            </w:r>
            <w:r>
              <w:rPr>
                <w:sz w:val="20"/>
              </w:rPr>
              <w:t>of</w:t>
            </w:r>
            <w:r>
              <w:rPr>
                <w:spacing w:val="-1"/>
                <w:sz w:val="20"/>
              </w:rPr>
              <w:t> </w:t>
            </w:r>
            <w:r>
              <w:rPr>
                <w:spacing w:val="-10"/>
                <w:sz w:val="20"/>
              </w:rPr>
              <w:t>2</w:t>
            </w:r>
          </w:p>
        </w:tc>
      </w:tr>
      <w:tr>
        <w:trPr>
          <w:trHeight w:val="229" w:hRule="atLeast"/>
        </w:trPr>
        <w:tc>
          <w:tcPr>
            <w:tcW w:w="7236" w:type="dxa"/>
          </w:tcPr>
          <w:p>
            <w:pPr>
              <w:pStyle w:val="TableParagraph"/>
              <w:spacing w:line="206" w:lineRule="exact"/>
              <w:ind w:left="107"/>
              <w:rPr>
                <w:sz w:val="18"/>
              </w:rPr>
            </w:pPr>
            <w:r>
              <w:rPr>
                <w:sz w:val="18"/>
              </w:rPr>
              <w:t>Rachel</w:t>
            </w:r>
            <w:r>
              <w:rPr>
                <w:spacing w:val="-1"/>
                <w:sz w:val="18"/>
              </w:rPr>
              <w:t> </w:t>
            </w:r>
            <w:r>
              <w:rPr>
                <w:spacing w:val="-2"/>
                <w:sz w:val="18"/>
              </w:rPr>
              <w:t>Storr</w:t>
            </w:r>
          </w:p>
        </w:tc>
        <w:tc>
          <w:tcPr>
            <w:tcW w:w="1447" w:type="dxa"/>
          </w:tcPr>
          <w:p>
            <w:pPr>
              <w:pStyle w:val="TableParagraph"/>
              <w:spacing w:line="210" w:lineRule="exact"/>
              <w:ind w:left="6" w:right="4"/>
              <w:jc w:val="center"/>
              <w:rPr>
                <w:sz w:val="20"/>
              </w:rPr>
            </w:pPr>
            <w:r>
              <w:rPr>
                <w:sz w:val="20"/>
              </w:rPr>
              <w:t>4</w:t>
            </w:r>
            <w:r>
              <w:rPr>
                <w:spacing w:val="-3"/>
                <w:sz w:val="20"/>
              </w:rPr>
              <w:t> </w:t>
            </w:r>
            <w:r>
              <w:rPr>
                <w:sz w:val="20"/>
              </w:rPr>
              <w:t>of</w:t>
            </w:r>
            <w:r>
              <w:rPr>
                <w:spacing w:val="-1"/>
                <w:sz w:val="20"/>
              </w:rPr>
              <w:t> </w:t>
            </w:r>
            <w:r>
              <w:rPr>
                <w:spacing w:val="-10"/>
                <w:sz w:val="20"/>
              </w:rPr>
              <w:t>5</w:t>
            </w:r>
          </w:p>
        </w:tc>
      </w:tr>
    </w:tbl>
    <w:p>
      <w:pPr>
        <w:pStyle w:val="BodyText"/>
        <w:spacing w:before="2"/>
      </w:pPr>
    </w:p>
    <w:p>
      <w:pPr>
        <w:pStyle w:val="Heading3"/>
        <w:spacing w:before="1"/>
        <w:jc w:val="both"/>
      </w:pPr>
      <w:r>
        <w:rPr/>
        <w:t>Continuous</w:t>
      </w:r>
      <w:r>
        <w:rPr>
          <w:spacing w:val="-6"/>
        </w:rPr>
        <w:t> </w:t>
      </w:r>
      <w:r>
        <w:rPr/>
        <w:t>Professional</w:t>
      </w:r>
      <w:r>
        <w:rPr>
          <w:spacing w:val="-6"/>
        </w:rPr>
        <w:t> </w:t>
      </w:r>
      <w:r>
        <w:rPr>
          <w:spacing w:val="-2"/>
        </w:rPr>
        <w:t>Development</w:t>
      </w:r>
    </w:p>
    <w:p>
      <w:pPr>
        <w:pStyle w:val="Heading6"/>
        <w:spacing w:before="272"/>
      </w:pPr>
      <w:r>
        <w:rPr>
          <w:spacing w:val="-2"/>
        </w:rPr>
        <w:t>Corporation</w:t>
      </w:r>
      <w:r>
        <w:rPr>
          <w:spacing w:val="6"/>
        </w:rPr>
        <w:t> </w:t>
      </w:r>
      <w:r>
        <w:rPr>
          <w:spacing w:val="-2"/>
        </w:rPr>
        <w:t>Members</w:t>
      </w:r>
    </w:p>
    <w:p>
      <w:pPr>
        <w:pStyle w:val="BodyText"/>
        <w:spacing w:before="47"/>
        <w:rPr>
          <w:b/>
        </w:rPr>
      </w:pPr>
    </w:p>
    <w:p>
      <w:pPr>
        <w:pStyle w:val="BodyText"/>
        <w:ind w:left="852" w:right="1087"/>
        <w:jc w:val="both"/>
      </w:pPr>
      <w:r>
        <w:rPr/>
        <w:t>The</w:t>
      </w:r>
      <w:r>
        <w:rPr>
          <w:spacing w:val="-11"/>
        </w:rPr>
        <w:t> </w:t>
      </w:r>
      <w:r>
        <w:rPr/>
        <w:t>Members</w:t>
      </w:r>
      <w:r>
        <w:rPr>
          <w:spacing w:val="-10"/>
        </w:rPr>
        <w:t> </w:t>
      </w:r>
      <w:r>
        <w:rPr/>
        <w:t>participated</w:t>
      </w:r>
      <w:r>
        <w:rPr>
          <w:spacing w:val="-11"/>
        </w:rPr>
        <w:t> </w:t>
      </w:r>
      <w:r>
        <w:rPr/>
        <w:t>in</w:t>
      </w:r>
      <w:r>
        <w:rPr>
          <w:spacing w:val="-11"/>
        </w:rPr>
        <w:t> </w:t>
      </w:r>
      <w:r>
        <w:rPr/>
        <w:t>a</w:t>
      </w:r>
      <w:r>
        <w:rPr>
          <w:spacing w:val="-11"/>
        </w:rPr>
        <w:t> </w:t>
      </w:r>
      <w:r>
        <w:rPr/>
        <w:t>"Governor</w:t>
      </w:r>
      <w:r>
        <w:rPr>
          <w:spacing w:val="-10"/>
        </w:rPr>
        <w:t> </w:t>
      </w:r>
      <w:r>
        <w:rPr/>
        <w:t>Link</w:t>
      </w:r>
      <w:r>
        <w:rPr>
          <w:spacing w:val="-10"/>
        </w:rPr>
        <w:t> </w:t>
      </w:r>
      <w:r>
        <w:rPr/>
        <w:t>Programme"</w:t>
      </w:r>
      <w:r>
        <w:rPr>
          <w:spacing w:val="-10"/>
        </w:rPr>
        <w:t> </w:t>
      </w:r>
      <w:r>
        <w:rPr/>
        <w:t>throughout</w:t>
      </w:r>
      <w:r>
        <w:rPr>
          <w:spacing w:val="-11"/>
        </w:rPr>
        <w:t> </w:t>
      </w:r>
      <w:r>
        <w:rPr/>
        <w:t>the</w:t>
      </w:r>
      <w:r>
        <w:rPr>
          <w:spacing w:val="-11"/>
        </w:rPr>
        <w:t> </w:t>
      </w:r>
      <w:r>
        <w:rPr/>
        <w:t>year,</w:t>
      </w:r>
      <w:r>
        <w:rPr>
          <w:spacing w:val="-11"/>
        </w:rPr>
        <w:t> </w:t>
      </w:r>
      <w:r>
        <w:rPr/>
        <w:t>with</w:t>
      </w:r>
      <w:r>
        <w:rPr>
          <w:spacing w:val="-11"/>
        </w:rPr>
        <w:t> </w:t>
      </w:r>
      <w:r>
        <w:rPr/>
        <w:t>each</w:t>
      </w:r>
      <w:r>
        <w:rPr>
          <w:spacing w:val="-9"/>
        </w:rPr>
        <w:t> </w:t>
      </w:r>
      <w:r>
        <w:rPr/>
        <w:t>Member assigned to link up with a co-ordinating senior member of staff to explore different areas of the College</w:t>
      </w:r>
      <w:r>
        <w:rPr>
          <w:spacing w:val="-9"/>
        </w:rPr>
        <w:t> </w:t>
      </w:r>
      <w:r>
        <w:rPr/>
        <w:t>business</w:t>
      </w:r>
      <w:r>
        <w:rPr>
          <w:spacing w:val="-7"/>
        </w:rPr>
        <w:t> </w:t>
      </w:r>
      <w:r>
        <w:rPr/>
        <w:t>and</w:t>
      </w:r>
      <w:r>
        <w:rPr>
          <w:spacing w:val="-7"/>
        </w:rPr>
        <w:t> </w:t>
      </w:r>
      <w:r>
        <w:rPr/>
        <w:t>present</w:t>
      </w:r>
      <w:r>
        <w:rPr>
          <w:spacing w:val="-9"/>
        </w:rPr>
        <w:t> </w:t>
      </w:r>
      <w:r>
        <w:rPr/>
        <w:t>a</w:t>
      </w:r>
      <w:r>
        <w:rPr>
          <w:spacing w:val="-7"/>
        </w:rPr>
        <w:t> </w:t>
      </w:r>
      <w:r>
        <w:rPr/>
        <w:t>report</w:t>
      </w:r>
      <w:r>
        <w:rPr>
          <w:spacing w:val="-6"/>
        </w:rPr>
        <w:t> </w:t>
      </w:r>
      <w:r>
        <w:rPr/>
        <w:t>to</w:t>
      </w:r>
      <w:r>
        <w:rPr>
          <w:spacing w:val="-7"/>
        </w:rPr>
        <w:t> </w:t>
      </w:r>
      <w:r>
        <w:rPr/>
        <w:t>Corporation.</w:t>
      </w:r>
      <w:r>
        <w:rPr>
          <w:spacing w:val="-9"/>
        </w:rPr>
        <w:t> </w:t>
      </w:r>
      <w:r>
        <w:rPr/>
        <w:t>This</w:t>
      </w:r>
      <w:r>
        <w:rPr>
          <w:spacing w:val="-7"/>
        </w:rPr>
        <w:t> </w:t>
      </w:r>
      <w:r>
        <w:rPr/>
        <w:t>programme</w:t>
      </w:r>
      <w:r>
        <w:rPr>
          <w:spacing w:val="-7"/>
        </w:rPr>
        <w:t> </w:t>
      </w:r>
      <w:r>
        <w:rPr/>
        <w:t>is</w:t>
      </w:r>
      <w:r>
        <w:rPr>
          <w:spacing w:val="-7"/>
        </w:rPr>
        <w:t> </w:t>
      </w:r>
      <w:r>
        <w:rPr/>
        <w:t>established</w:t>
      </w:r>
      <w:r>
        <w:rPr>
          <w:spacing w:val="-9"/>
        </w:rPr>
        <w:t> </w:t>
      </w:r>
      <w:r>
        <w:rPr/>
        <w:t>annually</w:t>
      </w:r>
      <w:r>
        <w:rPr>
          <w:spacing w:val="-7"/>
        </w:rPr>
        <w:t> </w:t>
      </w:r>
      <w:r>
        <w:rPr/>
        <w:t>with Members</w:t>
      </w:r>
      <w:r>
        <w:rPr>
          <w:spacing w:val="-10"/>
        </w:rPr>
        <w:t> </w:t>
      </w:r>
      <w:r>
        <w:rPr/>
        <w:t>allocated</w:t>
      </w:r>
      <w:r>
        <w:rPr>
          <w:spacing w:val="-9"/>
        </w:rPr>
        <w:t> </w:t>
      </w:r>
      <w:r>
        <w:rPr/>
        <w:t>to</w:t>
      </w:r>
      <w:r>
        <w:rPr>
          <w:spacing w:val="-11"/>
        </w:rPr>
        <w:t> </w:t>
      </w:r>
      <w:r>
        <w:rPr/>
        <w:t>different</w:t>
      </w:r>
      <w:r>
        <w:rPr>
          <w:spacing w:val="-11"/>
        </w:rPr>
        <w:t> </w:t>
      </w:r>
      <w:r>
        <w:rPr/>
        <w:t>areas</w:t>
      </w:r>
      <w:r>
        <w:rPr>
          <w:spacing w:val="-10"/>
        </w:rPr>
        <w:t> </w:t>
      </w:r>
      <w:r>
        <w:rPr/>
        <w:t>of</w:t>
      </w:r>
      <w:r>
        <w:rPr>
          <w:spacing w:val="-9"/>
        </w:rPr>
        <w:t> </w:t>
      </w:r>
      <w:r>
        <w:rPr/>
        <w:t>the</w:t>
      </w:r>
      <w:r>
        <w:rPr>
          <w:spacing w:val="-9"/>
        </w:rPr>
        <w:t> </w:t>
      </w:r>
      <w:r>
        <w:rPr/>
        <w:t>business</w:t>
      </w:r>
      <w:r>
        <w:rPr>
          <w:spacing w:val="-10"/>
        </w:rPr>
        <w:t> </w:t>
      </w:r>
      <w:r>
        <w:rPr/>
        <w:t>from</w:t>
      </w:r>
      <w:r>
        <w:rPr>
          <w:spacing w:val="-11"/>
        </w:rPr>
        <w:t> </w:t>
      </w:r>
      <w:r>
        <w:rPr/>
        <w:t>time</w:t>
      </w:r>
      <w:r>
        <w:rPr>
          <w:spacing w:val="-9"/>
        </w:rPr>
        <w:t> </w:t>
      </w:r>
      <w:r>
        <w:rPr/>
        <w:t>to</w:t>
      </w:r>
      <w:r>
        <w:rPr>
          <w:spacing w:val="-9"/>
        </w:rPr>
        <w:t> </w:t>
      </w:r>
      <w:r>
        <w:rPr/>
        <w:t>time</w:t>
      </w:r>
      <w:r>
        <w:rPr>
          <w:spacing w:val="-11"/>
        </w:rPr>
        <w:t> </w:t>
      </w:r>
      <w:r>
        <w:rPr/>
        <w:t>to</w:t>
      </w:r>
      <w:r>
        <w:rPr>
          <w:spacing w:val="-11"/>
        </w:rPr>
        <w:t> </w:t>
      </w:r>
      <w:r>
        <w:rPr/>
        <w:t>learn</w:t>
      </w:r>
      <w:r>
        <w:rPr>
          <w:spacing w:val="-9"/>
        </w:rPr>
        <w:t> </w:t>
      </w:r>
      <w:r>
        <w:rPr/>
        <w:t>about</w:t>
      </w:r>
      <w:r>
        <w:rPr>
          <w:spacing w:val="-11"/>
        </w:rPr>
        <w:t> </w:t>
      </w:r>
      <w:r>
        <w:rPr/>
        <w:t>different</w:t>
      </w:r>
      <w:r>
        <w:rPr>
          <w:spacing w:val="-11"/>
        </w:rPr>
        <w:t> </w:t>
      </w:r>
      <w:r>
        <w:rPr/>
        <w:t>areas of the College's operations.</w:t>
      </w:r>
    </w:p>
    <w:p>
      <w:pPr>
        <w:pStyle w:val="BodyText"/>
      </w:pPr>
    </w:p>
    <w:p>
      <w:pPr>
        <w:pStyle w:val="BodyText"/>
        <w:ind w:left="852" w:right="1087"/>
        <w:jc w:val="both"/>
      </w:pPr>
      <w:r>
        <w:rPr/>
        <w:t>Members attended the AoC Northern Governance Conference in March 2023 and the AoC Governor Summit in June 2023. Members attended a number of Governor Workshops including "Finance</w:t>
      </w:r>
      <w:r>
        <w:rPr>
          <w:spacing w:val="-3"/>
        </w:rPr>
        <w:t> </w:t>
      </w:r>
      <w:r>
        <w:rPr/>
        <w:t>in</w:t>
      </w:r>
      <w:r>
        <w:rPr>
          <w:spacing w:val="-3"/>
        </w:rPr>
        <w:t> </w:t>
      </w:r>
      <w:r>
        <w:rPr/>
        <w:t>FE”,</w:t>
      </w:r>
      <w:r>
        <w:rPr>
          <w:spacing w:val="-3"/>
        </w:rPr>
        <w:t> </w:t>
      </w:r>
      <w:r>
        <w:rPr/>
        <w:t>“Nolan</w:t>
      </w:r>
      <w:r>
        <w:rPr>
          <w:spacing w:val="-1"/>
        </w:rPr>
        <w:t> </w:t>
      </w:r>
      <w:r>
        <w:rPr/>
        <w:t>Principles”,</w:t>
      </w:r>
      <w:r>
        <w:rPr>
          <w:spacing w:val="-3"/>
        </w:rPr>
        <w:t> </w:t>
      </w:r>
      <w:r>
        <w:rPr/>
        <w:t>“Risk</w:t>
      </w:r>
      <w:r>
        <w:rPr>
          <w:spacing w:val="-1"/>
        </w:rPr>
        <w:t> </w:t>
      </w:r>
      <w:r>
        <w:rPr/>
        <w:t>Management”,</w:t>
      </w:r>
      <w:r>
        <w:rPr>
          <w:spacing w:val="-3"/>
        </w:rPr>
        <w:t> </w:t>
      </w:r>
      <w:r>
        <w:rPr/>
        <w:t>“Safeguarding”,</w:t>
      </w:r>
      <w:r>
        <w:rPr>
          <w:spacing w:val="-3"/>
        </w:rPr>
        <w:t> </w:t>
      </w:r>
      <w:r>
        <w:rPr/>
        <w:t>“Prevent”</w:t>
      </w:r>
      <w:r>
        <w:rPr>
          <w:spacing w:val="-2"/>
        </w:rPr>
        <w:t> </w:t>
      </w:r>
      <w:r>
        <w:rPr/>
        <w:t>and</w:t>
      </w:r>
      <w:r>
        <w:rPr>
          <w:spacing w:val="-3"/>
        </w:rPr>
        <w:t> </w:t>
      </w:r>
      <w:r>
        <w:rPr/>
        <w:t>“Ofsted”,</w:t>
      </w:r>
      <w:r>
        <w:rPr>
          <w:spacing w:val="-3"/>
        </w:rPr>
        <w:t> </w:t>
      </w:r>
      <w:r>
        <w:rPr/>
        <w:t>a log of individuals' training is held by the Director of Governance.</w:t>
      </w:r>
    </w:p>
    <w:p>
      <w:pPr>
        <w:pStyle w:val="BodyText"/>
        <w:spacing w:before="45"/>
      </w:pPr>
    </w:p>
    <w:p>
      <w:pPr>
        <w:pStyle w:val="BodyText"/>
        <w:ind w:left="852" w:right="1088"/>
        <w:jc w:val="both"/>
      </w:pPr>
      <w:r>
        <w:rPr/>
        <w:t>New members of the Corporation attended an AoC Regional Governor Induction and a half day in house</w:t>
      </w:r>
      <w:r>
        <w:rPr>
          <w:spacing w:val="-14"/>
        </w:rPr>
        <w:t> </w:t>
      </w:r>
      <w:r>
        <w:rPr/>
        <w:t>induction</w:t>
      </w:r>
      <w:r>
        <w:rPr>
          <w:spacing w:val="-14"/>
        </w:rPr>
        <w:t> </w:t>
      </w:r>
      <w:r>
        <w:rPr/>
        <w:t>with</w:t>
      </w:r>
      <w:r>
        <w:rPr>
          <w:spacing w:val="-14"/>
        </w:rPr>
        <w:t> </w:t>
      </w:r>
      <w:r>
        <w:rPr/>
        <w:t>the</w:t>
      </w:r>
      <w:r>
        <w:rPr>
          <w:spacing w:val="-14"/>
        </w:rPr>
        <w:t> </w:t>
      </w:r>
      <w:r>
        <w:rPr/>
        <w:t>Chair,</w:t>
      </w:r>
      <w:r>
        <w:rPr>
          <w:spacing w:val="-14"/>
        </w:rPr>
        <w:t> </w:t>
      </w:r>
      <w:r>
        <w:rPr/>
        <w:t>Director</w:t>
      </w:r>
      <w:r>
        <w:rPr>
          <w:spacing w:val="-14"/>
        </w:rPr>
        <w:t> </w:t>
      </w:r>
      <w:r>
        <w:rPr/>
        <w:t>of</w:t>
      </w:r>
      <w:r>
        <w:rPr>
          <w:spacing w:val="-14"/>
        </w:rPr>
        <w:t> </w:t>
      </w:r>
      <w:r>
        <w:rPr/>
        <w:t>Governance</w:t>
      </w:r>
      <w:r>
        <w:rPr>
          <w:spacing w:val="-14"/>
        </w:rPr>
        <w:t> </w:t>
      </w:r>
      <w:r>
        <w:rPr/>
        <w:t>and</w:t>
      </w:r>
      <w:r>
        <w:rPr>
          <w:spacing w:val="-14"/>
        </w:rPr>
        <w:t> </w:t>
      </w:r>
      <w:r>
        <w:rPr/>
        <w:t>members</w:t>
      </w:r>
      <w:r>
        <w:rPr>
          <w:spacing w:val="-13"/>
        </w:rPr>
        <w:t> </w:t>
      </w:r>
      <w:r>
        <w:rPr/>
        <w:t>of</w:t>
      </w:r>
      <w:r>
        <w:rPr>
          <w:spacing w:val="-14"/>
        </w:rPr>
        <w:t> </w:t>
      </w:r>
      <w:r>
        <w:rPr/>
        <w:t>the</w:t>
      </w:r>
      <w:r>
        <w:rPr>
          <w:spacing w:val="-14"/>
        </w:rPr>
        <w:t> </w:t>
      </w:r>
      <w:r>
        <w:rPr/>
        <w:t>Executive</w:t>
      </w:r>
      <w:r>
        <w:rPr>
          <w:spacing w:val="-14"/>
        </w:rPr>
        <w:t> </w:t>
      </w:r>
      <w:r>
        <w:rPr/>
        <w:t>Management </w:t>
      </w:r>
      <w:r>
        <w:rPr>
          <w:spacing w:val="-2"/>
        </w:rPr>
        <w:t>Team.</w:t>
      </w:r>
    </w:p>
    <w:p>
      <w:pPr>
        <w:pStyle w:val="BodyText"/>
        <w:spacing w:after="0"/>
        <w:jc w:val="both"/>
        <w:sectPr>
          <w:pgSz w:w="11910" w:h="16850"/>
          <w:pgMar w:header="727" w:footer="702" w:top="1520" w:bottom="900" w:left="566" w:right="708"/>
        </w:sectPr>
      </w:pPr>
    </w:p>
    <w:p>
      <w:pPr>
        <w:pStyle w:val="BodyText"/>
        <w:rPr>
          <w:sz w:val="24"/>
        </w:rPr>
      </w:pPr>
    </w:p>
    <w:p>
      <w:pPr>
        <w:pStyle w:val="Heading2"/>
      </w:pPr>
      <w:r>
        <w:rPr/>
        <w:t>STATEMENT</w:t>
      </w:r>
      <w:r>
        <w:rPr>
          <w:spacing w:val="67"/>
        </w:rPr>
        <w:t> </w:t>
      </w:r>
      <w:r>
        <w:rPr/>
        <w:t>OF</w:t>
      </w:r>
      <w:r>
        <w:rPr>
          <w:spacing w:val="64"/>
        </w:rPr>
        <w:t> </w:t>
      </w:r>
      <w:r>
        <w:rPr/>
        <w:t>CORPORATE</w:t>
      </w:r>
      <w:r>
        <w:rPr>
          <w:spacing w:val="63"/>
        </w:rPr>
        <w:t> </w:t>
      </w:r>
      <w:r>
        <w:rPr/>
        <w:t>GOVERNANCE</w:t>
      </w:r>
      <w:r>
        <w:rPr>
          <w:spacing w:val="66"/>
        </w:rPr>
        <w:t> </w:t>
      </w:r>
      <w:r>
        <w:rPr/>
        <w:t>AND</w:t>
      </w:r>
      <w:r>
        <w:rPr>
          <w:spacing w:val="65"/>
        </w:rPr>
        <w:t> </w:t>
      </w:r>
      <w:r>
        <w:rPr/>
        <w:t>INTERNAL</w:t>
      </w:r>
      <w:r>
        <w:rPr>
          <w:spacing w:val="65"/>
        </w:rPr>
        <w:t> </w:t>
      </w:r>
      <w:r>
        <w:rPr>
          <w:spacing w:val="-2"/>
        </w:rPr>
        <w:t>CONTROL</w:t>
      </w:r>
    </w:p>
    <w:p>
      <w:pPr>
        <w:pStyle w:val="Heading3"/>
      </w:pPr>
      <w:r>
        <w:rPr>
          <w:spacing w:val="-2"/>
        </w:rPr>
        <w:t>(continued)</w:t>
      </w:r>
    </w:p>
    <w:p>
      <w:pPr>
        <w:pStyle w:val="BodyText"/>
        <w:rPr>
          <w:b/>
          <w:sz w:val="24"/>
        </w:rPr>
      </w:pPr>
    </w:p>
    <w:p>
      <w:pPr>
        <w:spacing w:before="0"/>
        <w:ind w:left="852" w:right="0" w:firstLine="0"/>
        <w:jc w:val="both"/>
        <w:rPr>
          <w:b/>
          <w:sz w:val="24"/>
        </w:rPr>
      </w:pPr>
      <w:r>
        <w:rPr>
          <w:b/>
          <w:sz w:val="24"/>
        </w:rPr>
        <w:t>Continuous</w:t>
      </w:r>
      <w:r>
        <w:rPr>
          <w:b/>
          <w:spacing w:val="-8"/>
          <w:sz w:val="24"/>
        </w:rPr>
        <w:t> </w:t>
      </w:r>
      <w:r>
        <w:rPr>
          <w:b/>
          <w:sz w:val="24"/>
        </w:rPr>
        <w:t>Professional</w:t>
      </w:r>
      <w:r>
        <w:rPr>
          <w:b/>
          <w:spacing w:val="-6"/>
          <w:sz w:val="24"/>
        </w:rPr>
        <w:t> </w:t>
      </w:r>
      <w:r>
        <w:rPr>
          <w:b/>
          <w:sz w:val="24"/>
        </w:rPr>
        <w:t>Development</w:t>
      </w:r>
      <w:r>
        <w:rPr>
          <w:b/>
          <w:spacing w:val="-7"/>
          <w:sz w:val="24"/>
        </w:rPr>
        <w:t> </w:t>
      </w:r>
      <w:r>
        <w:rPr>
          <w:b/>
          <w:spacing w:val="-2"/>
          <w:sz w:val="24"/>
        </w:rPr>
        <w:t>(continued)</w:t>
      </w:r>
    </w:p>
    <w:p>
      <w:pPr>
        <w:pStyle w:val="Heading6"/>
        <w:spacing w:before="275"/>
      </w:pPr>
      <w:r>
        <w:rPr/>
        <w:t>Corporation</w:t>
      </w:r>
      <w:r>
        <w:rPr>
          <w:spacing w:val="-12"/>
        </w:rPr>
        <w:t> </w:t>
      </w:r>
      <w:r>
        <w:rPr/>
        <w:t>Members</w:t>
      </w:r>
      <w:r>
        <w:rPr>
          <w:spacing w:val="-12"/>
        </w:rPr>
        <w:t> </w:t>
      </w:r>
      <w:r>
        <w:rPr>
          <w:spacing w:val="-2"/>
        </w:rPr>
        <w:t>(continued)</w:t>
      </w:r>
    </w:p>
    <w:p>
      <w:pPr>
        <w:pStyle w:val="BodyText"/>
        <w:spacing w:before="1"/>
        <w:rPr>
          <w:b/>
        </w:rPr>
      </w:pPr>
    </w:p>
    <w:p>
      <w:pPr>
        <w:pStyle w:val="BodyText"/>
        <w:ind w:left="852" w:right="992"/>
        <w:jc w:val="both"/>
      </w:pPr>
      <w:r>
        <w:rPr/>
        <w:t>Throughout</w:t>
      </w:r>
      <w:r>
        <w:rPr>
          <w:spacing w:val="-14"/>
        </w:rPr>
        <w:t> </w:t>
      </w:r>
      <w:r>
        <w:rPr/>
        <w:t>the</w:t>
      </w:r>
      <w:r>
        <w:rPr>
          <w:spacing w:val="-14"/>
        </w:rPr>
        <w:t> </w:t>
      </w:r>
      <w:r>
        <w:rPr/>
        <w:t>year</w:t>
      </w:r>
      <w:r>
        <w:rPr>
          <w:spacing w:val="-14"/>
        </w:rPr>
        <w:t> </w:t>
      </w:r>
      <w:r>
        <w:rPr/>
        <w:t>the</w:t>
      </w:r>
      <w:r>
        <w:rPr>
          <w:spacing w:val="-14"/>
        </w:rPr>
        <w:t> </w:t>
      </w:r>
      <w:r>
        <w:rPr/>
        <w:t>Members</w:t>
      </w:r>
      <w:r>
        <w:rPr>
          <w:spacing w:val="-14"/>
        </w:rPr>
        <w:t> </w:t>
      </w:r>
      <w:r>
        <w:rPr/>
        <w:t>received</w:t>
      </w:r>
      <w:r>
        <w:rPr>
          <w:spacing w:val="-14"/>
        </w:rPr>
        <w:t> </w:t>
      </w:r>
      <w:r>
        <w:rPr/>
        <w:t>sector</w:t>
      </w:r>
      <w:r>
        <w:rPr>
          <w:spacing w:val="-14"/>
        </w:rPr>
        <w:t> </w:t>
      </w:r>
      <w:r>
        <w:rPr/>
        <w:t>updates</w:t>
      </w:r>
      <w:r>
        <w:rPr>
          <w:spacing w:val="-14"/>
        </w:rPr>
        <w:t> </w:t>
      </w:r>
      <w:r>
        <w:rPr/>
        <w:t>from</w:t>
      </w:r>
      <w:r>
        <w:rPr>
          <w:spacing w:val="-14"/>
        </w:rPr>
        <w:t> </w:t>
      </w:r>
      <w:r>
        <w:rPr/>
        <w:t>the</w:t>
      </w:r>
      <w:r>
        <w:rPr>
          <w:spacing w:val="-13"/>
        </w:rPr>
        <w:t> </w:t>
      </w:r>
      <w:r>
        <w:rPr/>
        <w:t>principal</w:t>
      </w:r>
      <w:r>
        <w:rPr>
          <w:spacing w:val="-14"/>
        </w:rPr>
        <w:t> </w:t>
      </w:r>
      <w:r>
        <w:rPr/>
        <w:t>as</w:t>
      </w:r>
      <w:r>
        <w:rPr>
          <w:spacing w:val="-14"/>
        </w:rPr>
        <w:t> </w:t>
      </w:r>
      <w:r>
        <w:rPr/>
        <w:t>part</w:t>
      </w:r>
      <w:r>
        <w:rPr>
          <w:spacing w:val="-14"/>
        </w:rPr>
        <w:t> </w:t>
      </w:r>
      <w:r>
        <w:rPr/>
        <w:t>of</w:t>
      </w:r>
      <w:r>
        <w:rPr>
          <w:spacing w:val="-14"/>
        </w:rPr>
        <w:t> </w:t>
      </w:r>
      <w:r>
        <w:rPr/>
        <w:t>the</w:t>
      </w:r>
      <w:r>
        <w:rPr>
          <w:spacing w:val="-14"/>
        </w:rPr>
        <w:t> </w:t>
      </w:r>
      <w:r>
        <w:rPr/>
        <w:t>principal’s presentation</w:t>
      </w:r>
      <w:r>
        <w:rPr>
          <w:spacing w:val="-2"/>
        </w:rPr>
        <w:t> </w:t>
      </w:r>
      <w:r>
        <w:rPr/>
        <w:t>to</w:t>
      </w:r>
      <w:r>
        <w:rPr>
          <w:spacing w:val="-2"/>
        </w:rPr>
        <w:t> </w:t>
      </w:r>
      <w:r>
        <w:rPr/>
        <w:t>the</w:t>
      </w:r>
      <w:r>
        <w:rPr>
          <w:spacing w:val="-2"/>
        </w:rPr>
        <w:t> </w:t>
      </w:r>
      <w:r>
        <w:rPr/>
        <w:t>Members and</w:t>
      </w:r>
      <w:r>
        <w:rPr>
          <w:spacing w:val="-2"/>
        </w:rPr>
        <w:t> </w:t>
      </w:r>
      <w:r>
        <w:rPr/>
        <w:t>through</w:t>
      </w:r>
      <w:r>
        <w:rPr>
          <w:spacing w:val="-2"/>
        </w:rPr>
        <w:t> </w:t>
      </w:r>
      <w:r>
        <w:rPr/>
        <w:t>the monthly briefings from</w:t>
      </w:r>
      <w:r>
        <w:rPr>
          <w:spacing w:val="-2"/>
        </w:rPr>
        <w:t> </w:t>
      </w:r>
      <w:r>
        <w:rPr/>
        <w:t>the</w:t>
      </w:r>
      <w:r>
        <w:rPr>
          <w:spacing w:val="-2"/>
        </w:rPr>
        <w:t> </w:t>
      </w:r>
      <w:r>
        <w:rPr/>
        <w:t>Director of</w:t>
      </w:r>
      <w:r>
        <w:rPr>
          <w:spacing w:val="-2"/>
        </w:rPr>
        <w:t> </w:t>
      </w:r>
      <w:r>
        <w:rPr/>
        <w:t>Governance on national and local sector changes.</w:t>
      </w:r>
    </w:p>
    <w:p>
      <w:pPr>
        <w:pStyle w:val="BodyText"/>
      </w:pPr>
    </w:p>
    <w:p>
      <w:pPr>
        <w:pStyle w:val="BodyText"/>
        <w:ind w:left="852" w:right="991"/>
        <w:jc w:val="both"/>
      </w:pPr>
      <w:r>
        <w:rPr/>
        <w:t>The College purchased a subscription to the ETF Governance Development Programme which includes modules across all areas of Governors to undertake their own governance development.</w:t>
      </w:r>
    </w:p>
    <w:p>
      <w:pPr>
        <w:pStyle w:val="Heading6"/>
        <w:spacing w:before="229"/>
      </w:pPr>
      <w:r>
        <w:rPr/>
        <w:t>Director</w:t>
      </w:r>
      <w:r>
        <w:rPr>
          <w:spacing w:val="-8"/>
        </w:rPr>
        <w:t> </w:t>
      </w:r>
      <w:r>
        <w:rPr/>
        <w:t>of</w:t>
      </w:r>
      <w:r>
        <w:rPr>
          <w:spacing w:val="-5"/>
        </w:rPr>
        <w:t> </w:t>
      </w:r>
      <w:r>
        <w:rPr>
          <w:spacing w:val="-2"/>
        </w:rPr>
        <w:t>Governance</w:t>
      </w:r>
    </w:p>
    <w:p>
      <w:pPr>
        <w:pStyle w:val="BodyText"/>
        <w:spacing w:before="1"/>
        <w:rPr>
          <w:b/>
        </w:rPr>
      </w:pPr>
    </w:p>
    <w:p>
      <w:pPr>
        <w:pStyle w:val="BodyText"/>
        <w:ind w:left="852" w:right="993"/>
        <w:jc w:val="both"/>
      </w:pPr>
      <w:r>
        <w:rPr/>
        <w:t>The Director of Governance engaged in regular training and development opportunities throughout the year ended 31 July 2023. Including, but not limited to:</w:t>
      </w:r>
    </w:p>
    <w:p>
      <w:pPr>
        <w:pStyle w:val="BodyText"/>
        <w:spacing w:before="2"/>
      </w:pPr>
    </w:p>
    <w:p>
      <w:pPr>
        <w:pStyle w:val="ListParagraph"/>
        <w:numPr>
          <w:ilvl w:val="0"/>
          <w:numId w:val="5"/>
        </w:numPr>
        <w:tabs>
          <w:tab w:pos="1572" w:val="left" w:leader="none"/>
        </w:tabs>
        <w:spacing w:line="240" w:lineRule="auto" w:before="0" w:after="0"/>
        <w:ind w:left="1572" w:right="0" w:hanging="360"/>
        <w:jc w:val="left"/>
        <w:rPr>
          <w:sz w:val="20"/>
        </w:rPr>
      </w:pPr>
      <w:r>
        <w:rPr>
          <w:sz w:val="20"/>
        </w:rPr>
        <w:t>Attendance</w:t>
      </w:r>
      <w:r>
        <w:rPr>
          <w:spacing w:val="-9"/>
          <w:sz w:val="20"/>
        </w:rPr>
        <w:t> </w:t>
      </w:r>
      <w:r>
        <w:rPr>
          <w:sz w:val="20"/>
        </w:rPr>
        <w:t>at</w:t>
      </w:r>
      <w:r>
        <w:rPr>
          <w:spacing w:val="-7"/>
          <w:sz w:val="20"/>
        </w:rPr>
        <w:t> </w:t>
      </w:r>
      <w:r>
        <w:rPr>
          <w:sz w:val="20"/>
        </w:rPr>
        <w:t>AoC</w:t>
      </w:r>
      <w:r>
        <w:rPr>
          <w:spacing w:val="-5"/>
          <w:sz w:val="20"/>
        </w:rPr>
        <w:t> </w:t>
      </w:r>
      <w:r>
        <w:rPr>
          <w:sz w:val="20"/>
        </w:rPr>
        <w:t>Northern</w:t>
      </w:r>
      <w:r>
        <w:rPr>
          <w:spacing w:val="-9"/>
          <w:sz w:val="20"/>
        </w:rPr>
        <w:t> </w:t>
      </w:r>
      <w:r>
        <w:rPr>
          <w:sz w:val="20"/>
        </w:rPr>
        <w:t>Governance</w:t>
      </w:r>
      <w:r>
        <w:rPr>
          <w:spacing w:val="-7"/>
          <w:sz w:val="20"/>
        </w:rPr>
        <w:t> </w:t>
      </w:r>
      <w:r>
        <w:rPr>
          <w:sz w:val="20"/>
        </w:rPr>
        <w:t>Professionals</w:t>
      </w:r>
      <w:r>
        <w:rPr>
          <w:spacing w:val="-7"/>
          <w:sz w:val="20"/>
        </w:rPr>
        <w:t> </w:t>
      </w:r>
      <w:r>
        <w:rPr>
          <w:sz w:val="20"/>
        </w:rPr>
        <w:t>Group</w:t>
      </w:r>
      <w:r>
        <w:rPr>
          <w:spacing w:val="-8"/>
          <w:sz w:val="20"/>
        </w:rPr>
        <w:t> </w:t>
      </w:r>
      <w:r>
        <w:rPr>
          <w:sz w:val="20"/>
        </w:rPr>
        <w:t>Meetings</w:t>
      </w:r>
      <w:r>
        <w:rPr>
          <w:spacing w:val="-8"/>
          <w:sz w:val="20"/>
        </w:rPr>
        <w:t> </w:t>
      </w:r>
      <w:r>
        <w:rPr>
          <w:sz w:val="20"/>
        </w:rPr>
        <w:t>(3</w:t>
      </w:r>
      <w:r>
        <w:rPr>
          <w:spacing w:val="-8"/>
          <w:sz w:val="20"/>
        </w:rPr>
        <w:t> </w:t>
      </w:r>
      <w:r>
        <w:rPr>
          <w:sz w:val="20"/>
        </w:rPr>
        <w:t>times</w:t>
      </w:r>
      <w:r>
        <w:rPr>
          <w:spacing w:val="-5"/>
          <w:sz w:val="20"/>
        </w:rPr>
        <w:t> </w:t>
      </w:r>
      <w:r>
        <w:rPr>
          <w:sz w:val="20"/>
        </w:rPr>
        <w:t>per</w:t>
      </w:r>
      <w:r>
        <w:rPr>
          <w:spacing w:val="-8"/>
          <w:sz w:val="20"/>
        </w:rPr>
        <w:t> </w:t>
      </w:r>
      <w:r>
        <w:rPr>
          <w:spacing w:val="-2"/>
          <w:sz w:val="20"/>
        </w:rPr>
        <w:t>year).</w:t>
      </w:r>
    </w:p>
    <w:p>
      <w:pPr>
        <w:pStyle w:val="ListParagraph"/>
        <w:numPr>
          <w:ilvl w:val="0"/>
          <w:numId w:val="5"/>
        </w:numPr>
        <w:tabs>
          <w:tab w:pos="1572" w:val="left" w:leader="none"/>
        </w:tabs>
        <w:spacing w:line="268" w:lineRule="auto" w:before="34" w:after="0"/>
        <w:ind w:left="1572" w:right="992" w:hanging="360"/>
        <w:jc w:val="left"/>
        <w:rPr>
          <w:sz w:val="20"/>
        </w:rPr>
      </w:pPr>
      <w:r>
        <w:rPr>
          <w:sz w:val="20"/>
        </w:rPr>
        <w:t>Completed</w:t>
      </w:r>
      <w:r>
        <w:rPr>
          <w:spacing w:val="-14"/>
          <w:sz w:val="20"/>
        </w:rPr>
        <w:t> </w:t>
      </w:r>
      <w:r>
        <w:rPr>
          <w:sz w:val="20"/>
        </w:rPr>
        <w:t>the</w:t>
      </w:r>
      <w:r>
        <w:rPr>
          <w:spacing w:val="-14"/>
          <w:sz w:val="20"/>
        </w:rPr>
        <w:t> </w:t>
      </w:r>
      <w:r>
        <w:rPr>
          <w:sz w:val="20"/>
        </w:rPr>
        <w:t>Institute</w:t>
      </w:r>
      <w:r>
        <w:rPr>
          <w:spacing w:val="-14"/>
          <w:sz w:val="20"/>
        </w:rPr>
        <w:t> </w:t>
      </w:r>
      <w:r>
        <w:rPr>
          <w:sz w:val="20"/>
        </w:rPr>
        <w:t>of</w:t>
      </w:r>
      <w:r>
        <w:rPr>
          <w:spacing w:val="-14"/>
          <w:sz w:val="20"/>
        </w:rPr>
        <w:t> </w:t>
      </w:r>
      <w:r>
        <w:rPr>
          <w:sz w:val="20"/>
        </w:rPr>
        <w:t>Director</w:t>
      </w:r>
      <w:r>
        <w:rPr>
          <w:spacing w:val="-14"/>
          <w:sz w:val="20"/>
        </w:rPr>
        <w:t> </w:t>
      </w:r>
      <w:r>
        <w:rPr>
          <w:sz w:val="20"/>
        </w:rPr>
        <w:t>–</w:t>
      </w:r>
      <w:r>
        <w:rPr>
          <w:spacing w:val="-14"/>
          <w:sz w:val="20"/>
        </w:rPr>
        <w:t> </w:t>
      </w:r>
      <w:r>
        <w:rPr>
          <w:sz w:val="20"/>
        </w:rPr>
        <w:t>Governance</w:t>
      </w:r>
      <w:r>
        <w:rPr>
          <w:spacing w:val="-14"/>
          <w:sz w:val="20"/>
        </w:rPr>
        <w:t> </w:t>
      </w:r>
      <w:r>
        <w:rPr>
          <w:sz w:val="20"/>
        </w:rPr>
        <w:t>Professionals</w:t>
      </w:r>
      <w:r>
        <w:rPr>
          <w:spacing w:val="-14"/>
          <w:sz w:val="20"/>
        </w:rPr>
        <w:t> </w:t>
      </w:r>
      <w:r>
        <w:rPr>
          <w:sz w:val="20"/>
        </w:rPr>
        <w:t>Leadership</w:t>
      </w:r>
      <w:r>
        <w:rPr>
          <w:spacing w:val="-14"/>
          <w:sz w:val="20"/>
        </w:rPr>
        <w:t> </w:t>
      </w:r>
      <w:r>
        <w:rPr>
          <w:sz w:val="20"/>
        </w:rPr>
        <w:t>Programme</w:t>
      </w:r>
      <w:r>
        <w:rPr>
          <w:spacing w:val="-13"/>
          <w:sz w:val="20"/>
        </w:rPr>
        <w:t> </w:t>
      </w:r>
      <w:r>
        <w:rPr>
          <w:sz w:val="20"/>
        </w:rPr>
        <w:t>(Oct </w:t>
      </w:r>
      <w:r>
        <w:rPr>
          <w:spacing w:val="-4"/>
          <w:sz w:val="20"/>
        </w:rPr>
        <w:t>22).</w:t>
      </w:r>
    </w:p>
    <w:p>
      <w:pPr>
        <w:pStyle w:val="ListParagraph"/>
        <w:numPr>
          <w:ilvl w:val="0"/>
          <w:numId w:val="5"/>
        </w:numPr>
        <w:tabs>
          <w:tab w:pos="1572" w:val="left" w:leader="none"/>
        </w:tabs>
        <w:spacing w:line="240" w:lineRule="auto" w:before="10" w:after="0"/>
        <w:ind w:left="1572" w:right="0" w:hanging="360"/>
        <w:jc w:val="left"/>
        <w:rPr>
          <w:sz w:val="20"/>
        </w:rPr>
      </w:pPr>
      <w:r>
        <w:rPr>
          <w:sz w:val="20"/>
        </w:rPr>
        <w:t>Attendance</w:t>
      </w:r>
      <w:r>
        <w:rPr>
          <w:spacing w:val="-8"/>
          <w:sz w:val="20"/>
        </w:rPr>
        <w:t> </w:t>
      </w:r>
      <w:r>
        <w:rPr>
          <w:sz w:val="20"/>
        </w:rPr>
        <w:t>at</w:t>
      </w:r>
      <w:r>
        <w:rPr>
          <w:spacing w:val="-5"/>
          <w:sz w:val="20"/>
        </w:rPr>
        <w:t> </w:t>
      </w:r>
      <w:r>
        <w:rPr>
          <w:sz w:val="20"/>
        </w:rPr>
        <w:t>the</w:t>
      </w:r>
      <w:r>
        <w:rPr>
          <w:spacing w:val="-5"/>
          <w:sz w:val="20"/>
        </w:rPr>
        <w:t> </w:t>
      </w:r>
      <w:r>
        <w:rPr>
          <w:sz w:val="20"/>
        </w:rPr>
        <w:t>AoC</w:t>
      </w:r>
      <w:r>
        <w:rPr>
          <w:spacing w:val="-7"/>
          <w:sz w:val="20"/>
        </w:rPr>
        <w:t> </w:t>
      </w:r>
      <w:r>
        <w:rPr>
          <w:sz w:val="20"/>
        </w:rPr>
        <w:t>Regional</w:t>
      </w:r>
      <w:r>
        <w:rPr>
          <w:spacing w:val="-8"/>
          <w:sz w:val="20"/>
        </w:rPr>
        <w:t> </w:t>
      </w:r>
      <w:r>
        <w:rPr>
          <w:sz w:val="20"/>
        </w:rPr>
        <w:t>Governance</w:t>
      </w:r>
      <w:r>
        <w:rPr>
          <w:spacing w:val="-6"/>
          <w:sz w:val="20"/>
        </w:rPr>
        <w:t> </w:t>
      </w:r>
      <w:r>
        <w:rPr>
          <w:spacing w:val="-2"/>
          <w:sz w:val="20"/>
        </w:rPr>
        <w:t>Conferences.</w:t>
      </w:r>
    </w:p>
    <w:p>
      <w:pPr>
        <w:pStyle w:val="ListParagraph"/>
        <w:numPr>
          <w:ilvl w:val="0"/>
          <w:numId w:val="5"/>
        </w:numPr>
        <w:tabs>
          <w:tab w:pos="1572" w:val="left" w:leader="none"/>
        </w:tabs>
        <w:spacing w:line="271" w:lineRule="auto" w:before="31" w:after="0"/>
        <w:ind w:left="1572" w:right="992" w:hanging="360"/>
        <w:jc w:val="left"/>
        <w:rPr>
          <w:sz w:val="20"/>
        </w:rPr>
      </w:pPr>
      <w:r>
        <w:rPr>
          <w:sz w:val="20"/>
        </w:rPr>
        <w:t>Attendance at a range of Webinar and Development sessions hosted by the AoC / ETF /</w:t>
      </w:r>
      <w:r>
        <w:rPr>
          <w:spacing w:val="40"/>
          <w:sz w:val="20"/>
        </w:rPr>
        <w:t> </w:t>
      </w:r>
      <w:r>
        <w:rPr>
          <w:sz w:val="20"/>
        </w:rPr>
        <w:t>CGI / GGI.</w:t>
      </w:r>
    </w:p>
    <w:p>
      <w:pPr>
        <w:pStyle w:val="ListParagraph"/>
        <w:numPr>
          <w:ilvl w:val="0"/>
          <w:numId w:val="5"/>
        </w:numPr>
        <w:tabs>
          <w:tab w:pos="1571" w:val="left" w:leader="none"/>
        </w:tabs>
        <w:spacing w:line="240" w:lineRule="auto" w:before="6" w:after="0"/>
        <w:ind w:left="1571" w:right="0" w:hanging="359"/>
        <w:jc w:val="both"/>
        <w:rPr>
          <w:sz w:val="20"/>
        </w:rPr>
      </w:pPr>
      <w:r>
        <w:rPr>
          <w:sz w:val="20"/>
        </w:rPr>
        <w:t>Attendance</w:t>
      </w:r>
      <w:r>
        <w:rPr>
          <w:spacing w:val="-9"/>
          <w:sz w:val="20"/>
        </w:rPr>
        <w:t> </w:t>
      </w:r>
      <w:r>
        <w:rPr>
          <w:sz w:val="20"/>
        </w:rPr>
        <w:t>at</w:t>
      </w:r>
      <w:r>
        <w:rPr>
          <w:spacing w:val="-6"/>
          <w:sz w:val="20"/>
        </w:rPr>
        <w:t> </w:t>
      </w:r>
      <w:r>
        <w:rPr>
          <w:sz w:val="20"/>
        </w:rPr>
        <w:t>the</w:t>
      </w:r>
      <w:r>
        <w:rPr>
          <w:spacing w:val="-7"/>
          <w:sz w:val="20"/>
        </w:rPr>
        <w:t> </w:t>
      </w:r>
      <w:r>
        <w:rPr>
          <w:sz w:val="20"/>
        </w:rPr>
        <w:t>AoC</w:t>
      </w:r>
      <w:r>
        <w:rPr>
          <w:spacing w:val="-8"/>
          <w:sz w:val="20"/>
        </w:rPr>
        <w:t> </w:t>
      </w:r>
      <w:r>
        <w:rPr>
          <w:sz w:val="20"/>
        </w:rPr>
        <w:t>Governance</w:t>
      </w:r>
      <w:r>
        <w:rPr>
          <w:spacing w:val="-7"/>
          <w:sz w:val="20"/>
        </w:rPr>
        <w:t> </w:t>
      </w:r>
      <w:r>
        <w:rPr>
          <w:sz w:val="20"/>
        </w:rPr>
        <w:t>Professionals</w:t>
      </w:r>
      <w:r>
        <w:rPr>
          <w:spacing w:val="-7"/>
          <w:sz w:val="20"/>
        </w:rPr>
        <w:t> </w:t>
      </w:r>
      <w:r>
        <w:rPr>
          <w:sz w:val="20"/>
        </w:rPr>
        <w:t>Conference</w:t>
      </w:r>
      <w:r>
        <w:rPr>
          <w:spacing w:val="-7"/>
          <w:sz w:val="20"/>
        </w:rPr>
        <w:t> </w:t>
      </w:r>
      <w:r>
        <w:rPr>
          <w:sz w:val="20"/>
        </w:rPr>
        <w:t>in</w:t>
      </w:r>
      <w:r>
        <w:rPr>
          <w:spacing w:val="-8"/>
          <w:sz w:val="20"/>
        </w:rPr>
        <w:t> </w:t>
      </w:r>
      <w:r>
        <w:rPr>
          <w:sz w:val="20"/>
        </w:rPr>
        <w:t>January</w:t>
      </w:r>
      <w:r>
        <w:rPr>
          <w:spacing w:val="-8"/>
          <w:sz w:val="20"/>
        </w:rPr>
        <w:t> </w:t>
      </w:r>
      <w:r>
        <w:rPr>
          <w:spacing w:val="-2"/>
          <w:sz w:val="20"/>
        </w:rPr>
        <w:t>2023.</w:t>
      </w:r>
    </w:p>
    <w:p>
      <w:pPr>
        <w:pStyle w:val="ListParagraph"/>
        <w:numPr>
          <w:ilvl w:val="0"/>
          <w:numId w:val="5"/>
        </w:numPr>
        <w:tabs>
          <w:tab w:pos="1571" w:val="left" w:leader="none"/>
        </w:tabs>
        <w:spacing w:line="273" w:lineRule="auto" w:before="33" w:after="0"/>
        <w:ind w:left="1571" w:right="991" w:hanging="360"/>
        <w:jc w:val="both"/>
        <w:rPr>
          <w:sz w:val="20"/>
        </w:rPr>
      </w:pPr>
      <w:r>
        <w:rPr>
          <w:sz w:val="20"/>
        </w:rPr>
        <w:t>Attendance at the FE Commissioner Active Support Programme: Commissioned by the Further Education Commissioner and sponsored by the DfE - Just One Thing ‘Class of </w:t>
      </w:r>
      <w:r>
        <w:rPr>
          <w:spacing w:val="-2"/>
          <w:sz w:val="20"/>
        </w:rPr>
        <w:t>22/23’.</w:t>
      </w:r>
    </w:p>
    <w:p>
      <w:pPr>
        <w:pStyle w:val="ListParagraph"/>
        <w:numPr>
          <w:ilvl w:val="0"/>
          <w:numId w:val="5"/>
        </w:numPr>
        <w:tabs>
          <w:tab w:pos="1571" w:val="left" w:leader="none"/>
        </w:tabs>
        <w:spacing w:line="271" w:lineRule="auto" w:before="3" w:after="0"/>
        <w:ind w:left="1571" w:right="991" w:hanging="360"/>
        <w:jc w:val="both"/>
        <w:rPr>
          <w:sz w:val="20"/>
        </w:rPr>
      </w:pPr>
      <w:r>
        <w:rPr>
          <w:sz w:val="20"/>
        </w:rPr>
        <w:t>Completion of the Level 5 Award for Governance Professionals in Further Education awarded by the Institute of Directors</w:t>
      </w:r>
      <w:r>
        <w:rPr>
          <w:spacing w:val="40"/>
          <w:sz w:val="20"/>
        </w:rPr>
        <w:t> </w:t>
      </w:r>
      <w:r>
        <w:rPr>
          <w:sz w:val="20"/>
        </w:rPr>
        <w:t>- Exam (April 2023).</w:t>
      </w:r>
    </w:p>
    <w:p>
      <w:pPr>
        <w:pStyle w:val="Heading3"/>
        <w:spacing w:before="206"/>
        <w:jc w:val="both"/>
      </w:pPr>
      <w:r>
        <w:rPr/>
        <w:t>Internal</w:t>
      </w:r>
      <w:r>
        <w:rPr>
          <w:spacing w:val="-2"/>
        </w:rPr>
        <w:t> control</w:t>
      </w:r>
    </w:p>
    <w:p>
      <w:pPr>
        <w:pStyle w:val="Heading6"/>
        <w:spacing w:before="227"/>
      </w:pPr>
      <w:r>
        <w:rPr/>
        <w:t>Scope</w:t>
      </w:r>
      <w:r>
        <w:rPr>
          <w:spacing w:val="-6"/>
        </w:rPr>
        <w:t> </w:t>
      </w:r>
      <w:r>
        <w:rPr/>
        <w:t>of</w:t>
      </w:r>
      <w:r>
        <w:rPr>
          <w:spacing w:val="-3"/>
        </w:rPr>
        <w:t> </w:t>
      </w:r>
      <w:r>
        <w:rPr>
          <w:spacing w:val="-2"/>
        </w:rPr>
        <w:t>responsibility</w:t>
      </w:r>
    </w:p>
    <w:p>
      <w:pPr>
        <w:pStyle w:val="BodyText"/>
        <w:spacing w:before="1"/>
        <w:rPr>
          <w:b/>
        </w:rPr>
      </w:pPr>
    </w:p>
    <w:p>
      <w:pPr>
        <w:pStyle w:val="BodyText"/>
        <w:ind w:left="852" w:right="990"/>
        <w:jc w:val="both"/>
      </w:pPr>
      <w:r>
        <w:rPr>
          <w:spacing w:val="-2"/>
        </w:rPr>
        <w:t>The</w:t>
      </w:r>
      <w:r>
        <w:rPr>
          <w:spacing w:val="-7"/>
        </w:rPr>
        <w:t> </w:t>
      </w:r>
      <w:r>
        <w:rPr>
          <w:spacing w:val="-2"/>
        </w:rPr>
        <w:t>Corporation</w:t>
      </w:r>
      <w:r>
        <w:rPr>
          <w:spacing w:val="-3"/>
        </w:rPr>
        <w:t> </w:t>
      </w:r>
      <w:r>
        <w:rPr>
          <w:spacing w:val="-2"/>
        </w:rPr>
        <w:t>is ultimately</w:t>
      </w:r>
      <w:r>
        <w:rPr>
          <w:spacing w:val="-4"/>
        </w:rPr>
        <w:t> </w:t>
      </w:r>
      <w:r>
        <w:rPr>
          <w:spacing w:val="-2"/>
        </w:rPr>
        <w:t>responsible</w:t>
      </w:r>
      <w:r>
        <w:rPr>
          <w:spacing w:val="-3"/>
        </w:rPr>
        <w:t> </w:t>
      </w:r>
      <w:r>
        <w:rPr>
          <w:spacing w:val="-2"/>
        </w:rPr>
        <w:t>for</w:t>
      </w:r>
      <w:r>
        <w:rPr>
          <w:spacing w:val="-4"/>
        </w:rPr>
        <w:t> </w:t>
      </w:r>
      <w:r>
        <w:rPr>
          <w:spacing w:val="-2"/>
        </w:rPr>
        <w:t>the</w:t>
      </w:r>
      <w:r>
        <w:rPr>
          <w:spacing w:val="-3"/>
        </w:rPr>
        <w:t> </w:t>
      </w:r>
      <w:r>
        <w:rPr>
          <w:spacing w:val="-2"/>
        </w:rPr>
        <w:t>College’s</w:t>
      </w:r>
      <w:r>
        <w:rPr>
          <w:spacing w:val="-4"/>
        </w:rPr>
        <w:t> </w:t>
      </w:r>
      <w:r>
        <w:rPr>
          <w:spacing w:val="-2"/>
        </w:rPr>
        <w:t>system</w:t>
      </w:r>
      <w:r>
        <w:rPr>
          <w:spacing w:val="-3"/>
        </w:rPr>
        <w:t> </w:t>
      </w:r>
      <w:r>
        <w:rPr>
          <w:spacing w:val="-2"/>
        </w:rPr>
        <w:t>of</w:t>
      </w:r>
      <w:r>
        <w:rPr>
          <w:spacing w:val="-3"/>
        </w:rPr>
        <w:t> </w:t>
      </w:r>
      <w:r>
        <w:rPr>
          <w:spacing w:val="-2"/>
        </w:rPr>
        <w:t>internal</w:t>
      </w:r>
      <w:r>
        <w:rPr>
          <w:spacing w:val="-4"/>
        </w:rPr>
        <w:t> </w:t>
      </w:r>
      <w:r>
        <w:rPr>
          <w:spacing w:val="-2"/>
        </w:rPr>
        <w:t>control</w:t>
      </w:r>
      <w:r>
        <w:rPr>
          <w:spacing w:val="-7"/>
        </w:rPr>
        <w:t> </w:t>
      </w:r>
      <w:r>
        <w:rPr>
          <w:spacing w:val="-2"/>
        </w:rPr>
        <w:t>and</w:t>
      </w:r>
      <w:r>
        <w:rPr>
          <w:spacing w:val="-7"/>
        </w:rPr>
        <w:t> </w:t>
      </w:r>
      <w:r>
        <w:rPr>
          <w:spacing w:val="-2"/>
        </w:rPr>
        <w:t>for</w:t>
      </w:r>
      <w:r>
        <w:rPr>
          <w:spacing w:val="-4"/>
        </w:rPr>
        <w:t> </w:t>
      </w:r>
      <w:r>
        <w:rPr>
          <w:spacing w:val="-2"/>
        </w:rPr>
        <w:t>reviewing </w:t>
      </w:r>
      <w:r>
        <w:rPr/>
        <w:t>its effectiveness. However, such a system is designed to manage rather than eliminate the risk of failure to achieve business objectives, and can provide only reasonable, not absolute, assurance against material misstatement or loss.</w:t>
      </w:r>
    </w:p>
    <w:p>
      <w:pPr>
        <w:pStyle w:val="BodyText"/>
      </w:pPr>
    </w:p>
    <w:p>
      <w:pPr>
        <w:pStyle w:val="BodyText"/>
        <w:ind w:left="852" w:right="991"/>
        <w:jc w:val="both"/>
      </w:pPr>
      <w:r>
        <w:rPr/>
        <w:t>The Corporation has delegated the day to day responsibility to the Chief Executive, as Accounting Officer, for maintaining a sound system of internal control that supports the achievement of the College’s policies, aims and objectives, whilst safeguarding the public funds and assets for which she is personally responsible, in accordance with the responsibilities assigned to her in the Conditions of Funding between Hull College and the Funding Body.</w:t>
      </w:r>
      <w:r>
        <w:rPr>
          <w:spacing w:val="40"/>
        </w:rPr>
        <w:t> </w:t>
      </w:r>
      <w:r>
        <w:rPr/>
        <w:t>She is also responsible for reporting to the Corporation any material weaknesses or breakdowns in internal control.</w:t>
      </w:r>
    </w:p>
    <w:p>
      <w:pPr>
        <w:pStyle w:val="BodyText"/>
        <w:spacing w:before="1"/>
      </w:pPr>
    </w:p>
    <w:p>
      <w:pPr>
        <w:pStyle w:val="Heading6"/>
      </w:pPr>
      <w:r>
        <w:rPr/>
        <w:t>The</w:t>
      </w:r>
      <w:r>
        <w:rPr>
          <w:spacing w:val="-7"/>
        </w:rPr>
        <w:t> </w:t>
      </w:r>
      <w:r>
        <w:rPr/>
        <w:t>purpose</w:t>
      </w:r>
      <w:r>
        <w:rPr>
          <w:spacing w:val="-7"/>
        </w:rPr>
        <w:t> </w:t>
      </w:r>
      <w:r>
        <w:rPr/>
        <w:t>of</w:t>
      </w:r>
      <w:r>
        <w:rPr>
          <w:spacing w:val="-5"/>
        </w:rPr>
        <w:t> </w:t>
      </w:r>
      <w:r>
        <w:rPr/>
        <w:t>the</w:t>
      </w:r>
      <w:r>
        <w:rPr>
          <w:spacing w:val="-5"/>
        </w:rPr>
        <w:t> </w:t>
      </w:r>
      <w:r>
        <w:rPr/>
        <w:t>system</w:t>
      </w:r>
      <w:r>
        <w:rPr>
          <w:spacing w:val="-5"/>
        </w:rPr>
        <w:t> </w:t>
      </w:r>
      <w:r>
        <w:rPr/>
        <w:t>of</w:t>
      </w:r>
      <w:r>
        <w:rPr>
          <w:spacing w:val="-6"/>
        </w:rPr>
        <w:t> </w:t>
      </w:r>
      <w:r>
        <w:rPr/>
        <w:t>internal</w:t>
      </w:r>
      <w:r>
        <w:rPr>
          <w:spacing w:val="-5"/>
        </w:rPr>
        <w:t> </w:t>
      </w:r>
      <w:r>
        <w:rPr>
          <w:spacing w:val="-2"/>
        </w:rPr>
        <w:t>control</w:t>
      </w:r>
    </w:p>
    <w:p>
      <w:pPr>
        <w:pStyle w:val="BodyText"/>
        <w:spacing w:before="1"/>
        <w:rPr>
          <w:b/>
        </w:rPr>
      </w:pPr>
    </w:p>
    <w:p>
      <w:pPr>
        <w:pStyle w:val="BodyText"/>
        <w:ind w:left="852" w:right="990"/>
        <w:jc w:val="both"/>
      </w:pPr>
      <w:r>
        <w:rPr/>
        <w:t>The system of internal control is designed to manage risk to a reasonable level rather than to eliminate all risk of failure to achieve policies, aims and objectives; it can therefore only provide reasonable and not absolute</w:t>
      </w:r>
      <w:r>
        <w:rPr>
          <w:spacing w:val="-2"/>
        </w:rPr>
        <w:t> </w:t>
      </w:r>
      <w:r>
        <w:rPr/>
        <w:t>assurance</w:t>
      </w:r>
      <w:r>
        <w:rPr>
          <w:spacing w:val="-2"/>
        </w:rPr>
        <w:t> </w:t>
      </w:r>
      <w:r>
        <w:rPr/>
        <w:t>of effectiveness.</w:t>
      </w:r>
      <w:r>
        <w:rPr>
          <w:spacing w:val="-2"/>
        </w:rPr>
        <w:t> </w:t>
      </w:r>
      <w:r>
        <w:rPr/>
        <w:t>The</w:t>
      </w:r>
      <w:r>
        <w:rPr>
          <w:spacing w:val="-1"/>
        </w:rPr>
        <w:t> </w:t>
      </w:r>
      <w:r>
        <w:rPr/>
        <w:t>system</w:t>
      </w:r>
      <w:r>
        <w:rPr>
          <w:spacing w:val="-2"/>
        </w:rPr>
        <w:t> </w:t>
      </w:r>
      <w:r>
        <w:rPr/>
        <w:t>of</w:t>
      </w:r>
      <w:r>
        <w:rPr>
          <w:spacing w:val="-2"/>
        </w:rPr>
        <w:t> </w:t>
      </w:r>
      <w:r>
        <w:rPr/>
        <w:t>internal</w:t>
      </w:r>
      <w:r>
        <w:rPr>
          <w:spacing w:val="-3"/>
        </w:rPr>
        <w:t> </w:t>
      </w:r>
      <w:r>
        <w:rPr/>
        <w:t>control is based on an on-going process designed to identify and prioritise the risks to the achievement of College policies, aims and</w:t>
      </w:r>
      <w:r>
        <w:rPr>
          <w:spacing w:val="-1"/>
        </w:rPr>
        <w:t> </w:t>
      </w:r>
      <w:r>
        <w:rPr/>
        <w:t>objectives,</w:t>
      </w:r>
      <w:r>
        <w:rPr>
          <w:spacing w:val="-1"/>
        </w:rPr>
        <w:t> </w:t>
      </w:r>
      <w:r>
        <w:rPr/>
        <w:t>to</w:t>
      </w:r>
      <w:r>
        <w:rPr>
          <w:spacing w:val="-1"/>
        </w:rPr>
        <w:t> </w:t>
      </w:r>
      <w:r>
        <w:rPr/>
        <w:t>evaluate</w:t>
      </w:r>
      <w:r>
        <w:rPr>
          <w:spacing w:val="-1"/>
        </w:rPr>
        <w:t> </w:t>
      </w:r>
      <w:r>
        <w:rPr/>
        <w:t>the likelihood of</w:t>
      </w:r>
      <w:r>
        <w:rPr>
          <w:spacing w:val="-1"/>
        </w:rPr>
        <w:t> </w:t>
      </w:r>
      <w:r>
        <w:rPr/>
        <w:t>those</w:t>
      </w:r>
      <w:r>
        <w:rPr>
          <w:spacing w:val="-1"/>
        </w:rPr>
        <w:t> </w:t>
      </w:r>
      <w:r>
        <w:rPr/>
        <w:t>risks being realised</w:t>
      </w:r>
      <w:r>
        <w:rPr>
          <w:spacing w:val="-1"/>
        </w:rPr>
        <w:t> </w:t>
      </w:r>
      <w:r>
        <w:rPr/>
        <w:t>and</w:t>
      </w:r>
      <w:r>
        <w:rPr>
          <w:spacing w:val="-1"/>
        </w:rPr>
        <w:t> </w:t>
      </w:r>
      <w:r>
        <w:rPr/>
        <w:t>the</w:t>
      </w:r>
      <w:r>
        <w:rPr>
          <w:spacing w:val="-1"/>
        </w:rPr>
        <w:t> </w:t>
      </w:r>
      <w:r>
        <w:rPr/>
        <w:t>impact should</w:t>
      </w:r>
      <w:r>
        <w:rPr>
          <w:spacing w:val="-9"/>
        </w:rPr>
        <w:t> </w:t>
      </w:r>
      <w:r>
        <w:rPr/>
        <w:t>they</w:t>
      </w:r>
      <w:r>
        <w:rPr>
          <w:spacing w:val="-7"/>
        </w:rPr>
        <w:t> </w:t>
      </w:r>
      <w:r>
        <w:rPr/>
        <w:t>be</w:t>
      </w:r>
      <w:r>
        <w:rPr>
          <w:spacing w:val="-9"/>
        </w:rPr>
        <w:t> </w:t>
      </w:r>
      <w:r>
        <w:rPr/>
        <w:t>realised,</w:t>
      </w:r>
      <w:r>
        <w:rPr>
          <w:spacing w:val="-9"/>
        </w:rPr>
        <w:t> </w:t>
      </w:r>
      <w:r>
        <w:rPr/>
        <w:t>and</w:t>
      </w:r>
      <w:r>
        <w:rPr>
          <w:spacing w:val="-9"/>
        </w:rPr>
        <w:t> </w:t>
      </w:r>
      <w:r>
        <w:rPr/>
        <w:t>to</w:t>
      </w:r>
      <w:r>
        <w:rPr>
          <w:spacing w:val="-9"/>
        </w:rPr>
        <w:t> </w:t>
      </w:r>
      <w:r>
        <w:rPr/>
        <w:t>manage</w:t>
      </w:r>
      <w:r>
        <w:rPr>
          <w:spacing w:val="-9"/>
        </w:rPr>
        <w:t> </w:t>
      </w:r>
      <w:r>
        <w:rPr/>
        <w:t>them</w:t>
      </w:r>
      <w:r>
        <w:rPr>
          <w:spacing w:val="-7"/>
        </w:rPr>
        <w:t> </w:t>
      </w:r>
      <w:r>
        <w:rPr/>
        <w:t>efficiently,</w:t>
      </w:r>
      <w:r>
        <w:rPr>
          <w:spacing w:val="-9"/>
        </w:rPr>
        <w:t> </w:t>
      </w:r>
      <w:r>
        <w:rPr/>
        <w:t>effectively</w:t>
      </w:r>
      <w:r>
        <w:rPr>
          <w:spacing w:val="-7"/>
        </w:rPr>
        <w:t> </w:t>
      </w:r>
      <w:r>
        <w:rPr/>
        <w:t>and</w:t>
      </w:r>
      <w:r>
        <w:rPr>
          <w:spacing w:val="-7"/>
        </w:rPr>
        <w:t> </w:t>
      </w:r>
      <w:r>
        <w:rPr/>
        <w:t>economically.</w:t>
      </w:r>
      <w:r>
        <w:rPr>
          <w:spacing w:val="-9"/>
        </w:rPr>
        <w:t> </w:t>
      </w:r>
      <w:r>
        <w:rPr/>
        <w:t>The</w:t>
      </w:r>
      <w:r>
        <w:rPr>
          <w:spacing w:val="-9"/>
        </w:rPr>
        <w:t> </w:t>
      </w:r>
      <w:r>
        <w:rPr/>
        <w:t>system</w:t>
      </w:r>
      <w:r>
        <w:rPr>
          <w:spacing w:val="-9"/>
        </w:rPr>
        <w:t> </w:t>
      </w:r>
      <w:r>
        <w:rPr/>
        <w:t>of internal</w:t>
      </w:r>
      <w:r>
        <w:rPr>
          <w:spacing w:val="-4"/>
        </w:rPr>
        <w:t> </w:t>
      </w:r>
      <w:r>
        <w:rPr/>
        <w:t>control</w:t>
      </w:r>
      <w:r>
        <w:rPr>
          <w:spacing w:val="-4"/>
        </w:rPr>
        <w:t> </w:t>
      </w:r>
      <w:r>
        <w:rPr/>
        <w:t>has</w:t>
      </w:r>
      <w:r>
        <w:rPr>
          <w:spacing w:val="-3"/>
        </w:rPr>
        <w:t> </w:t>
      </w:r>
      <w:r>
        <w:rPr/>
        <w:t>been</w:t>
      </w:r>
      <w:r>
        <w:rPr>
          <w:spacing w:val="-4"/>
        </w:rPr>
        <w:t> </w:t>
      </w:r>
      <w:r>
        <w:rPr/>
        <w:t>in</w:t>
      </w:r>
      <w:r>
        <w:rPr>
          <w:spacing w:val="-2"/>
        </w:rPr>
        <w:t> </w:t>
      </w:r>
      <w:r>
        <w:rPr/>
        <w:t>place</w:t>
      </w:r>
      <w:r>
        <w:rPr>
          <w:spacing w:val="-4"/>
        </w:rPr>
        <w:t> </w:t>
      </w:r>
      <w:r>
        <w:rPr/>
        <w:t>in</w:t>
      </w:r>
      <w:r>
        <w:rPr>
          <w:spacing w:val="-6"/>
        </w:rPr>
        <w:t> </w:t>
      </w:r>
      <w:r>
        <w:rPr/>
        <w:t>Hull</w:t>
      </w:r>
      <w:r>
        <w:rPr>
          <w:spacing w:val="-6"/>
        </w:rPr>
        <w:t> </w:t>
      </w:r>
      <w:r>
        <w:rPr/>
        <w:t>College</w:t>
      </w:r>
      <w:r>
        <w:rPr>
          <w:spacing w:val="-4"/>
        </w:rPr>
        <w:t> </w:t>
      </w:r>
      <w:r>
        <w:rPr/>
        <w:t>for</w:t>
      </w:r>
      <w:r>
        <w:rPr>
          <w:spacing w:val="-4"/>
        </w:rPr>
        <w:t> </w:t>
      </w:r>
      <w:r>
        <w:rPr/>
        <w:t>the</w:t>
      </w:r>
      <w:r>
        <w:rPr>
          <w:spacing w:val="-4"/>
        </w:rPr>
        <w:t> </w:t>
      </w:r>
      <w:r>
        <w:rPr/>
        <w:t>year</w:t>
      </w:r>
      <w:r>
        <w:rPr>
          <w:spacing w:val="-3"/>
        </w:rPr>
        <w:t> </w:t>
      </w:r>
      <w:r>
        <w:rPr/>
        <w:t>ended</w:t>
      </w:r>
      <w:r>
        <w:rPr>
          <w:spacing w:val="-4"/>
        </w:rPr>
        <w:t> </w:t>
      </w:r>
      <w:r>
        <w:rPr/>
        <w:t>31</w:t>
      </w:r>
      <w:r>
        <w:rPr>
          <w:spacing w:val="-4"/>
        </w:rPr>
        <w:t> </w:t>
      </w:r>
      <w:r>
        <w:rPr/>
        <w:t>July</w:t>
      </w:r>
      <w:r>
        <w:rPr>
          <w:spacing w:val="-3"/>
        </w:rPr>
        <w:t> </w:t>
      </w:r>
      <w:r>
        <w:rPr/>
        <w:t>2023</w:t>
      </w:r>
      <w:r>
        <w:rPr>
          <w:spacing w:val="-3"/>
        </w:rPr>
        <w:t> </w:t>
      </w:r>
      <w:r>
        <w:rPr/>
        <w:t>and</w:t>
      </w:r>
      <w:r>
        <w:rPr>
          <w:spacing w:val="-4"/>
        </w:rPr>
        <w:t> </w:t>
      </w:r>
      <w:r>
        <w:rPr/>
        <w:t>up</w:t>
      </w:r>
      <w:r>
        <w:rPr>
          <w:spacing w:val="-4"/>
        </w:rPr>
        <w:t> </w:t>
      </w:r>
      <w:r>
        <w:rPr/>
        <w:t>to</w:t>
      </w:r>
      <w:r>
        <w:rPr>
          <w:spacing w:val="-4"/>
        </w:rPr>
        <w:t> </w:t>
      </w:r>
      <w:r>
        <w:rPr/>
        <w:t>the</w:t>
      </w:r>
      <w:r>
        <w:rPr>
          <w:spacing w:val="-4"/>
        </w:rPr>
        <w:t> </w:t>
      </w:r>
      <w:r>
        <w:rPr/>
        <w:t>date of approval of the annual report and financial statements.</w:t>
      </w:r>
    </w:p>
    <w:p>
      <w:pPr>
        <w:pStyle w:val="BodyText"/>
        <w:spacing w:before="4"/>
        <w:rPr>
          <w:sz w:val="8"/>
        </w:rPr>
      </w:pPr>
      <w:r>
        <w:rPr>
          <w:sz w:val="8"/>
        </w:rPr>
        <mc:AlternateContent>
          <mc:Choice Requires="wps">
            <w:drawing>
              <wp:anchor distT="0" distB="0" distL="0" distR="0" allowOverlap="1" layoutInCell="1" locked="0" behindDoc="1" simplePos="0" relativeHeight="487590912">
                <wp:simplePos x="0" y="0"/>
                <wp:positionH relativeFrom="page">
                  <wp:posOffset>882396</wp:posOffset>
                </wp:positionH>
                <wp:positionV relativeFrom="paragraph">
                  <wp:posOffset>76195</wp:posOffset>
                </wp:positionV>
                <wp:extent cx="5617845" cy="635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617845" cy="6350"/>
                        </a:xfrm>
                        <a:custGeom>
                          <a:avLst/>
                          <a:gdLst/>
                          <a:ahLst/>
                          <a:cxnLst/>
                          <a:rect l="l" t="t" r="r" b="b"/>
                          <a:pathLst>
                            <a:path w="5617845" h="6350">
                              <a:moveTo>
                                <a:pt x="5617464" y="0"/>
                              </a:moveTo>
                              <a:lnTo>
                                <a:pt x="0" y="0"/>
                              </a:lnTo>
                              <a:lnTo>
                                <a:pt x="0" y="6108"/>
                              </a:lnTo>
                              <a:lnTo>
                                <a:pt x="5617464" y="6108"/>
                              </a:lnTo>
                              <a:lnTo>
                                <a:pt x="5617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5.999609pt;width:442.32pt;height:.481pt;mso-position-horizontal-relative:page;mso-position-vertical-relative:paragraph;z-index:-15725568;mso-wrap-distance-left:0;mso-wrap-distance-right:0" id="docshape30" filled="true" fillcolor="#000000" stroked="false">
                <v:fill type="solid"/>
                <w10:wrap type="topAndBottom"/>
              </v:rect>
            </w:pict>
          </mc:Fallback>
        </mc:AlternateContent>
      </w:r>
    </w:p>
    <w:p>
      <w:pPr>
        <w:pStyle w:val="BodyText"/>
        <w:spacing w:after="0"/>
        <w:rPr>
          <w:sz w:val="8"/>
        </w:rPr>
        <w:sectPr>
          <w:headerReference w:type="default" r:id="rId19"/>
          <w:footerReference w:type="default" r:id="rId20"/>
          <w:pgSz w:w="11910" w:h="16850"/>
          <w:pgMar w:header="727" w:footer="583" w:top="1520" w:bottom="78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rPr>
          <w:b/>
          <w:sz w:val="24"/>
        </w:rPr>
      </w:pPr>
    </w:p>
    <w:p>
      <w:pPr>
        <w:spacing w:before="0"/>
        <w:ind w:left="852" w:right="0" w:firstLine="0"/>
        <w:jc w:val="both"/>
        <w:rPr>
          <w:b/>
          <w:sz w:val="24"/>
        </w:rPr>
      </w:pPr>
      <w:r>
        <w:rPr>
          <w:b/>
          <w:sz w:val="24"/>
        </w:rPr>
        <w:t>Internal</w:t>
      </w:r>
      <w:r>
        <w:rPr>
          <w:b/>
          <w:spacing w:val="-3"/>
          <w:sz w:val="24"/>
        </w:rPr>
        <w:t> </w:t>
      </w:r>
      <w:r>
        <w:rPr>
          <w:b/>
          <w:sz w:val="24"/>
        </w:rPr>
        <w:t>control</w:t>
      </w:r>
      <w:r>
        <w:rPr>
          <w:b/>
          <w:spacing w:val="-2"/>
          <w:sz w:val="24"/>
        </w:rPr>
        <w:t> (continued)</w:t>
      </w:r>
    </w:p>
    <w:p>
      <w:pPr>
        <w:pStyle w:val="Heading6"/>
        <w:spacing w:before="230"/>
      </w:pPr>
      <w:r>
        <w:rPr/>
        <w:t>Capacity</w:t>
      </w:r>
      <w:r>
        <w:rPr>
          <w:spacing w:val="-7"/>
        </w:rPr>
        <w:t> </w:t>
      </w:r>
      <w:r>
        <w:rPr/>
        <w:t>to</w:t>
      </w:r>
      <w:r>
        <w:rPr>
          <w:spacing w:val="-8"/>
        </w:rPr>
        <w:t> </w:t>
      </w:r>
      <w:r>
        <w:rPr/>
        <w:t>handle</w:t>
      </w:r>
      <w:r>
        <w:rPr>
          <w:spacing w:val="-6"/>
        </w:rPr>
        <w:t> </w:t>
      </w:r>
      <w:r>
        <w:rPr>
          <w:spacing w:val="-4"/>
        </w:rPr>
        <w:t>risk</w:t>
      </w:r>
    </w:p>
    <w:p>
      <w:pPr>
        <w:pStyle w:val="BodyText"/>
        <w:spacing w:before="1"/>
        <w:rPr>
          <w:b/>
        </w:rPr>
      </w:pPr>
    </w:p>
    <w:p>
      <w:pPr>
        <w:pStyle w:val="BodyText"/>
        <w:ind w:left="852" w:right="1084"/>
        <w:jc w:val="both"/>
      </w:pPr>
      <w:r>
        <w:rPr/>
        <w:t>The Corporation has reviewed the key risks to which the College is exposed, together with the operating, financial and compliance controls and arrangements for compliance with legal and regulatory</w:t>
      </w:r>
      <w:r>
        <w:rPr>
          <w:spacing w:val="-11"/>
        </w:rPr>
        <w:t> </w:t>
      </w:r>
      <w:r>
        <w:rPr/>
        <w:t>matters</w:t>
      </w:r>
      <w:r>
        <w:rPr>
          <w:spacing w:val="-11"/>
        </w:rPr>
        <w:t> </w:t>
      </w:r>
      <w:r>
        <w:rPr/>
        <w:t>including</w:t>
      </w:r>
      <w:r>
        <w:rPr>
          <w:spacing w:val="-10"/>
        </w:rPr>
        <w:t> </w:t>
      </w:r>
      <w:r>
        <w:rPr/>
        <w:t>those</w:t>
      </w:r>
      <w:r>
        <w:rPr>
          <w:spacing w:val="-11"/>
        </w:rPr>
        <w:t> </w:t>
      </w:r>
      <w:r>
        <w:rPr/>
        <w:t>relating</w:t>
      </w:r>
      <w:r>
        <w:rPr>
          <w:spacing w:val="-11"/>
        </w:rPr>
        <w:t> </w:t>
      </w:r>
      <w:r>
        <w:rPr/>
        <w:t>to</w:t>
      </w:r>
      <w:r>
        <w:rPr>
          <w:spacing w:val="-11"/>
        </w:rPr>
        <w:t> </w:t>
      </w:r>
      <w:r>
        <w:rPr/>
        <w:t>the</w:t>
      </w:r>
      <w:r>
        <w:rPr>
          <w:spacing w:val="-11"/>
        </w:rPr>
        <w:t> </w:t>
      </w:r>
      <w:r>
        <w:rPr/>
        <w:t>regularity</w:t>
      </w:r>
      <w:r>
        <w:rPr>
          <w:spacing w:val="-11"/>
        </w:rPr>
        <w:t> </w:t>
      </w:r>
      <w:r>
        <w:rPr/>
        <w:t>and</w:t>
      </w:r>
      <w:r>
        <w:rPr>
          <w:spacing w:val="-11"/>
        </w:rPr>
        <w:t> </w:t>
      </w:r>
      <w:r>
        <w:rPr/>
        <w:t>propriety</w:t>
      </w:r>
      <w:r>
        <w:rPr>
          <w:spacing w:val="-11"/>
        </w:rPr>
        <w:t> </w:t>
      </w:r>
      <w:r>
        <w:rPr/>
        <w:t>of</w:t>
      </w:r>
      <w:r>
        <w:rPr>
          <w:spacing w:val="-11"/>
        </w:rPr>
        <w:t> </w:t>
      </w:r>
      <w:r>
        <w:rPr/>
        <w:t>the</w:t>
      </w:r>
      <w:r>
        <w:rPr>
          <w:spacing w:val="-11"/>
        </w:rPr>
        <w:t> </w:t>
      </w:r>
      <w:r>
        <w:rPr/>
        <w:t>use</w:t>
      </w:r>
      <w:r>
        <w:rPr>
          <w:spacing w:val="-10"/>
        </w:rPr>
        <w:t> </w:t>
      </w:r>
      <w:r>
        <w:rPr/>
        <w:t>of</w:t>
      </w:r>
      <w:r>
        <w:rPr>
          <w:spacing w:val="-11"/>
        </w:rPr>
        <w:t> </w:t>
      </w:r>
      <w:r>
        <w:rPr/>
        <w:t>public</w:t>
      </w:r>
      <w:r>
        <w:rPr>
          <w:spacing w:val="-11"/>
        </w:rPr>
        <w:t> </w:t>
      </w:r>
      <w:r>
        <w:rPr/>
        <w:t>funding that have been implemented to mitigate those risks.</w:t>
      </w:r>
    </w:p>
    <w:p>
      <w:pPr>
        <w:pStyle w:val="BodyText"/>
      </w:pPr>
    </w:p>
    <w:p>
      <w:pPr>
        <w:pStyle w:val="BodyText"/>
        <w:ind w:left="852" w:right="1086"/>
        <w:jc w:val="both"/>
      </w:pPr>
      <w:r>
        <w:rPr/>
        <w:t>The</w:t>
      </w:r>
      <w:r>
        <w:rPr>
          <w:spacing w:val="-9"/>
        </w:rPr>
        <w:t> </w:t>
      </w:r>
      <w:r>
        <w:rPr/>
        <w:t>Corporation</w:t>
      </w:r>
      <w:r>
        <w:rPr>
          <w:spacing w:val="-9"/>
        </w:rPr>
        <w:t> </w:t>
      </w:r>
      <w:r>
        <w:rPr/>
        <w:t>is</w:t>
      </w:r>
      <w:r>
        <w:rPr>
          <w:spacing w:val="-7"/>
        </w:rPr>
        <w:t> </w:t>
      </w:r>
      <w:r>
        <w:rPr/>
        <w:t>of</w:t>
      </w:r>
      <w:r>
        <w:rPr>
          <w:spacing w:val="-9"/>
        </w:rPr>
        <w:t> </w:t>
      </w:r>
      <w:r>
        <w:rPr/>
        <w:t>the</w:t>
      </w:r>
      <w:r>
        <w:rPr>
          <w:spacing w:val="-9"/>
        </w:rPr>
        <w:t> </w:t>
      </w:r>
      <w:r>
        <w:rPr/>
        <w:t>view</w:t>
      </w:r>
      <w:r>
        <w:rPr>
          <w:spacing w:val="-9"/>
        </w:rPr>
        <w:t> </w:t>
      </w:r>
      <w:r>
        <w:rPr/>
        <w:t>that</w:t>
      </w:r>
      <w:r>
        <w:rPr>
          <w:spacing w:val="-9"/>
        </w:rPr>
        <w:t> </w:t>
      </w:r>
      <w:r>
        <w:rPr/>
        <w:t>there</w:t>
      </w:r>
      <w:r>
        <w:rPr>
          <w:spacing w:val="-9"/>
        </w:rPr>
        <w:t> </w:t>
      </w:r>
      <w:r>
        <w:rPr/>
        <w:t>is</w:t>
      </w:r>
      <w:r>
        <w:rPr>
          <w:spacing w:val="-7"/>
        </w:rPr>
        <w:t> </w:t>
      </w:r>
      <w:r>
        <w:rPr/>
        <w:t>a</w:t>
      </w:r>
      <w:r>
        <w:rPr>
          <w:spacing w:val="-9"/>
        </w:rPr>
        <w:t> </w:t>
      </w:r>
      <w:r>
        <w:rPr/>
        <w:t>formal</w:t>
      </w:r>
      <w:r>
        <w:rPr>
          <w:spacing w:val="-10"/>
        </w:rPr>
        <w:t> </w:t>
      </w:r>
      <w:r>
        <w:rPr/>
        <w:t>on-going</w:t>
      </w:r>
      <w:r>
        <w:rPr>
          <w:spacing w:val="-9"/>
        </w:rPr>
        <w:t> </w:t>
      </w:r>
      <w:r>
        <w:rPr/>
        <w:t>process</w:t>
      </w:r>
      <w:r>
        <w:rPr>
          <w:spacing w:val="-7"/>
        </w:rPr>
        <w:t> </w:t>
      </w:r>
      <w:r>
        <w:rPr/>
        <w:t>for</w:t>
      </w:r>
      <w:r>
        <w:rPr>
          <w:spacing w:val="-8"/>
        </w:rPr>
        <w:t> </w:t>
      </w:r>
      <w:r>
        <w:rPr/>
        <w:t>identifying,</w:t>
      </w:r>
      <w:r>
        <w:rPr>
          <w:spacing w:val="-9"/>
        </w:rPr>
        <w:t> </w:t>
      </w:r>
      <w:r>
        <w:rPr/>
        <w:t>evaluating</w:t>
      </w:r>
      <w:r>
        <w:rPr>
          <w:spacing w:val="-9"/>
        </w:rPr>
        <w:t> </w:t>
      </w:r>
      <w:r>
        <w:rPr/>
        <w:t>and managing the College’s significant risks that has been in place for the period ending 31 July 2023 </w:t>
      </w:r>
      <w:r>
        <w:rPr>
          <w:spacing w:val="-2"/>
        </w:rPr>
        <w:t>and</w:t>
      </w:r>
      <w:r>
        <w:rPr>
          <w:spacing w:val="-5"/>
        </w:rPr>
        <w:t> </w:t>
      </w:r>
      <w:r>
        <w:rPr>
          <w:spacing w:val="-2"/>
        </w:rPr>
        <w:t>up</w:t>
      </w:r>
      <w:r>
        <w:rPr>
          <w:spacing w:val="-5"/>
        </w:rPr>
        <w:t> </w:t>
      </w:r>
      <w:r>
        <w:rPr>
          <w:spacing w:val="-2"/>
        </w:rPr>
        <w:t>to</w:t>
      </w:r>
      <w:r>
        <w:rPr>
          <w:spacing w:val="-5"/>
        </w:rPr>
        <w:t> </w:t>
      </w:r>
      <w:r>
        <w:rPr>
          <w:spacing w:val="-2"/>
        </w:rPr>
        <w:t>the</w:t>
      </w:r>
      <w:r>
        <w:rPr>
          <w:spacing w:val="-5"/>
        </w:rPr>
        <w:t> </w:t>
      </w:r>
      <w:r>
        <w:rPr>
          <w:spacing w:val="-2"/>
        </w:rPr>
        <w:t>date</w:t>
      </w:r>
      <w:r>
        <w:rPr>
          <w:spacing w:val="-5"/>
        </w:rPr>
        <w:t> </w:t>
      </w:r>
      <w:r>
        <w:rPr>
          <w:spacing w:val="-2"/>
        </w:rPr>
        <w:t>of</w:t>
      </w:r>
      <w:r>
        <w:rPr>
          <w:spacing w:val="-8"/>
        </w:rPr>
        <w:t> </w:t>
      </w:r>
      <w:r>
        <w:rPr>
          <w:spacing w:val="-2"/>
        </w:rPr>
        <w:t>approval</w:t>
      </w:r>
      <w:r>
        <w:rPr>
          <w:spacing w:val="-6"/>
        </w:rPr>
        <w:t> </w:t>
      </w:r>
      <w:r>
        <w:rPr>
          <w:spacing w:val="-2"/>
        </w:rPr>
        <w:t>of</w:t>
      </w:r>
      <w:r>
        <w:rPr>
          <w:spacing w:val="-8"/>
        </w:rPr>
        <w:t> </w:t>
      </w:r>
      <w:r>
        <w:rPr>
          <w:spacing w:val="-2"/>
        </w:rPr>
        <w:t>the</w:t>
      </w:r>
      <w:r>
        <w:rPr>
          <w:spacing w:val="-5"/>
        </w:rPr>
        <w:t> </w:t>
      </w:r>
      <w:r>
        <w:rPr>
          <w:spacing w:val="-2"/>
        </w:rPr>
        <w:t>annual</w:t>
      </w:r>
      <w:r>
        <w:rPr>
          <w:spacing w:val="-9"/>
        </w:rPr>
        <w:t> </w:t>
      </w:r>
      <w:r>
        <w:rPr>
          <w:spacing w:val="-2"/>
        </w:rPr>
        <w:t>report</w:t>
      </w:r>
      <w:r>
        <w:rPr>
          <w:spacing w:val="-8"/>
        </w:rPr>
        <w:t> </w:t>
      </w:r>
      <w:r>
        <w:rPr>
          <w:spacing w:val="-2"/>
        </w:rPr>
        <w:t>and</w:t>
      </w:r>
      <w:r>
        <w:rPr>
          <w:spacing w:val="-5"/>
        </w:rPr>
        <w:t> </w:t>
      </w:r>
      <w:r>
        <w:rPr>
          <w:spacing w:val="-2"/>
        </w:rPr>
        <w:t>financial</w:t>
      </w:r>
      <w:r>
        <w:rPr>
          <w:spacing w:val="-9"/>
        </w:rPr>
        <w:t> </w:t>
      </w:r>
      <w:r>
        <w:rPr>
          <w:spacing w:val="-2"/>
        </w:rPr>
        <w:t>statements.</w:t>
      </w:r>
      <w:r>
        <w:rPr>
          <w:spacing w:val="-5"/>
        </w:rPr>
        <w:t> </w:t>
      </w:r>
      <w:r>
        <w:rPr>
          <w:spacing w:val="-2"/>
        </w:rPr>
        <w:t>This</w:t>
      </w:r>
      <w:r>
        <w:rPr>
          <w:spacing w:val="-4"/>
        </w:rPr>
        <w:t> </w:t>
      </w:r>
      <w:r>
        <w:rPr>
          <w:spacing w:val="-2"/>
        </w:rPr>
        <w:t>process</w:t>
      </w:r>
      <w:r>
        <w:rPr>
          <w:spacing w:val="-6"/>
        </w:rPr>
        <w:t> </w:t>
      </w:r>
      <w:r>
        <w:rPr>
          <w:spacing w:val="-2"/>
        </w:rPr>
        <w:t>is</w:t>
      </w:r>
      <w:r>
        <w:rPr>
          <w:spacing w:val="-6"/>
        </w:rPr>
        <w:t> </w:t>
      </w:r>
      <w:r>
        <w:rPr>
          <w:spacing w:val="-2"/>
        </w:rPr>
        <w:t>regularly </w:t>
      </w:r>
      <w:r>
        <w:rPr/>
        <w:t>reviewed by the Corporations.</w:t>
      </w:r>
    </w:p>
    <w:p>
      <w:pPr>
        <w:pStyle w:val="BodyText"/>
      </w:pPr>
    </w:p>
    <w:p>
      <w:pPr>
        <w:pStyle w:val="Heading6"/>
      </w:pPr>
      <w:r>
        <w:rPr/>
        <w:t>Responsibilities</w:t>
      </w:r>
      <w:r>
        <w:rPr>
          <w:spacing w:val="-12"/>
        </w:rPr>
        <w:t> </w:t>
      </w:r>
      <w:r>
        <w:rPr/>
        <w:t>under</w:t>
      </w:r>
      <w:r>
        <w:rPr>
          <w:spacing w:val="-11"/>
        </w:rPr>
        <w:t> </w:t>
      </w:r>
      <w:r>
        <w:rPr/>
        <w:t>funding</w:t>
      </w:r>
      <w:r>
        <w:rPr>
          <w:spacing w:val="-11"/>
        </w:rPr>
        <w:t> </w:t>
      </w:r>
      <w:r>
        <w:rPr>
          <w:spacing w:val="-2"/>
        </w:rPr>
        <w:t>agreements</w:t>
      </w:r>
    </w:p>
    <w:p>
      <w:pPr>
        <w:pStyle w:val="BodyText"/>
        <w:spacing w:before="229"/>
        <w:ind w:left="852" w:right="1087"/>
        <w:jc w:val="both"/>
      </w:pPr>
      <w:r>
        <w:rPr/>
        <w:t>The College governors confirm their understanding that they have met all conditions under the funding agreement so far as they are aware.</w:t>
      </w:r>
    </w:p>
    <w:p>
      <w:pPr>
        <w:pStyle w:val="BodyText"/>
        <w:spacing w:before="1"/>
      </w:pPr>
    </w:p>
    <w:p>
      <w:pPr>
        <w:pStyle w:val="Heading6"/>
      </w:pPr>
      <w:r>
        <w:rPr/>
        <w:t>Responsibilities</w:t>
      </w:r>
      <w:r>
        <w:rPr>
          <w:spacing w:val="-12"/>
        </w:rPr>
        <w:t> </w:t>
      </w:r>
      <w:r>
        <w:rPr/>
        <w:t>under</w:t>
      </w:r>
      <w:r>
        <w:rPr>
          <w:spacing w:val="-11"/>
        </w:rPr>
        <w:t> </w:t>
      </w:r>
      <w:r>
        <w:rPr/>
        <w:t>funding</w:t>
      </w:r>
      <w:r>
        <w:rPr>
          <w:spacing w:val="-11"/>
        </w:rPr>
        <w:t> </w:t>
      </w:r>
      <w:r>
        <w:rPr>
          <w:spacing w:val="-2"/>
        </w:rPr>
        <w:t>agreement</w:t>
      </w:r>
    </w:p>
    <w:p>
      <w:pPr>
        <w:pStyle w:val="BodyText"/>
        <w:spacing w:before="1"/>
        <w:rPr>
          <w:b/>
        </w:rPr>
      </w:pPr>
    </w:p>
    <w:p>
      <w:pPr>
        <w:pStyle w:val="BodyText"/>
        <w:ind w:left="852" w:right="1087"/>
        <w:jc w:val="both"/>
      </w:pPr>
      <w:r>
        <w:rPr/>
        <w:t>The Department for Education and Education and Skills Funding Agency introduced new controls for the college on 29 November 2022 on the day that the Office for National Statistics reclassified colleges as public sector organisations in the national accounts. The ESFA chief executive communicated these changes to all</w:t>
      </w:r>
      <w:r>
        <w:rPr>
          <w:spacing w:val="-3"/>
        </w:rPr>
        <w:t> </w:t>
      </w:r>
      <w:r>
        <w:rPr/>
        <w:t>college</w:t>
      </w:r>
      <w:r>
        <w:rPr>
          <w:spacing w:val="-2"/>
        </w:rPr>
        <w:t> </w:t>
      </w:r>
      <w:r>
        <w:rPr/>
        <w:t>accounting officers and explained plans to introduce a college</w:t>
      </w:r>
      <w:r>
        <w:rPr>
          <w:spacing w:val="-7"/>
        </w:rPr>
        <w:t> </w:t>
      </w:r>
      <w:r>
        <w:rPr/>
        <w:t>financial</w:t>
      </w:r>
      <w:r>
        <w:rPr>
          <w:spacing w:val="-7"/>
        </w:rPr>
        <w:t> </w:t>
      </w:r>
      <w:r>
        <w:rPr/>
        <w:t>handbook</w:t>
      </w:r>
      <w:r>
        <w:rPr>
          <w:spacing w:val="-7"/>
        </w:rPr>
        <w:t> </w:t>
      </w:r>
      <w:r>
        <w:rPr/>
        <w:t>in</w:t>
      </w:r>
      <w:r>
        <w:rPr>
          <w:spacing w:val="-9"/>
        </w:rPr>
        <w:t> </w:t>
      </w:r>
      <w:r>
        <w:rPr/>
        <w:t>2024.</w:t>
      </w:r>
      <w:r>
        <w:rPr>
          <w:spacing w:val="-9"/>
        </w:rPr>
        <w:t> </w:t>
      </w:r>
      <w:r>
        <w:rPr/>
        <w:t>The</w:t>
      </w:r>
      <w:r>
        <w:rPr>
          <w:spacing w:val="-9"/>
        </w:rPr>
        <w:t> </w:t>
      </w:r>
      <w:r>
        <w:rPr/>
        <w:t>college</w:t>
      </w:r>
      <w:r>
        <w:rPr>
          <w:spacing w:val="-7"/>
        </w:rPr>
        <w:t> </w:t>
      </w:r>
      <w:r>
        <w:rPr/>
        <w:t>has</w:t>
      </w:r>
      <w:r>
        <w:rPr>
          <w:spacing w:val="-7"/>
        </w:rPr>
        <w:t> </w:t>
      </w:r>
      <w:r>
        <w:rPr/>
        <w:t>reviewed</w:t>
      </w:r>
      <w:r>
        <w:rPr>
          <w:spacing w:val="-7"/>
        </w:rPr>
        <w:t> </w:t>
      </w:r>
      <w:r>
        <w:rPr/>
        <w:t>its</w:t>
      </w:r>
      <w:r>
        <w:rPr>
          <w:spacing w:val="-7"/>
        </w:rPr>
        <w:t> </w:t>
      </w:r>
      <w:r>
        <w:rPr/>
        <w:t>policies,</w:t>
      </w:r>
      <w:r>
        <w:rPr>
          <w:spacing w:val="-9"/>
        </w:rPr>
        <w:t> </w:t>
      </w:r>
      <w:r>
        <w:rPr/>
        <w:t>procedures</w:t>
      </w:r>
      <w:r>
        <w:rPr>
          <w:spacing w:val="-7"/>
        </w:rPr>
        <w:t> </w:t>
      </w:r>
      <w:r>
        <w:rPr/>
        <w:t>and</w:t>
      </w:r>
      <w:r>
        <w:rPr>
          <w:spacing w:val="-7"/>
        </w:rPr>
        <w:t> </w:t>
      </w:r>
      <w:r>
        <w:rPr/>
        <w:t>approval processes in line with these new requirements and updated them to ensure compliance with the new requirements. The college is establishing systems and processes to identify and handle any transactions for which DfE approval is required.</w:t>
      </w:r>
    </w:p>
    <w:p>
      <w:pPr>
        <w:pStyle w:val="BodyText"/>
      </w:pPr>
    </w:p>
    <w:p>
      <w:pPr>
        <w:pStyle w:val="Heading6"/>
      </w:pPr>
      <w:r>
        <w:rPr/>
        <w:t>The</w:t>
      </w:r>
      <w:r>
        <w:rPr>
          <w:spacing w:val="-7"/>
        </w:rPr>
        <w:t> </w:t>
      </w:r>
      <w:r>
        <w:rPr/>
        <w:t>risk</w:t>
      </w:r>
      <w:r>
        <w:rPr>
          <w:spacing w:val="-6"/>
        </w:rPr>
        <w:t> </w:t>
      </w:r>
      <w:r>
        <w:rPr/>
        <w:t>and</w:t>
      </w:r>
      <w:r>
        <w:rPr>
          <w:spacing w:val="-5"/>
        </w:rPr>
        <w:t> </w:t>
      </w:r>
      <w:r>
        <w:rPr/>
        <w:t>control</w:t>
      </w:r>
      <w:r>
        <w:rPr>
          <w:spacing w:val="-4"/>
        </w:rPr>
        <w:t> </w:t>
      </w:r>
      <w:r>
        <w:rPr>
          <w:spacing w:val="-2"/>
        </w:rPr>
        <w:t>framework</w:t>
      </w:r>
    </w:p>
    <w:p>
      <w:pPr>
        <w:pStyle w:val="BodyText"/>
        <w:spacing w:before="1"/>
        <w:rPr>
          <w:b/>
        </w:rPr>
      </w:pPr>
    </w:p>
    <w:p>
      <w:pPr>
        <w:pStyle w:val="BodyText"/>
        <w:ind w:left="852" w:right="1087"/>
        <w:jc w:val="both"/>
      </w:pPr>
      <w:r>
        <w:rPr/>
        <w:t>The system of internal control is based on a framework of regular management information, administrative procedures including the segregation of duties, and a system of delegation and accountability. In particular, it includes:</w:t>
      </w:r>
    </w:p>
    <w:p>
      <w:pPr>
        <w:pStyle w:val="BodyText"/>
      </w:pPr>
    </w:p>
    <w:p>
      <w:pPr>
        <w:pStyle w:val="ListParagraph"/>
        <w:numPr>
          <w:ilvl w:val="0"/>
          <w:numId w:val="5"/>
        </w:numPr>
        <w:tabs>
          <w:tab w:pos="1572" w:val="left" w:leader="none"/>
        </w:tabs>
        <w:spacing w:line="271" w:lineRule="auto" w:before="0" w:after="0"/>
        <w:ind w:left="1572" w:right="1088" w:hanging="360"/>
        <w:jc w:val="left"/>
        <w:rPr>
          <w:sz w:val="20"/>
        </w:rPr>
      </w:pPr>
      <w:r>
        <w:rPr>
          <w:sz w:val="20"/>
        </w:rPr>
        <w:t>comprehensive</w:t>
      </w:r>
      <w:r>
        <w:rPr>
          <w:spacing w:val="40"/>
          <w:sz w:val="20"/>
        </w:rPr>
        <w:t> </w:t>
      </w:r>
      <w:r>
        <w:rPr>
          <w:sz w:val="20"/>
        </w:rPr>
        <w:t>budgeting</w:t>
      </w:r>
      <w:r>
        <w:rPr>
          <w:spacing w:val="69"/>
          <w:sz w:val="20"/>
        </w:rPr>
        <w:t> </w:t>
      </w:r>
      <w:r>
        <w:rPr>
          <w:sz w:val="20"/>
        </w:rPr>
        <w:t>systems</w:t>
      </w:r>
      <w:r>
        <w:rPr>
          <w:spacing w:val="68"/>
          <w:sz w:val="20"/>
        </w:rPr>
        <w:t> </w:t>
      </w:r>
      <w:r>
        <w:rPr>
          <w:sz w:val="20"/>
        </w:rPr>
        <w:t>with</w:t>
      </w:r>
      <w:r>
        <w:rPr>
          <w:spacing w:val="40"/>
          <w:sz w:val="20"/>
        </w:rPr>
        <w:t> </w:t>
      </w:r>
      <w:r>
        <w:rPr>
          <w:sz w:val="20"/>
        </w:rPr>
        <w:t>an</w:t>
      </w:r>
      <w:r>
        <w:rPr>
          <w:spacing w:val="40"/>
          <w:sz w:val="20"/>
        </w:rPr>
        <w:t> </w:t>
      </w:r>
      <w:r>
        <w:rPr>
          <w:sz w:val="20"/>
        </w:rPr>
        <w:t>annual</w:t>
      </w:r>
      <w:r>
        <w:rPr>
          <w:spacing w:val="68"/>
          <w:sz w:val="20"/>
        </w:rPr>
        <w:t> </w:t>
      </w:r>
      <w:r>
        <w:rPr>
          <w:sz w:val="20"/>
        </w:rPr>
        <w:t>budget,</w:t>
      </w:r>
      <w:r>
        <w:rPr>
          <w:spacing w:val="40"/>
          <w:sz w:val="20"/>
        </w:rPr>
        <w:t> </w:t>
      </w:r>
      <w:r>
        <w:rPr>
          <w:sz w:val="20"/>
        </w:rPr>
        <w:t>which</w:t>
      </w:r>
      <w:r>
        <w:rPr>
          <w:spacing w:val="69"/>
          <w:sz w:val="20"/>
        </w:rPr>
        <w:t> </w:t>
      </w:r>
      <w:r>
        <w:rPr>
          <w:sz w:val="20"/>
        </w:rPr>
        <w:t>is</w:t>
      </w:r>
      <w:r>
        <w:rPr>
          <w:spacing w:val="68"/>
          <w:sz w:val="20"/>
        </w:rPr>
        <w:t> </w:t>
      </w:r>
      <w:r>
        <w:rPr>
          <w:sz w:val="20"/>
        </w:rPr>
        <w:t>agreed</w:t>
      </w:r>
      <w:r>
        <w:rPr>
          <w:spacing w:val="69"/>
          <w:sz w:val="20"/>
        </w:rPr>
        <w:t> </w:t>
      </w:r>
      <w:r>
        <w:rPr>
          <w:sz w:val="20"/>
        </w:rPr>
        <w:t>by</w:t>
      </w:r>
      <w:r>
        <w:rPr>
          <w:spacing w:val="68"/>
          <w:sz w:val="20"/>
        </w:rPr>
        <w:t> </w:t>
      </w:r>
      <w:r>
        <w:rPr>
          <w:sz w:val="20"/>
        </w:rPr>
        <w:t>the Corporation and financial forecasting, including risk and sensitivity assessment</w:t>
      </w:r>
    </w:p>
    <w:p>
      <w:pPr>
        <w:pStyle w:val="ListParagraph"/>
        <w:numPr>
          <w:ilvl w:val="0"/>
          <w:numId w:val="5"/>
        </w:numPr>
        <w:tabs>
          <w:tab w:pos="1572" w:val="left" w:leader="none"/>
        </w:tabs>
        <w:spacing w:line="271" w:lineRule="auto" w:before="6" w:after="0"/>
        <w:ind w:left="1572" w:right="1085" w:hanging="360"/>
        <w:jc w:val="left"/>
        <w:rPr>
          <w:sz w:val="20"/>
        </w:rPr>
      </w:pPr>
      <w:r>
        <w:rPr>
          <w:sz w:val="20"/>
        </w:rPr>
        <w:t>regular reviews</w:t>
      </w:r>
      <w:r>
        <w:rPr>
          <w:spacing w:val="24"/>
          <w:sz w:val="20"/>
        </w:rPr>
        <w:t> </w:t>
      </w:r>
      <w:r>
        <w:rPr>
          <w:sz w:val="20"/>
        </w:rPr>
        <w:t>by</w:t>
      </w:r>
      <w:r>
        <w:rPr>
          <w:spacing w:val="24"/>
          <w:sz w:val="20"/>
        </w:rPr>
        <w:t> </w:t>
      </w:r>
      <w:r>
        <w:rPr>
          <w:sz w:val="20"/>
        </w:rPr>
        <w:t>the Finance &amp; Resources</w:t>
      </w:r>
      <w:r>
        <w:rPr>
          <w:spacing w:val="24"/>
          <w:sz w:val="20"/>
        </w:rPr>
        <w:t> </w:t>
      </w:r>
      <w:r>
        <w:rPr>
          <w:sz w:val="20"/>
        </w:rPr>
        <w:t>Committee (meeting on a termly</w:t>
      </w:r>
      <w:r>
        <w:rPr>
          <w:spacing w:val="24"/>
          <w:sz w:val="20"/>
        </w:rPr>
        <w:t> </w:t>
      </w:r>
      <w:r>
        <w:rPr>
          <w:sz w:val="20"/>
        </w:rPr>
        <w:t>basis) of periodic</w:t>
      </w:r>
      <w:r>
        <w:rPr>
          <w:spacing w:val="-13"/>
          <w:sz w:val="20"/>
        </w:rPr>
        <w:t> </w:t>
      </w:r>
      <w:r>
        <w:rPr>
          <w:sz w:val="20"/>
        </w:rPr>
        <w:t>and</w:t>
      </w:r>
      <w:r>
        <w:rPr>
          <w:spacing w:val="-12"/>
          <w:sz w:val="20"/>
        </w:rPr>
        <w:t> </w:t>
      </w:r>
      <w:r>
        <w:rPr>
          <w:sz w:val="20"/>
        </w:rPr>
        <w:t>annual</w:t>
      </w:r>
      <w:r>
        <w:rPr>
          <w:spacing w:val="-13"/>
          <w:sz w:val="20"/>
        </w:rPr>
        <w:t> </w:t>
      </w:r>
      <w:r>
        <w:rPr>
          <w:sz w:val="20"/>
        </w:rPr>
        <w:t>financial</w:t>
      </w:r>
      <w:r>
        <w:rPr>
          <w:spacing w:val="-14"/>
          <w:sz w:val="20"/>
        </w:rPr>
        <w:t> </w:t>
      </w:r>
      <w:r>
        <w:rPr>
          <w:sz w:val="20"/>
        </w:rPr>
        <w:t>reports</w:t>
      </w:r>
      <w:r>
        <w:rPr>
          <w:spacing w:val="-13"/>
          <w:sz w:val="20"/>
        </w:rPr>
        <w:t> </w:t>
      </w:r>
      <w:r>
        <w:rPr>
          <w:sz w:val="20"/>
        </w:rPr>
        <w:t>which</w:t>
      </w:r>
      <w:r>
        <w:rPr>
          <w:spacing w:val="-12"/>
          <w:sz w:val="20"/>
        </w:rPr>
        <w:t> </w:t>
      </w:r>
      <w:r>
        <w:rPr>
          <w:sz w:val="20"/>
        </w:rPr>
        <w:t>indicate</w:t>
      </w:r>
      <w:r>
        <w:rPr>
          <w:spacing w:val="-12"/>
          <w:sz w:val="20"/>
        </w:rPr>
        <w:t> </w:t>
      </w:r>
      <w:r>
        <w:rPr>
          <w:sz w:val="20"/>
        </w:rPr>
        <w:t>financial</w:t>
      </w:r>
      <w:r>
        <w:rPr>
          <w:spacing w:val="-13"/>
          <w:sz w:val="20"/>
        </w:rPr>
        <w:t> </w:t>
      </w:r>
      <w:r>
        <w:rPr>
          <w:sz w:val="20"/>
        </w:rPr>
        <w:t>performance</w:t>
      </w:r>
      <w:r>
        <w:rPr>
          <w:spacing w:val="-12"/>
          <w:sz w:val="20"/>
        </w:rPr>
        <w:t> </w:t>
      </w:r>
      <w:r>
        <w:rPr>
          <w:sz w:val="20"/>
        </w:rPr>
        <w:t>against</w:t>
      </w:r>
      <w:r>
        <w:rPr>
          <w:spacing w:val="-10"/>
          <w:sz w:val="20"/>
        </w:rPr>
        <w:t> </w:t>
      </w:r>
      <w:r>
        <w:rPr>
          <w:sz w:val="20"/>
        </w:rPr>
        <w:t>forecasts</w:t>
      </w:r>
    </w:p>
    <w:p>
      <w:pPr>
        <w:pStyle w:val="ListParagraph"/>
        <w:numPr>
          <w:ilvl w:val="0"/>
          <w:numId w:val="5"/>
        </w:numPr>
        <w:tabs>
          <w:tab w:pos="1572" w:val="left" w:leader="none"/>
        </w:tabs>
        <w:spacing w:line="240" w:lineRule="auto" w:before="6" w:after="0"/>
        <w:ind w:left="1572" w:right="0" w:hanging="360"/>
        <w:jc w:val="left"/>
        <w:rPr>
          <w:sz w:val="20"/>
        </w:rPr>
      </w:pPr>
      <w:r>
        <w:rPr>
          <w:sz w:val="20"/>
        </w:rPr>
        <w:t>setting</w:t>
      </w:r>
      <w:r>
        <w:rPr>
          <w:spacing w:val="-7"/>
          <w:sz w:val="20"/>
        </w:rPr>
        <w:t> </w:t>
      </w:r>
      <w:r>
        <w:rPr>
          <w:sz w:val="20"/>
        </w:rPr>
        <w:t>targets</w:t>
      </w:r>
      <w:r>
        <w:rPr>
          <w:spacing w:val="-6"/>
          <w:sz w:val="20"/>
        </w:rPr>
        <w:t> </w:t>
      </w:r>
      <w:r>
        <w:rPr>
          <w:sz w:val="20"/>
        </w:rPr>
        <w:t>to</w:t>
      </w:r>
      <w:r>
        <w:rPr>
          <w:spacing w:val="-5"/>
          <w:sz w:val="20"/>
        </w:rPr>
        <w:t> </w:t>
      </w:r>
      <w:r>
        <w:rPr>
          <w:sz w:val="20"/>
        </w:rPr>
        <w:t>measure</w:t>
      </w:r>
      <w:r>
        <w:rPr>
          <w:spacing w:val="-7"/>
          <w:sz w:val="20"/>
        </w:rPr>
        <w:t> </w:t>
      </w:r>
      <w:r>
        <w:rPr>
          <w:sz w:val="20"/>
        </w:rPr>
        <w:t>financial</w:t>
      </w:r>
      <w:r>
        <w:rPr>
          <w:spacing w:val="-8"/>
          <w:sz w:val="20"/>
        </w:rPr>
        <w:t> </w:t>
      </w:r>
      <w:r>
        <w:rPr>
          <w:sz w:val="20"/>
        </w:rPr>
        <w:t>and</w:t>
      </w:r>
      <w:r>
        <w:rPr>
          <w:spacing w:val="-6"/>
          <w:sz w:val="20"/>
        </w:rPr>
        <w:t> </w:t>
      </w:r>
      <w:r>
        <w:rPr>
          <w:sz w:val="20"/>
        </w:rPr>
        <w:t>other</w:t>
      </w:r>
      <w:r>
        <w:rPr>
          <w:spacing w:val="-6"/>
          <w:sz w:val="20"/>
        </w:rPr>
        <w:t> </w:t>
      </w:r>
      <w:r>
        <w:rPr>
          <w:spacing w:val="-2"/>
          <w:sz w:val="20"/>
        </w:rPr>
        <w:t>performance</w:t>
      </w:r>
    </w:p>
    <w:p>
      <w:pPr>
        <w:pStyle w:val="ListParagraph"/>
        <w:numPr>
          <w:ilvl w:val="0"/>
          <w:numId w:val="5"/>
        </w:numPr>
        <w:tabs>
          <w:tab w:pos="1572" w:val="left" w:leader="none"/>
        </w:tabs>
        <w:spacing w:line="240" w:lineRule="auto" w:before="33" w:after="0"/>
        <w:ind w:left="1572" w:right="0" w:hanging="360"/>
        <w:jc w:val="left"/>
        <w:rPr>
          <w:sz w:val="20"/>
        </w:rPr>
      </w:pPr>
      <w:r>
        <w:rPr>
          <w:sz w:val="20"/>
        </w:rPr>
        <w:t>clearly</w:t>
      </w:r>
      <w:r>
        <w:rPr>
          <w:spacing w:val="-10"/>
          <w:sz w:val="20"/>
        </w:rPr>
        <w:t> </w:t>
      </w:r>
      <w:r>
        <w:rPr>
          <w:sz w:val="20"/>
        </w:rPr>
        <w:t>defined</w:t>
      </w:r>
      <w:r>
        <w:rPr>
          <w:spacing w:val="-8"/>
          <w:sz w:val="20"/>
        </w:rPr>
        <w:t> </w:t>
      </w:r>
      <w:r>
        <w:rPr>
          <w:sz w:val="20"/>
        </w:rPr>
        <w:t>capital</w:t>
      </w:r>
      <w:r>
        <w:rPr>
          <w:spacing w:val="-9"/>
          <w:sz w:val="20"/>
        </w:rPr>
        <w:t> </w:t>
      </w:r>
      <w:r>
        <w:rPr>
          <w:sz w:val="20"/>
        </w:rPr>
        <w:t>investment</w:t>
      </w:r>
      <w:r>
        <w:rPr>
          <w:spacing w:val="-8"/>
          <w:sz w:val="20"/>
        </w:rPr>
        <w:t> </w:t>
      </w:r>
      <w:r>
        <w:rPr>
          <w:sz w:val="20"/>
        </w:rPr>
        <w:t>control</w:t>
      </w:r>
      <w:r>
        <w:rPr>
          <w:spacing w:val="-11"/>
          <w:sz w:val="20"/>
        </w:rPr>
        <w:t> </w:t>
      </w:r>
      <w:r>
        <w:rPr>
          <w:spacing w:val="-2"/>
          <w:sz w:val="20"/>
        </w:rPr>
        <w:t>guidelines</w:t>
      </w:r>
    </w:p>
    <w:p>
      <w:pPr>
        <w:pStyle w:val="ListParagraph"/>
        <w:numPr>
          <w:ilvl w:val="0"/>
          <w:numId w:val="5"/>
        </w:numPr>
        <w:tabs>
          <w:tab w:pos="1564" w:val="left" w:leader="none"/>
        </w:tabs>
        <w:spacing w:line="240" w:lineRule="auto" w:before="33" w:after="0"/>
        <w:ind w:left="1564" w:right="0" w:hanging="355"/>
        <w:jc w:val="left"/>
        <w:rPr>
          <w:sz w:val="20"/>
        </w:rPr>
      </w:pPr>
      <w:r>
        <w:rPr>
          <w:sz w:val="20"/>
        </w:rPr>
        <w:t>the</w:t>
      </w:r>
      <w:r>
        <w:rPr>
          <w:spacing w:val="-9"/>
          <w:sz w:val="20"/>
        </w:rPr>
        <w:t> </w:t>
      </w:r>
      <w:r>
        <w:rPr>
          <w:sz w:val="20"/>
        </w:rPr>
        <w:t>adoption</w:t>
      </w:r>
      <w:r>
        <w:rPr>
          <w:spacing w:val="-8"/>
          <w:sz w:val="20"/>
        </w:rPr>
        <w:t> </w:t>
      </w:r>
      <w:r>
        <w:rPr>
          <w:sz w:val="20"/>
        </w:rPr>
        <w:t>of</w:t>
      </w:r>
      <w:r>
        <w:rPr>
          <w:spacing w:val="-7"/>
          <w:sz w:val="20"/>
        </w:rPr>
        <w:t> </w:t>
      </w:r>
      <w:r>
        <w:rPr>
          <w:sz w:val="20"/>
        </w:rPr>
        <w:t>formal</w:t>
      </w:r>
      <w:r>
        <w:rPr>
          <w:spacing w:val="-7"/>
          <w:sz w:val="20"/>
        </w:rPr>
        <w:t> </w:t>
      </w:r>
      <w:r>
        <w:rPr>
          <w:sz w:val="20"/>
        </w:rPr>
        <w:t>project</w:t>
      </w:r>
      <w:r>
        <w:rPr>
          <w:spacing w:val="-8"/>
          <w:sz w:val="20"/>
        </w:rPr>
        <w:t> </w:t>
      </w:r>
      <w:r>
        <w:rPr>
          <w:sz w:val="20"/>
        </w:rPr>
        <w:t>management</w:t>
      </w:r>
      <w:r>
        <w:rPr>
          <w:spacing w:val="-7"/>
          <w:sz w:val="20"/>
        </w:rPr>
        <w:t> </w:t>
      </w:r>
      <w:r>
        <w:rPr>
          <w:sz w:val="20"/>
        </w:rPr>
        <w:t>disciplines,</w:t>
      </w:r>
      <w:r>
        <w:rPr>
          <w:spacing w:val="-7"/>
          <w:sz w:val="20"/>
        </w:rPr>
        <w:t> </w:t>
      </w:r>
      <w:r>
        <w:rPr>
          <w:sz w:val="20"/>
        </w:rPr>
        <w:t>where</w:t>
      </w:r>
      <w:r>
        <w:rPr>
          <w:spacing w:val="-6"/>
          <w:sz w:val="20"/>
        </w:rPr>
        <w:t> </w:t>
      </w:r>
      <w:r>
        <w:rPr>
          <w:spacing w:val="-2"/>
          <w:sz w:val="20"/>
        </w:rPr>
        <w:t>appropriate.</w:t>
      </w:r>
    </w:p>
    <w:p>
      <w:pPr>
        <w:pStyle w:val="BodyText"/>
        <w:spacing w:before="31"/>
      </w:pPr>
    </w:p>
    <w:p>
      <w:pPr>
        <w:pStyle w:val="BodyText"/>
        <w:ind w:left="852" w:right="1086"/>
        <w:jc w:val="both"/>
      </w:pPr>
      <w:r>
        <w:rPr/>
        <w:t>The</w:t>
      </w:r>
      <w:r>
        <w:rPr>
          <w:spacing w:val="-2"/>
        </w:rPr>
        <w:t> </w:t>
      </w:r>
      <w:r>
        <w:rPr/>
        <w:t>College</w:t>
      </w:r>
      <w:r>
        <w:rPr>
          <w:spacing w:val="-2"/>
        </w:rPr>
        <w:t> </w:t>
      </w:r>
      <w:r>
        <w:rPr/>
        <w:t>has outsourced</w:t>
      </w:r>
      <w:r>
        <w:rPr>
          <w:spacing w:val="-2"/>
        </w:rPr>
        <w:t> </w:t>
      </w:r>
      <w:r>
        <w:rPr/>
        <w:t>the</w:t>
      </w:r>
      <w:r>
        <w:rPr>
          <w:spacing w:val="-2"/>
        </w:rPr>
        <w:t> </w:t>
      </w:r>
      <w:r>
        <w:rPr/>
        <w:t>internal</w:t>
      </w:r>
      <w:r>
        <w:rPr>
          <w:spacing w:val="-3"/>
        </w:rPr>
        <w:t> </w:t>
      </w:r>
      <w:r>
        <w:rPr/>
        <w:t>audit</w:t>
      </w:r>
      <w:r>
        <w:rPr>
          <w:spacing w:val="-2"/>
        </w:rPr>
        <w:t> </w:t>
      </w:r>
      <w:r>
        <w:rPr/>
        <w:t>function to</w:t>
      </w:r>
      <w:r>
        <w:rPr>
          <w:spacing w:val="-2"/>
        </w:rPr>
        <w:t> </w:t>
      </w:r>
      <w:r>
        <w:rPr/>
        <w:t>a</w:t>
      </w:r>
      <w:r>
        <w:rPr>
          <w:spacing w:val="-2"/>
        </w:rPr>
        <w:t> </w:t>
      </w:r>
      <w:r>
        <w:rPr/>
        <w:t>third</w:t>
      </w:r>
      <w:r>
        <w:rPr>
          <w:spacing w:val="-2"/>
        </w:rPr>
        <w:t> </w:t>
      </w:r>
      <w:r>
        <w:rPr/>
        <w:t>party audit</w:t>
      </w:r>
      <w:r>
        <w:rPr>
          <w:spacing w:val="-2"/>
        </w:rPr>
        <w:t> </w:t>
      </w:r>
      <w:r>
        <w:rPr/>
        <w:t>firm, which</w:t>
      </w:r>
      <w:r>
        <w:rPr>
          <w:spacing w:val="-2"/>
        </w:rPr>
        <w:t> </w:t>
      </w:r>
      <w:r>
        <w:rPr/>
        <w:t>operates in accordance with the requirements of the ESFA’s Post-16 Audit Code of Practice</w:t>
      </w:r>
      <w:r>
        <w:rPr>
          <w:i/>
        </w:rPr>
        <w:t>.</w:t>
      </w:r>
      <w:r>
        <w:rPr>
          <w:i/>
          <w:spacing w:val="40"/>
        </w:rPr>
        <w:t> </w:t>
      </w:r>
      <w:r>
        <w:rPr/>
        <w:t>The work of the internal auditor is informed by mandatory audit reporting</w:t>
      </w:r>
      <w:r>
        <w:rPr>
          <w:spacing w:val="-2"/>
        </w:rPr>
        <w:t> </w:t>
      </w:r>
      <w:r>
        <w:rPr/>
        <w:t>requirements and</w:t>
      </w:r>
      <w:r>
        <w:rPr>
          <w:spacing w:val="-2"/>
        </w:rPr>
        <w:t> </w:t>
      </w:r>
      <w:r>
        <w:rPr/>
        <w:t>an analysis of</w:t>
      </w:r>
      <w:r>
        <w:rPr>
          <w:spacing w:val="-2"/>
        </w:rPr>
        <w:t> </w:t>
      </w:r>
      <w:r>
        <w:rPr/>
        <w:t>the</w:t>
      </w:r>
      <w:r>
        <w:rPr>
          <w:spacing w:val="-2"/>
        </w:rPr>
        <w:t> </w:t>
      </w:r>
      <w:r>
        <w:rPr/>
        <w:t>risks to</w:t>
      </w:r>
      <w:r>
        <w:rPr>
          <w:spacing w:val="-6"/>
        </w:rPr>
        <w:t> </w:t>
      </w:r>
      <w:r>
        <w:rPr/>
        <w:t>which</w:t>
      </w:r>
      <w:r>
        <w:rPr>
          <w:spacing w:val="-6"/>
        </w:rPr>
        <w:t> </w:t>
      </w:r>
      <w:r>
        <w:rPr/>
        <w:t>the</w:t>
      </w:r>
      <w:r>
        <w:rPr>
          <w:spacing w:val="-6"/>
        </w:rPr>
        <w:t> </w:t>
      </w:r>
      <w:r>
        <w:rPr/>
        <w:t>College</w:t>
      </w:r>
      <w:r>
        <w:rPr>
          <w:spacing w:val="-6"/>
        </w:rPr>
        <w:t> </w:t>
      </w:r>
      <w:r>
        <w:rPr/>
        <w:t>is</w:t>
      </w:r>
      <w:r>
        <w:rPr>
          <w:spacing w:val="-5"/>
        </w:rPr>
        <w:t> </w:t>
      </w:r>
      <w:r>
        <w:rPr/>
        <w:t>exposed,</w:t>
      </w:r>
      <w:r>
        <w:rPr>
          <w:spacing w:val="-5"/>
        </w:rPr>
        <w:t> </w:t>
      </w:r>
      <w:r>
        <w:rPr/>
        <w:t>with</w:t>
      </w:r>
      <w:r>
        <w:rPr>
          <w:spacing w:val="-6"/>
        </w:rPr>
        <w:t> </w:t>
      </w:r>
      <w:r>
        <w:rPr/>
        <w:t>annual</w:t>
      </w:r>
      <w:r>
        <w:rPr>
          <w:spacing w:val="-6"/>
        </w:rPr>
        <w:t> </w:t>
      </w:r>
      <w:r>
        <w:rPr/>
        <w:t>internal</w:t>
      </w:r>
      <w:r>
        <w:rPr>
          <w:spacing w:val="-6"/>
        </w:rPr>
        <w:t> </w:t>
      </w:r>
      <w:r>
        <w:rPr/>
        <w:t>audit</w:t>
      </w:r>
      <w:r>
        <w:rPr>
          <w:spacing w:val="-5"/>
        </w:rPr>
        <w:t> </w:t>
      </w:r>
      <w:r>
        <w:rPr/>
        <w:t>plans</w:t>
      </w:r>
      <w:r>
        <w:rPr>
          <w:spacing w:val="-5"/>
        </w:rPr>
        <w:t> </w:t>
      </w:r>
      <w:r>
        <w:rPr/>
        <w:t>being</w:t>
      </w:r>
      <w:r>
        <w:rPr>
          <w:spacing w:val="-6"/>
        </w:rPr>
        <w:t> </w:t>
      </w:r>
      <w:r>
        <w:rPr/>
        <w:t>based</w:t>
      </w:r>
      <w:r>
        <w:rPr>
          <w:spacing w:val="-6"/>
        </w:rPr>
        <w:t> </w:t>
      </w:r>
      <w:r>
        <w:rPr/>
        <w:t>on</w:t>
      </w:r>
      <w:r>
        <w:rPr>
          <w:spacing w:val="-6"/>
        </w:rPr>
        <w:t> </w:t>
      </w:r>
      <w:r>
        <w:rPr/>
        <w:t>this</w:t>
      </w:r>
      <w:r>
        <w:rPr>
          <w:spacing w:val="-5"/>
        </w:rPr>
        <w:t> </w:t>
      </w:r>
      <w:r>
        <w:rPr/>
        <w:t>analysis.</w:t>
      </w:r>
      <w:r>
        <w:rPr>
          <w:spacing w:val="40"/>
        </w:rPr>
        <w:t> </w:t>
      </w:r>
      <w:r>
        <w:rPr/>
        <w:t>The analysis of risks and the internal audit plans are endorsed by the Board of Governors on the recommendation of the Audit Committee.</w:t>
      </w:r>
      <w:r>
        <w:rPr>
          <w:spacing w:val="40"/>
        </w:rPr>
        <w:t> </w:t>
      </w:r>
      <w:r>
        <w:rPr/>
        <w:t>On an annual basis, the Internal Auditor provides the Corporation with a report on internal audit activity in the College.</w:t>
      </w:r>
      <w:r>
        <w:rPr>
          <w:spacing w:val="40"/>
        </w:rPr>
        <w:t> </w:t>
      </w:r>
      <w:r>
        <w:rPr/>
        <w:t>The report includes the independent opinion on the adequacy and effectiveness of the College’s system of risk management, controls and governance processes.</w:t>
      </w:r>
    </w:p>
    <w:p>
      <w:pPr>
        <w:pStyle w:val="BodyText"/>
        <w:spacing w:after="0"/>
        <w:jc w:val="both"/>
        <w:sectPr>
          <w:headerReference w:type="default" r:id="rId21"/>
          <w:footerReference w:type="default" r:id="rId22"/>
          <w:pgSz w:w="11910" w:h="16850"/>
          <w:pgMar w:header="727" w:footer="702" w:top="1520" w:bottom="900" w:left="566" w:right="708"/>
          <w:pgNumType w:start="26"/>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rPr>
          <w:b/>
          <w:sz w:val="24"/>
        </w:rPr>
      </w:pPr>
    </w:p>
    <w:p>
      <w:pPr>
        <w:spacing w:before="0"/>
        <w:ind w:left="852" w:right="0" w:firstLine="0"/>
        <w:jc w:val="both"/>
        <w:rPr>
          <w:b/>
          <w:sz w:val="24"/>
        </w:rPr>
      </w:pPr>
      <w:r>
        <w:rPr>
          <w:b/>
          <w:sz w:val="24"/>
        </w:rPr>
        <w:t>Internal</w:t>
      </w:r>
      <w:r>
        <w:rPr>
          <w:b/>
          <w:spacing w:val="-3"/>
          <w:sz w:val="24"/>
        </w:rPr>
        <w:t> </w:t>
      </w:r>
      <w:r>
        <w:rPr>
          <w:b/>
          <w:sz w:val="24"/>
        </w:rPr>
        <w:t>control</w:t>
      </w:r>
      <w:r>
        <w:rPr>
          <w:b/>
          <w:spacing w:val="-2"/>
          <w:sz w:val="24"/>
        </w:rPr>
        <w:t> (continued)</w:t>
      </w:r>
    </w:p>
    <w:p>
      <w:pPr>
        <w:pStyle w:val="Heading6"/>
        <w:spacing w:before="230"/>
      </w:pPr>
      <w:r>
        <w:rPr/>
        <w:t>Statement</w:t>
      </w:r>
      <w:r>
        <w:rPr>
          <w:spacing w:val="-8"/>
        </w:rPr>
        <w:t> </w:t>
      </w:r>
      <w:r>
        <w:rPr/>
        <w:t>from</w:t>
      </w:r>
      <w:r>
        <w:rPr>
          <w:spacing w:val="-7"/>
        </w:rPr>
        <w:t> </w:t>
      </w:r>
      <w:r>
        <w:rPr/>
        <w:t>the</w:t>
      </w:r>
      <w:r>
        <w:rPr>
          <w:spacing w:val="-6"/>
        </w:rPr>
        <w:t> </w:t>
      </w:r>
      <w:r>
        <w:rPr/>
        <w:t>audit</w:t>
      </w:r>
      <w:r>
        <w:rPr>
          <w:spacing w:val="-5"/>
        </w:rPr>
        <w:t> </w:t>
      </w:r>
      <w:r>
        <w:rPr>
          <w:spacing w:val="-2"/>
        </w:rPr>
        <w:t>committee</w:t>
      </w:r>
    </w:p>
    <w:p>
      <w:pPr>
        <w:pStyle w:val="BodyText"/>
        <w:spacing w:before="1"/>
        <w:rPr>
          <w:b/>
        </w:rPr>
      </w:pPr>
    </w:p>
    <w:p>
      <w:pPr>
        <w:pStyle w:val="BodyText"/>
        <w:ind w:left="852" w:right="1087"/>
        <w:jc w:val="both"/>
      </w:pPr>
      <w:r>
        <w:rPr/>
        <w:t>The audit committee has advised the board of governors that the corporation has an effective framework for governance and risk management in place. The audit committee believes the corporation has effective internal controls in place.</w:t>
      </w:r>
    </w:p>
    <w:p>
      <w:pPr>
        <w:pStyle w:val="BodyText"/>
        <w:spacing w:before="229"/>
        <w:ind w:left="852" w:right="1087"/>
        <w:jc w:val="both"/>
      </w:pPr>
      <w:r>
        <w:rPr/>
        <w:t>The specific areas of work undertaken by the Audit Committee in 2022/23 targeted areas where complexities were known with a view to informing and supporting improvement work. The areas reviewed were:</w:t>
      </w:r>
    </w:p>
    <w:p>
      <w:pPr>
        <w:pStyle w:val="BodyText"/>
        <w:spacing w:before="6" w:after="1"/>
        <w:rPr>
          <w:sz w:val="10"/>
        </w:rPr>
      </w:pPr>
    </w:p>
    <w:tbl>
      <w:tblPr>
        <w:tblW w:w="0" w:type="auto"/>
        <w:jc w:val="left"/>
        <w:tblInd w:w="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2"/>
        <w:gridCol w:w="1327"/>
        <w:gridCol w:w="1262"/>
        <w:gridCol w:w="1341"/>
        <w:gridCol w:w="1281"/>
        <w:gridCol w:w="1828"/>
      </w:tblGrid>
      <w:tr>
        <w:trPr>
          <w:trHeight w:val="229" w:hRule="atLeast"/>
        </w:trPr>
        <w:tc>
          <w:tcPr>
            <w:tcW w:w="2162" w:type="dxa"/>
            <w:vMerge w:val="restart"/>
          </w:tcPr>
          <w:p>
            <w:pPr>
              <w:pStyle w:val="TableParagraph"/>
              <w:spacing w:line="229" w:lineRule="exact"/>
              <w:ind w:left="107"/>
              <w:rPr>
                <w:sz w:val="20"/>
              </w:rPr>
            </w:pPr>
            <w:r>
              <w:rPr>
                <w:spacing w:val="-2"/>
                <w:sz w:val="20"/>
              </w:rPr>
              <w:t>Report</w:t>
            </w:r>
          </w:p>
        </w:tc>
        <w:tc>
          <w:tcPr>
            <w:tcW w:w="5211" w:type="dxa"/>
            <w:gridSpan w:val="4"/>
          </w:tcPr>
          <w:p>
            <w:pPr>
              <w:pStyle w:val="TableParagraph"/>
              <w:spacing w:line="210" w:lineRule="exact"/>
              <w:ind w:left="15"/>
              <w:jc w:val="center"/>
              <w:rPr>
                <w:sz w:val="20"/>
              </w:rPr>
            </w:pPr>
            <w:r>
              <w:rPr>
                <w:sz w:val="20"/>
              </w:rPr>
              <w:t>Assurance</w:t>
            </w:r>
            <w:r>
              <w:rPr>
                <w:spacing w:val="-12"/>
                <w:sz w:val="20"/>
              </w:rPr>
              <w:t> </w:t>
            </w:r>
            <w:r>
              <w:rPr>
                <w:spacing w:val="-2"/>
                <w:sz w:val="20"/>
              </w:rPr>
              <w:t>Level</w:t>
            </w:r>
          </w:p>
        </w:tc>
        <w:tc>
          <w:tcPr>
            <w:tcW w:w="1828" w:type="dxa"/>
            <w:vMerge w:val="restart"/>
          </w:tcPr>
          <w:p>
            <w:pPr>
              <w:pStyle w:val="TableParagraph"/>
              <w:spacing w:line="229" w:lineRule="exact"/>
              <w:ind w:left="68"/>
              <w:rPr>
                <w:sz w:val="20"/>
              </w:rPr>
            </w:pPr>
            <w:r>
              <w:rPr>
                <w:spacing w:val="-2"/>
                <w:sz w:val="20"/>
              </w:rPr>
              <w:t>Recommendations</w:t>
            </w:r>
          </w:p>
        </w:tc>
      </w:tr>
      <w:tr>
        <w:trPr>
          <w:trHeight w:val="229" w:hRule="atLeast"/>
        </w:trPr>
        <w:tc>
          <w:tcPr>
            <w:tcW w:w="2162" w:type="dxa"/>
            <w:vMerge/>
            <w:tcBorders>
              <w:top w:val="nil"/>
            </w:tcBorders>
          </w:tcPr>
          <w:p>
            <w:pPr>
              <w:rPr>
                <w:sz w:val="2"/>
                <w:szCs w:val="2"/>
              </w:rPr>
            </w:pPr>
          </w:p>
        </w:tc>
        <w:tc>
          <w:tcPr>
            <w:tcW w:w="1327" w:type="dxa"/>
          </w:tcPr>
          <w:p>
            <w:pPr>
              <w:pStyle w:val="TableParagraph"/>
              <w:spacing w:line="210" w:lineRule="exact"/>
              <w:ind w:left="168"/>
              <w:rPr>
                <w:sz w:val="20"/>
              </w:rPr>
            </w:pPr>
            <w:r>
              <w:rPr>
                <w:spacing w:val="-2"/>
                <w:sz w:val="20"/>
              </w:rPr>
              <w:t>Substantial</w:t>
            </w:r>
          </w:p>
        </w:tc>
        <w:tc>
          <w:tcPr>
            <w:tcW w:w="1262" w:type="dxa"/>
          </w:tcPr>
          <w:p>
            <w:pPr>
              <w:pStyle w:val="TableParagraph"/>
              <w:spacing w:line="210" w:lineRule="exact"/>
              <w:ind w:left="14" w:right="1"/>
              <w:jc w:val="center"/>
              <w:rPr>
                <w:sz w:val="20"/>
              </w:rPr>
            </w:pPr>
            <w:r>
              <w:rPr>
                <w:spacing w:val="-4"/>
                <w:sz w:val="20"/>
              </w:rPr>
              <w:t>Good</w:t>
            </w:r>
          </w:p>
        </w:tc>
        <w:tc>
          <w:tcPr>
            <w:tcW w:w="1341" w:type="dxa"/>
          </w:tcPr>
          <w:p>
            <w:pPr>
              <w:pStyle w:val="TableParagraph"/>
              <w:spacing w:line="210" w:lineRule="exact"/>
              <w:ind w:left="19"/>
              <w:jc w:val="center"/>
              <w:rPr>
                <w:sz w:val="20"/>
              </w:rPr>
            </w:pPr>
            <w:r>
              <w:rPr>
                <w:spacing w:val="-2"/>
                <w:sz w:val="20"/>
              </w:rPr>
              <w:t>Reasonable</w:t>
            </w:r>
          </w:p>
        </w:tc>
        <w:tc>
          <w:tcPr>
            <w:tcW w:w="1281" w:type="dxa"/>
          </w:tcPr>
          <w:p>
            <w:pPr>
              <w:pStyle w:val="TableParagraph"/>
              <w:spacing w:line="210" w:lineRule="exact"/>
              <w:ind w:left="17" w:right="4"/>
              <w:jc w:val="center"/>
              <w:rPr>
                <w:sz w:val="20"/>
              </w:rPr>
            </w:pPr>
            <w:r>
              <w:rPr>
                <w:spacing w:val="-2"/>
                <w:sz w:val="20"/>
              </w:rPr>
              <w:t>Limited</w:t>
            </w:r>
          </w:p>
        </w:tc>
        <w:tc>
          <w:tcPr>
            <w:tcW w:w="1828" w:type="dxa"/>
            <w:vMerge/>
            <w:tcBorders>
              <w:top w:val="nil"/>
            </w:tcBorders>
          </w:tcPr>
          <w:p>
            <w:pPr>
              <w:rPr>
                <w:sz w:val="2"/>
                <w:szCs w:val="2"/>
              </w:rPr>
            </w:pPr>
          </w:p>
        </w:tc>
      </w:tr>
      <w:tr>
        <w:trPr>
          <w:trHeight w:val="229" w:hRule="atLeast"/>
        </w:trPr>
        <w:tc>
          <w:tcPr>
            <w:tcW w:w="2162" w:type="dxa"/>
          </w:tcPr>
          <w:p>
            <w:pPr>
              <w:pStyle w:val="TableParagraph"/>
              <w:spacing w:line="210" w:lineRule="exact"/>
              <w:ind w:left="107"/>
              <w:rPr>
                <w:sz w:val="20"/>
              </w:rPr>
            </w:pPr>
            <w:r>
              <w:rPr>
                <w:sz w:val="20"/>
              </w:rPr>
              <w:t>Curriculum</w:t>
            </w:r>
            <w:r>
              <w:rPr>
                <w:spacing w:val="-12"/>
                <w:sz w:val="20"/>
              </w:rPr>
              <w:t> </w:t>
            </w:r>
            <w:r>
              <w:rPr>
                <w:spacing w:val="-2"/>
                <w:sz w:val="20"/>
              </w:rPr>
              <w:t>Planning</w:t>
            </w:r>
          </w:p>
        </w:tc>
        <w:tc>
          <w:tcPr>
            <w:tcW w:w="1327" w:type="dxa"/>
          </w:tcPr>
          <w:p>
            <w:pPr>
              <w:pStyle w:val="TableParagraph"/>
              <w:rPr>
                <w:rFonts w:ascii="Times New Roman"/>
                <w:sz w:val="16"/>
              </w:rPr>
            </w:pPr>
          </w:p>
        </w:tc>
        <w:tc>
          <w:tcPr>
            <w:tcW w:w="1262" w:type="dxa"/>
          </w:tcPr>
          <w:p>
            <w:pPr>
              <w:pStyle w:val="TableParagraph"/>
              <w:spacing w:line="210" w:lineRule="exact"/>
              <w:ind w:left="14"/>
              <w:jc w:val="center"/>
              <w:rPr>
                <w:sz w:val="20"/>
              </w:rPr>
            </w:pPr>
            <w:r>
              <w:rPr>
                <w:spacing w:val="-10"/>
                <w:sz w:val="20"/>
              </w:rPr>
              <w:t>√</w:t>
            </w:r>
          </w:p>
        </w:tc>
        <w:tc>
          <w:tcPr>
            <w:tcW w:w="1341" w:type="dxa"/>
          </w:tcPr>
          <w:p>
            <w:pPr>
              <w:pStyle w:val="TableParagraph"/>
              <w:rPr>
                <w:rFonts w:ascii="Times New Roman"/>
                <w:sz w:val="16"/>
              </w:rPr>
            </w:pPr>
          </w:p>
        </w:tc>
        <w:tc>
          <w:tcPr>
            <w:tcW w:w="1281" w:type="dxa"/>
          </w:tcPr>
          <w:p>
            <w:pPr>
              <w:pStyle w:val="TableParagraph"/>
              <w:rPr>
                <w:rFonts w:ascii="Times New Roman"/>
                <w:sz w:val="16"/>
              </w:rPr>
            </w:pPr>
          </w:p>
        </w:tc>
        <w:tc>
          <w:tcPr>
            <w:tcW w:w="1828" w:type="dxa"/>
          </w:tcPr>
          <w:p>
            <w:pPr>
              <w:pStyle w:val="TableParagraph"/>
              <w:spacing w:line="210" w:lineRule="exact"/>
              <w:ind w:left="2" w:right="2"/>
              <w:jc w:val="center"/>
              <w:rPr>
                <w:sz w:val="20"/>
              </w:rPr>
            </w:pPr>
            <w:r>
              <w:rPr>
                <w:sz w:val="20"/>
              </w:rPr>
              <w:t>5</w:t>
            </w:r>
            <w:r>
              <w:rPr>
                <w:spacing w:val="-3"/>
                <w:sz w:val="20"/>
              </w:rPr>
              <w:t> </w:t>
            </w:r>
            <w:r>
              <w:rPr>
                <w:spacing w:val="-5"/>
                <w:sz w:val="20"/>
              </w:rPr>
              <w:t>Low</w:t>
            </w:r>
          </w:p>
        </w:tc>
      </w:tr>
      <w:tr>
        <w:trPr>
          <w:trHeight w:val="459" w:hRule="atLeast"/>
        </w:trPr>
        <w:tc>
          <w:tcPr>
            <w:tcW w:w="2162" w:type="dxa"/>
          </w:tcPr>
          <w:p>
            <w:pPr>
              <w:pStyle w:val="TableParagraph"/>
              <w:spacing w:line="229" w:lineRule="exact"/>
              <w:ind w:left="107"/>
              <w:rPr>
                <w:sz w:val="20"/>
              </w:rPr>
            </w:pPr>
            <w:r>
              <w:rPr>
                <w:sz w:val="20"/>
              </w:rPr>
              <w:t>Funding</w:t>
            </w:r>
            <w:r>
              <w:rPr>
                <w:spacing w:val="-10"/>
                <w:sz w:val="20"/>
              </w:rPr>
              <w:t> </w:t>
            </w:r>
            <w:r>
              <w:rPr>
                <w:spacing w:val="-2"/>
                <w:sz w:val="20"/>
              </w:rPr>
              <w:t>Compliance</w:t>
            </w:r>
          </w:p>
        </w:tc>
        <w:tc>
          <w:tcPr>
            <w:tcW w:w="1327" w:type="dxa"/>
          </w:tcPr>
          <w:p>
            <w:pPr>
              <w:pStyle w:val="TableParagraph"/>
              <w:rPr>
                <w:rFonts w:ascii="Times New Roman"/>
                <w:sz w:val="20"/>
              </w:rPr>
            </w:pPr>
          </w:p>
        </w:tc>
        <w:tc>
          <w:tcPr>
            <w:tcW w:w="1262" w:type="dxa"/>
          </w:tcPr>
          <w:p>
            <w:pPr>
              <w:pStyle w:val="TableParagraph"/>
              <w:rPr>
                <w:rFonts w:ascii="Times New Roman"/>
                <w:sz w:val="20"/>
              </w:rPr>
            </w:pPr>
          </w:p>
        </w:tc>
        <w:tc>
          <w:tcPr>
            <w:tcW w:w="1341" w:type="dxa"/>
          </w:tcPr>
          <w:p>
            <w:pPr>
              <w:pStyle w:val="TableParagraph"/>
              <w:rPr>
                <w:rFonts w:ascii="Times New Roman"/>
                <w:sz w:val="20"/>
              </w:rPr>
            </w:pPr>
          </w:p>
        </w:tc>
        <w:tc>
          <w:tcPr>
            <w:tcW w:w="1281" w:type="dxa"/>
          </w:tcPr>
          <w:p>
            <w:pPr>
              <w:pStyle w:val="TableParagraph"/>
              <w:spacing w:line="229" w:lineRule="exact"/>
              <w:ind w:left="17"/>
              <w:jc w:val="center"/>
              <w:rPr>
                <w:sz w:val="20"/>
              </w:rPr>
            </w:pPr>
            <w:r>
              <w:rPr>
                <w:spacing w:val="-10"/>
                <w:sz w:val="20"/>
              </w:rPr>
              <w:t>√</w:t>
            </w:r>
          </w:p>
        </w:tc>
        <w:tc>
          <w:tcPr>
            <w:tcW w:w="1828" w:type="dxa"/>
          </w:tcPr>
          <w:p>
            <w:pPr>
              <w:pStyle w:val="TableParagraph"/>
              <w:spacing w:line="230" w:lineRule="exact"/>
              <w:ind w:left="719" w:hanging="711"/>
              <w:rPr>
                <w:sz w:val="20"/>
              </w:rPr>
            </w:pPr>
            <w:r>
              <w:rPr>
                <w:sz w:val="20"/>
              </w:rPr>
              <w:t>7</w:t>
            </w:r>
            <w:r>
              <w:rPr>
                <w:spacing w:val="-11"/>
                <w:sz w:val="20"/>
              </w:rPr>
              <w:t> </w:t>
            </w:r>
            <w:r>
              <w:rPr>
                <w:sz w:val="20"/>
              </w:rPr>
              <w:t>High,</w:t>
            </w:r>
            <w:r>
              <w:rPr>
                <w:spacing w:val="-9"/>
                <w:sz w:val="20"/>
              </w:rPr>
              <w:t> </w:t>
            </w:r>
            <w:r>
              <w:rPr>
                <w:sz w:val="20"/>
              </w:rPr>
              <w:t>4</w:t>
            </w:r>
            <w:r>
              <w:rPr>
                <w:spacing w:val="-11"/>
                <w:sz w:val="20"/>
              </w:rPr>
              <w:t> </w:t>
            </w:r>
            <w:r>
              <w:rPr>
                <w:sz w:val="20"/>
              </w:rPr>
              <w:t>Medium,</w:t>
            </w:r>
            <w:r>
              <w:rPr>
                <w:spacing w:val="-9"/>
                <w:sz w:val="20"/>
              </w:rPr>
              <w:t> </w:t>
            </w:r>
            <w:r>
              <w:rPr>
                <w:sz w:val="20"/>
              </w:rPr>
              <w:t>1 </w:t>
            </w:r>
            <w:r>
              <w:rPr>
                <w:spacing w:val="-4"/>
                <w:sz w:val="20"/>
              </w:rPr>
              <w:t>Low</w:t>
            </w:r>
          </w:p>
        </w:tc>
      </w:tr>
      <w:tr>
        <w:trPr>
          <w:trHeight w:val="460" w:hRule="atLeast"/>
        </w:trPr>
        <w:tc>
          <w:tcPr>
            <w:tcW w:w="2162" w:type="dxa"/>
          </w:tcPr>
          <w:p>
            <w:pPr>
              <w:pStyle w:val="TableParagraph"/>
              <w:spacing w:line="230" w:lineRule="exact"/>
              <w:ind w:left="107" w:right="316"/>
              <w:rPr>
                <w:sz w:val="20"/>
              </w:rPr>
            </w:pPr>
            <w:r>
              <w:rPr>
                <w:sz w:val="20"/>
              </w:rPr>
              <w:t>Additional</w:t>
            </w:r>
            <w:r>
              <w:rPr>
                <w:spacing w:val="-14"/>
                <w:sz w:val="20"/>
              </w:rPr>
              <w:t> </w:t>
            </w:r>
            <w:r>
              <w:rPr>
                <w:sz w:val="20"/>
              </w:rPr>
              <w:t>Learning Support / SEND</w:t>
            </w:r>
          </w:p>
        </w:tc>
        <w:tc>
          <w:tcPr>
            <w:tcW w:w="1327" w:type="dxa"/>
          </w:tcPr>
          <w:p>
            <w:pPr>
              <w:pStyle w:val="TableParagraph"/>
              <w:rPr>
                <w:rFonts w:ascii="Times New Roman"/>
                <w:sz w:val="20"/>
              </w:rPr>
            </w:pPr>
          </w:p>
        </w:tc>
        <w:tc>
          <w:tcPr>
            <w:tcW w:w="1262" w:type="dxa"/>
          </w:tcPr>
          <w:p>
            <w:pPr>
              <w:pStyle w:val="TableParagraph"/>
              <w:rPr>
                <w:rFonts w:ascii="Times New Roman"/>
                <w:sz w:val="20"/>
              </w:rPr>
            </w:pPr>
          </w:p>
        </w:tc>
        <w:tc>
          <w:tcPr>
            <w:tcW w:w="1341" w:type="dxa"/>
          </w:tcPr>
          <w:p>
            <w:pPr>
              <w:pStyle w:val="TableParagraph"/>
              <w:spacing w:line="229" w:lineRule="exact"/>
              <w:ind w:left="19" w:right="1"/>
              <w:jc w:val="center"/>
              <w:rPr>
                <w:sz w:val="20"/>
              </w:rPr>
            </w:pPr>
            <w:r>
              <w:rPr>
                <w:spacing w:val="-10"/>
                <w:sz w:val="20"/>
              </w:rPr>
              <w:t>√</w:t>
            </w:r>
          </w:p>
        </w:tc>
        <w:tc>
          <w:tcPr>
            <w:tcW w:w="1281" w:type="dxa"/>
          </w:tcPr>
          <w:p>
            <w:pPr>
              <w:pStyle w:val="TableParagraph"/>
              <w:rPr>
                <w:rFonts w:ascii="Times New Roman"/>
                <w:sz w:val="20"/>
              </w:rPr>
            </w:pPr>
          </w:p>
        </w:tc>
        <w:tc>
          <w:tcPr>
            <w:tcW w:w="1828" w:type="dxa"/>
          </w:tcPr>
          <w:p>
            <w:pPr>
              <w:pStyle w:val="TableParagraph"/>
              <w:spacing w:line="230" w:lineRule="exact"/>
              <w:ind w:left="719" w:hanging="711"/>
              <w:rPr>
                <w:sz w:val="20"/>
              </w:rPr>
            </w:pPr>
            <w:r>
              <w:rPr>
                <w:sz w:val="20"/>
              </w:rPr>
              <w:t>1</w:t>
            </w:r>
            <w:r>
              <w:rPr>
                <w:spacing w:val="-11"/>
                <w:sz w:val="20"/>
              </w:rPr>
              <w:t> </w:t>
            </w:r>
            <w:r>
              <w:rPr>
                <w:sz w:val="20"/>
              </w:rPr>
              <w:t>High,</w:t>
            </w:r>
            <w:r>
              <w:rPr>
                <w:spacing w:val="-9"/>
                <w:sz w:val="20"/>
              </w:rPr>
              <w:t> </w:t>
            </w:r>
            <w:r>
              <w:rPr>
                <w:sz w:val="20"/>
              </w:rPr>
              <w:t>4</w:t>
            </w:r>
            <w:r>
              <w:rPr>
                <w:spacing w:val="-11"/>
                <w:sz w:val="20"/>
              </w:rPr>
              <w:t> </w:t>
            </w:r>
            <w:r>
              <w:rPr>
                <w:sz w:val="20"/>
              </w:rPr>
              <w:t>Medium,</w:t>
            </w:r>
            <w:r>
              <w:rPr>
                <w:spacing w:val="-9"/>
                <w:sz w:val="20"/>
              </w:rPr>
              <w:t> </w:t>
            </w:r>
            <w:r>
              <w:rPr>
                <w:sz w:val="20"/>
              </w:rPr>
              <w:t>3 </w:t>
            </w:r>
            <w:r>
              <w:rPr>
                <w:spacing w:val="-4"/>
                <w:sz w:val="20"/>
              </w:rPr>
              <w:t>Low</w:t>
            </w:r>
          </w:p>
        </w:tc>
      </w:tr>
      <w:tr>
        <w:trPr>
          <w:trHeight w:val="229" w:hRule="atLeast"/>
        </w:trPr>
        <w:tc>
          <w:tcPr>
            <w:tcW w:w="2162" w:type="dxa"/>
          </w:tcPr>
          <w:p>
            <w:pPr>
              <w:pStyle w:val="TableParagraph"/>
              <w:spacing w:line="210" w:lineRule="exact"/>
              <w:ind w:left="107"/>
              <w:rPr>
                <w:sz w:val="20"/>
              </w:rPr>
            </w:pPr>
            <w:r>
              <w:rPr>
                <w:spacing w:val="-2"/>
                <w:sz w:val="20"/>
              </w:rPr>
              <w:t>Subcontracting</w:t>
            </w:r>
          </w:p>
        </w:tc>
        <w:tc>
          <w:tcPr>
            <w:tcW w:w="1327" w:type="dxa"/>
          </w:tcPr>
          <w:p>
            <w:pPr>
              <w:pStyle w:val="TableParagraph"/>
              <w:rPr>
                <w:rFonts w:ascii="Times New Roman"/>
                <w:sz w:val="16"/>
              </w:rPr>
            </w:pPr>
          </w:p>
        </w:tc>
        <w:tc>
          <w:tcPr>
            <w:tcW w:w="1262" w:type="dxa"/>
          </w:tcPr>
          <w:p>
            <w:pPr>
              <w:pStyle w:val="TableParagraph"/>
              <w:spacing w:line="210" w:lineRule="exact"/>
              <w:ind w:left="14"/>
              <w:jc w:val="center"/>
              <w:rPr>
                <w:sz w:val="20"/>
              </w:rPr>
            </w:pPr>
            <w:r>
              <w:rPr>
                <w:spacing w:val="-10"/>
                <w:sz w:val="20"/>
              </w:rPr>
              <w:t>√</w:t>
            </w:r>
          </w:p>
        </w:tc>
        <w:tc>
          <w:tcPr>
            <w:tcW w:w="1341" w:type="dxa"/>
          </w:tcPr>
          <w:p>
            <w:pPr>
              <w:pStyle w:val="TableParagraph"/>
              <w:rPr>
                <w:rFonts w:ascii="Times New Roman"/>
                <w:sz w:val="16"/>
              </w:rPr>
            </w:pPr>
          </w:p>
        </w:tc>
        <w:tc>
          <w:tcPr>
            <w:tcW w:w="1281" w:type="dxa"/>
          </w:tcPr>
          <w:p>
            <w:pPr>
              <w:pStyle w:val="TableParagraph"/>
              <w:rPr>
                <w:rFonts w:ascii="Times New Roman"/>
                <w:sz w:val="16"/>
              </w:rPr>
            </w:pPr>
          </w:p>
        </w:tc>
        <w:tc>
          <w:tcPr>
            <w:tcW w:w="1828" w:type="dxa"/>
          </w:tcPr>
          <w:p>
            <w:pPr>
              <w:pStyle w:val="TableParagraph"/>
              <w:spacing w:line="210" w:lineRule="exact"/>
              <w:ind w:left="2" w:right="2"/>
              <w:jc w:val="center"/>
              <w:rPr>
                <w:sz w:val="20"/>
              </w:rPr>
            </w:pPr>
            <w:r>
              <w:rPr>
                <w:sz w:val="20"/>
              </w:rPr>
              <w:t>3</w:t>
            </w:r>
            <w:r>
              <w:rPr>
                <w:spacing w:val="-4"/>
                <w:sz w:val="20"/>
              </w:rPr>
              <w:t> </w:t>
            </w:r>
            <w:r>
              <w:rPr>
                <w:sz w:val="20"/>
              </w:rPr>
              <w:t>Medum,</w:t>
            </w:r>
            <w:r>
              <w:rPr>
                <w:spacing w:val="-4"/>
                <w:sz w:val="20"/>
              </w:rPr>
              <w:t> </w:t>
            </w:r>
            <w:r>
              <w:rPr>
                <w:sz w:val="20"/>
              </w:rPr>
              <w:t>4</w:t>
            </w:r>
            <w:r>
              <w:rPr>
                <w:spacing w:val="-2"/>
                <w:sz w:val="20"/>
              </w:rPr>
              <w:t> </w:t>
            </w:r>
            <w:r>
              <w:rPr>
                <w:spacing w:val="-5"/>
                <w:sz w:val="20"/>
              </w:rPr>
              <w:t>Low</w:t>
            </w:r>
          </w:p>
        </w:tc>
      </w:tr>
      <w:tr>
        <w:trPr>
          <w:trHeight w:val="229" w:hRule="atLeast"/>
        </w:trPr>
        <w:tc>
          <w:tcPr>
            <w:tcW w:w="2162" w:type="dxa"/>
          </w:tcPr>
          <w:p>
            <w:pPr>
              <w:pStyle w:val="TableParagraph"/>
              <w:spacing w:line="210" w:lineRule="exact"/>
              <w:ind w:left="107"/>
              <w:rPr>
                <w:sz w:val="20"/>
              </w:rPr>
            </w:pPr>
            <w:r>
              <w:rPr>
                <w:spacing w:val="-2"/>
                <w:sz w:val="20"/>
              </w:rPr>
              <w:t>Safeguarding</w:t>
            </w:r>
          </w:p>
        </w:tc>
        <w:tc>
          <w:tcPr>
            <w:tcW w:w="1327" w:type="dxa"/>
          </w:tcPr>
          <w:p>
            <w:pPr>
              <w:pStyle w:val="TableParagraph"/>
              <w:rPr>
                <w:rFonts w:ascii="Times New Roman"/>
                <w:sz w:val="16"/>
              </w:rPr>
            </w:pPr>
          </w:p>
        </w:tc>
        <w:tc>
          <w:tcPr>
            <w:tcW w:w="1262" w:type="dxa"/>
          </w:tcPr>
          <w:p>
            <w:pPr>
              <w:pStyle w:val="TableParagraph"/>
              <w:spacing w:line="210" w:lineRule="exact"/>
              <w:ind w:left="14"/>
              <w:jc w:val="center"/>
              <w:rPr>
                <w:sz w:val="20"/>
              </w:rPr>
            </w:pPr>
            <w:r>
              <w:rPr>
                <w:spacing w:val="-10"/>
                <w:sz w:val="20"/>
              </w:rPr>
              <w:t>√</w:t>
            </w:r>
          </w:p>
        </w:tc>
        <w:tc>
          <w:tcPr>
            <w:tcW w:w="1341" w:type="dxa"/>
          </w:tcPr>
          <w:p>
            <w:pPr>
              <w:pStyle w:val="TableParagraph"/>
              <w:rPr>
                <w:rFonts w:ascii="Times New Roman"/>
                <w:sz w:val="16"/>
              </w:rPr>
            </w:pPr>
          </w:p>
        </w:tc>
        <w:tc>
          <w:tcPr>
            <w:tcW w:w="1281" w:type="dxa"/>
          </w:tcPr>
          <w:p>
            <w:pPr>
              <w:pStyle w:val="TableParagraph"/>
              <w:rPr>
                <w:rFonts w:ascii="Times New Roman"/>
                <w:sz w:val="16"/>
              </w:rPr>
            </w:pPr>
          </w:p>
        </w:tc>
        <w:tc>
          <w:tcPr>
            <w:tcW w:w="1828" w:type="dxa"/>
          </w:tcPr>
          <w:p>
            <w:pPr>
              <w:pStyle w:val="TableParagraph"/>
              <w:spacing w:line="210" w:lineRule="exact"/>
              <w:ind w:left="2" w:right="2"/>
              <w:jc w:val="center"/>
              <w:rPr>
                <w:sz w:val="20"/>
              </w:rPr>
            </w:pPr>
            <w:r>
              <w:rPr>
                <w:sz w:val="20"/>
              </w:rPr>
              <w:t>5</w:t>
            </w:r>
            <w:r>
              <w:rPr>
                <w:spacing w:val="-3"/>
                <w:sz w:val="20"/>
              </w:rPr>
              <w:t> </w:t>
            </w:r>
            <w:r>
              <w:rPr>
                <w:spacing w:val="-5"/>
                <w:sz w:val="20"/>
              </w:rPr>
              <w:t>Low</w:t>
            </w:r>
          </w:p>
        </w:tc>
      </w:tr>
      <w:tr>
        <w:trPr>
          <w:trHeight w:val="460" w:hRule="atLeast"/>
        </w:trPr>
        <w:tc>
          <w:tcPr>
            <w:tcW w:w="2162" w:type="dxa"/>
          </w:tcPr>
          <w:p>
            <w:pPr>
              <w:pStyle w:val="TableParagraph"/>
              <w:spacing w:line="230" w:lineRule="exact"/>
              <w:ind w:left="107"/>
              <w:rPr>
                <w:sz w:val="20"/>
              </w:rPr>
            </w:pPr>
            <w:r>
              <w:rPr>
                <w:sz w:val="20"/>
              </w:rPr>
              <w:t>IT</w:t>
            </w:r>
            <w:r>
              <w:rPr>
                <w:spacing w:val="-14"/>
                <w:sz w:val="20"/>
              </w:rPr>
              <w:t> </w:t>
            </w:r>
            <w:r>
              <w:rPr>
                <w:sz w:val="20"/>
              </w:rPr>
              <w:t>Service</w:t>
            </w:r>
            <w:r>
              <w:rPr>
                <w:spacing w:val="-14"/>
                <w:sz w:val="20"/>
              </w:rPr>
              <w:t> </w:t>
            </w:r>
            <w:r>
              <w:rPr>
                <w:sz w:val="20"/>
              </w:rPr>
              <w:t>Desk </w:t>
            </w:r>
            <w:r>
              <w:rPr>
                <w:spacing w:val="-2"/>
                <w:sz w:val="20"/>
              </w:rPr>
              <w:t>Management</w:t>
            </w:r>
          </w:p>
        </w:tc>
        <w:tc>
          <w:tcPr>
            <w:tcW w:w="1327" w:type="dxa"/>
          </w:tcPr>
          <w:p>
            <w:pPr>
              <w:pStyle w:val="TableParagraph"/>
              <w:rPr>
                <w:rFonts w:ascii="Times New Roman"/>
                <w:sz w:val="20"/>
              </w:rPr>
            </w:pPr>
          </w:p>
        </w:tc>
        <w:tc>
          <w:tcPr>
            <w:tcW w:w="1262" w:type="dxa"/>
          </w:tcPr>
          <w:p>
            <w:pPr>
              <w:pStyle w:val="TableParagraph"/>
              <w:spacing w:line="229" w:lineRule="exact"/>
              <w:ind w:left="14"/>
              <w:jc w:val="center"/>
              <w:rPr>
                <w:sz w:val="20"/>
              </w:rPr>
            </w:pPr>
            <w:r>
              <w:rPr>
                <w:spacing w:val="-10"/>
                <w:sz w:val="20"/>
              </w:rPr>
              <w:t>√</w:t>
            </w:r>
          </w:p>
        </w:tc>
        <w:tc>
          <w:tcPr>
            <w:tcW w:w="1341" w:type="dxa"/>
          </w:tcPr>
          <w:p>
            <w:pPr>
              <w:pStyle w:val="TableParagraph"/>
              <w:rPr>
                <w:rFonts w:ascii="Times New Roman"/>
                <w:sz w:val="20"/>
              </w:rPr>
            </w:pPr>
          </w:p>
        </w:tc>
        <w:tc>
          <w:tcPr>
            <w:tcW w:w="1281" w:type="dxa"/>
          </w:tcPr>
          <w:p>
            <w:pPr>
              <w:pStyle w:val="TableParagraph"/>
              <w:rPr>
                <w:rFonts w:ascii="Times New Roman"/>
                <w:sz w:val="20"/>
              </w:rPr>
            </w:pPr>
          </w:p>
        </w:tc>
        <w:tc>
          <w:tcPr>
            <w:tcW w:w="1828" w:type="dxa"/>
          </w:tcPr>
          <w:p>
            <w:pPr>
              <w:pStyle w:val="TableParagraph"/>
              <w:spacing w:line="229" w:lineRule="exact"/>
              <w:ind w:right="2"/>
              <w:jc w:val="center"/>
              <w:rPr>
                <w:sz w:val="20"/>
              </w:rPr>
            </w:pPr>
            <w:r>
              <w:rPr>
                <w:sz w:val="20"/>
              </w:rPr>
              <w:t>2</w:t>
            </w:r>
            <w:r>
              <w:rPr>
                <w:spacing w:val="-5"/>
                <w:sz w:val="20"/>
              </w:rPr>
              <w:t> </w:t>
            </w:r>
            <w:r>
              <w:rPr>
                <w:sz w:val="20"/>
              </w:rPr>
              <w:t>Medium,</w:t>
            </w:r>
            <w:r>
              <w:rPr>
                <w:spacing w:val="-3"/>
                <w:sz w:val="20"/>
              </w:rPr>
              <w:t> </w:t>
            </w:r>
            <w:r>
              <w:rPr>
                <w:sz w:val="20"/>
              </w:rPr>
              <w:t>2</w:t>
            </w:r>
            <w:r>
              <w:rPr>
                <w:spacing w:val="-4"/>
                <w:sz w:val="20"/>
              </w:rPr>
              <w:t> </w:t>
            </w:r>
            <w:r>
              <w:rPr>
                <w:spacing w:val="-5"/>
                <w:sz w:val="20"/>
              </w:rPr>
              <w:t>Low</w:t>
            </w:r>
          </w:p>
        </w:tc>
      </w:tr>
      <w:tr>
        <w:trPr>
          <w:trHeight w:val="232" w:hRule="atLeast"/>
        </w:trPr>
        <w:tc>
          <w:tcPr>
            <w:tcW w:w="2162" w:type="dxa"/>
          </w:tcPr>
          <w:p>
            <w:pPr>
              <w:pStyle w:val="TableParagraph"/>
              <w:spacing w:line="212" w:lineRule="exact"/>
              <w:ind w:left="107"/>
              <w:rPr>
                <w:sz w:val="20"/>
              </w:rPr>
            </w:pPr>
            <w:r>
              <w:rPr>
                <w:sz w:val="20"/>
              </w:rPr>
              <w:t>Follow</w:t>
            </w:r>
            <w:r>
              <w:rPr>
                <w:spacing w:val="-10"/>
                <w:sz w:val="20"/>
              </w:rPr>
              <w:t> </w:t>
            </w:r>
            <w:r>
              <w:rPr>
                <w:spacing w:val="-5"/>
                <w:sz w:val="20"/>
              </w:rPr>
              <w:t>Up</w:t>
            </w:r>
          </w:p>
        </w:tc>
        <w:tc>
          <w:tcPr>
            <w:tcW w:w="1327" w:type="dxa"/>
          </w:tcPr>
          <w:p>
            <w:pPr>
              <w:pStyle w:val="TableParagraph"/>
              <w:rPr>
                <w:rFonts w:ascii="Times New Roman"/>
                <w:sz w:val="16"/>
              </w:rPr>
            </w:pPr>
          </w:p>
        </w:tc>
        <w:tc>
          <w:tcPr>
            <w:tcW w:w="1262" w:type="dxa"/>
          </w:tcPr>
          <w:p>
            <w:pPr>
              <w:pStyle w:val="TableParagraph"/>
              <w:rPr>
                <w:rFonts w:ascii="Times New Roman"/>
                <w:sz w:val="16"/>
              </w:rPr>
            </w:pPr>
          </w:p>
        </w:tc>
        <w:tc>
          <w:tcPr>
            <w:tcW w:w="1341" w:type="dxa"/>
          </w:tcPr>
          <w:p>
            <w:pPr>
              <w:pStyle w:val="TableParagraph"/>
              <w:spacing w:line="212" w:lineRule="exact"/>
              <w:ind w:left="19" w:right="1"/>
              <w:jc w:val="center"/>
              <w:rPr>
                <w:sz w:val="20"/>
              </w:rPr>
            </w:pPr>
            <w:r>
              <w:rPr>
                <w:spacing w:val="-10"/>
                <w:sz w:val="20"/>
              </w:rPr>
              <w:t>√</w:t>
            </w:r>
          </w:p>
        </w:tc>
        <w:tc>
          <w:tcPr>
            <w:tcW w:w="1281" w:type="dxa"/>
          </w:tcPr>
          <w:p>
            <w:pPr>
              <w:pStyle w:val="TableParagraph"/>
              <w:rPr>
                <w:rFonts w:ascii="Times New Roman"/>
                <w:sz w:val="16"/>
              </w:rPr>
            </w:pPr>
          </w:p>
        </w:tc>
        <w:tc>
          <w:tcPr>
            <w:tcW w:w="1828" w:type="dxa"/>
          </w:tcPr>
          <w:p>
            <w:pPr>
              <w:pStyle w:val="TableParagraph"/>
              <w:spacing w:line="212" w:lineRule="exact"/>
              <w:ind w:right="2"/>
              <w:jc w:val="center"/>
              <w:rPr>
                <w:sz w:val="20"/>
              </w:rPr>
            </w:pPr>
            <w:r>
              <w:rPr>
                <w:sz w:val="20"/>
              </w:rPr>
              <w:t>6</w:t>
            </w:r>
            <w:r>
              <w:rPr>
                <w:spacing w:val="-5"/>
                <w:sz w:val="20"/>
              </w:rPr>
              <w:t> </w:t>
            </w:r>
            <w:r>
              <w:rPr>
                <w:sz w:val="20"/>
              </w:rPr>
              <w:t>Medium,</w:t>
            </w:r>
            <w:r>
              <w:rPr>
                <w:spacing w:val="-3"/>
                <w:sz w:val="20"/>
              </w:rPr>
              <w:t> </w:t>
            </w:r>
            <w:r>
              <w:rPr>
                <w:sz w:val="20"/>
              </w:rPr>
              <w:t>4</w:t>
            </w:r>
            <w:r>
              <w:rPr>
                <w:spacing w:val="-4"/>
                <w:sz w:val="20"/>
              </w:rPr>
              <w:t> </w:t>
            </w:r>
            <w:r>
              <w:rPr>
                <w:spacing w:val="-5"/>
                <w:sz w:val="20"/>
              </w:rPr>
              <w:t>Low</w:t>
            </w:r>
          </w:p>
        </w:tc>
      </w:tr>
    </w:tbl>
    <w:p>
      <w:pPr>
        <w:pStyle w:val="BodyText"/>
        <w:spacing w:before="122"/>
        <w:ind w:left="852" w:right="1086"/>
        <w:jc w:val="both"/>
      </w:pPr>
      <w:r>
        <w:rPr/>
        <w:t>Audit One (Internal Auditors) have completed their audit program of work and concluded their opinion that they are able to offer “good” assurance on the adequacy and effectiveness of the College’s risk management, control and governance processes.</w:t>
      </w:r>
      <w:r>
        <w:rPr>
          <w:spacing w:val="40"/>
        </w:rPr>
        <w:t> </w:t>
      </w:r>
      <w:r>
        <w:rPr/>
        <w:t>In their view, governance, risk management and control arrangements provided “good” assurance that the risks identified were managed effectively.</w:t>
      </w:r>
    </w:p>
    <w:p>
      <w:pPr>
        <w:pStyle w:val="BodyText"/>
        <w:spacing w:before="120"/>
        <w:ind w:left="852" w:right="1087"/>
        <w:jc w:val="both"/>
      </w:pPr>
      <w:r>
        <w:rPr/>
        <w:t>There were a number of high risk recommendations relating to Funding and ALS/SEND Compliance. All</w:t>
      </w:r>
      <w:r>
        <w:rPr>
          <w:spacing w:val="-1"/>
        </w:rPr>
        <w:t> </w:t>
      </w:r>
      <w:r>
        <w:rPr/>
        <w:t>recommendations</w:t>
      </w:r>
      <w:r>
        <w:rPr>
          <w:spacing w:val="-1"/>
        </w:rPr>
        <w:t> </w:t>
      </w:r>
      <w:r>
        <w:rPr/>
        <w:t>have been</w:t>
      </w:r>
      <w:r>
        <w:rPr>
          <w:spacing w:val="-3"/>
        </w:rPr>
        <w:t> </w:t>
      </w:r>
      <w:r>
        <w:rPr/>
        <w:t>implemented. In addition,</w:t>
      </w:r>
      <w:r>
        <w:rPr>
          <w:spacing w:val="-3"/>
        </w:rPr>
        <w:t> </w:t>
      </w:r>
      <w:r>
        <w:rPr/>
        <w:t>an internal</w:t>
      </w:r>
      <w:r>
        <w:rPr>
          <w:spacing w:val="-4"/>
        </w:rPr>
        <w:t> </w:t>
      </w:r>
      <w:r>
        <w:rPr/>
        <w:t>committee has been established to review and monitor the implementation of the audit recommendations and undertake substantive audit testing relating to funding compliance and best practise.</w:t>
      </w:r>
    </w:p>
    <w:p>
      <w:pPr>
        <w:pStyle w:val="Heading6"/>
        <w:spacing w:before="120"/>
      </w:pPr>
      <w:r>
        <w:rPr/>
        <w:t>Review</w:t>
      </w:r>
      <w:r>
        <w:rPr>
          <w:spacing w:val="-7"/>
        </w:rPr>
        <w:t> </w:t>
      </w:r>
      <w:r>
        <w:rPr/>
        <w:t>of</w:t>
      </w:r>
      <w:r>
        <w:rPr>
          <w:spacing w:val="-4"/>
        </w:rPr>
        <w:t> </w:t>
      </w:r>
      <w:r>
        <w:rPr>
          <w:spacing w:val="-2"/>
        </w:rPr>
        <w:t>effectiveness</w:t>
      </w:r>
    </w:p>
    <w:p>
      <w:pPr>
        <w:pStyle w:val="BodyText"/>
        <w:spacing w:before="120"/>
        <w:ind w:left="852" w:right="1087"/>
        <w:jc w:val="both"/>
      </w:pPr>
      <w:r>
        <w:rPr/>
        <w:t>Through a planning workshop with the Executive team and Internal Auditor the Audit Committee has overseen a comprehensive programme of internal audit work together with risk assurance mapping and training and development on risk.</w:t>
      </w:r>
    </w:p>
    <w:p>
      <w:pPr>
        <w:pStyle w:val="BodyText"/>
        <w:spacing w:before="119"/>
        <w:ind w:left="852" w:right="1088"/>
        <w:jc w:val="both"/>
      </w:pPr>
      <w:r>
        <w:rPr/>
        <w:t>Where the College was unable to proceed with planned procurement activity, any deviations from normal procedures were considered and approved by the Corporation.</w:t>
      </w:r>
      <w:r>
        <w:rPr>
          <w:spacing w:val="40"/>
        </w:rPr>
        <w:t> </w:t>
      </w:r>
      <w:r>
        <w:rPr/>
        <w:t>Any subsequent contract extensions were given clear time limits only as reasonably necessary in the circumstances.</w:t>
      </w:r>
    </w:p>
    <w:p>
      <w:pPr>
        <w:pStyle w:val="BodyText"/>
        <w:spacing w:before="122"/>
        <w:ind w:left="852" w:right="1087"/>
        <w:jc w:val="both"/>
      </w:pPr>
      <w:r>
        <w:rPr/>
        <w:t>As Accounting Officer, the Chief Executive has responsibility for</w:t>
      </w:r>
      <w:r>
        <w:rPr>
          <w:spacing w:val="-1"/>
        </w:rPr>
        <w:t> </w:t>
      </w:r>
      <w:r>
        <w:rPr/>
        <w:t>reviewing the effectiveness of</w:t>
      </w:r>
      <w:r>
        <w:rPr>
          <w:spacing w:val="-2"/>
        </w:rPr>
        <w:t> </w:t>
      </w:r>
      <w:r>
        <w:rPr/>
        <w:t>the system of internal control.</w:t>
      </w:r>
      <w:r>
        <w:rPr>
          <w:spacing w:val="40"/>
        </w:rPr>
        <w:t> </w:t>
      </w:r>
      <w:r>
        <w:rPr/>
        <w:t>The Chief Executive’s review of the effectiveness of the system of internal control is informed by:</w:t>
      </w:r>
    </w:p>
    <w:p>
      <w:pPr>
        <w:pStyle w:val="ListParagraph"/>
        <w:numPr>
          <w:ilvl w:val="0"/>
          <w:numId w:val="6"/>
        </w:numPr>
        <w:tabs>
          <w:tab w:pos="1985" w:val="left" w:leader="none"/>
        </w:tabs>
        <w:spacing w:line="240" w:lineRule="auto" w:before="117" w:after="0"/>
        <w:ind w:left="1985" w:right="0" w:hanging="567"/>
        <w:jc w:val="left"/>
        <w:rPr>
          <w:sz w:val="20"/>
        </w:rPr>
      </w:pPr>
      <w:r>
        <w:rPr>
          <w:sz w:val="20"/>
        </w:rPr>
        <w:t>the</w:t>
      </w:r>
      <w:r>
        <w:rPr>
          <w:spacing w:val="-5"/>
          <w:sz w:val="20"/>
        </w:rPr>
        <w:t> </w:t>
      </w:r>
      <w:r>
        <w:rPr>
          <w:sz w:val="20"/>
        </w:rPr>
        <w:t>work</w:t>
      </w:r>
      <w:r>
        <w:rPr>
          <w:spacing w:val="-5"/>
          <w:sz w:val="20"/>
        </w:rPr>
        <w:t> </w:t>
      </w:r>
      <w:r>
        <w:rPr>
          <w:sz w:val="20"/>
        </w:rPr>
        <w:t>of</w:t>
      </w:r>
      <w:r>
        <w:rPr>
          <w:spacing w:val="-4"/>
          <w:sz w:val="20"/>
        </w:rPr>
        <w:t> </w:t>
      </w:r>
      <w:r>
        <w:rPr>
          <w:sz w:val="20"/>
        </w:rPr>
        <w:t>the</w:t>
      </w:r>
      <w:r>
        <w:rPr>
          <w:spacing w:val="-5"/>
          <w:sz w:val="20"/>
        </w:rPr>
        <w:t> </w:t>
      </w:r>
      <w:r>
        <w:rPr>
          <w:sz w:val="20"/>
        </w:rPr>
        <w:t>internal</w:t>
      </w:r>
      <w:r>
        <w:rPr>
          <w:spacing w:val="-5"/>
          <w:sz w:val="20"/>
        </w:rPr>
        <w:t> </w:t>
      </w:r>
      <w:r>
        <w:rPr>
          <w:spacing w:val="-2"/>
          <w:sz w:val="20"/>
        </w:rPr>
        <w:t>auditors</w:t>
      </w:r>
    </w:p>
    <w:p>
      <w:pPr>
        <w:pStyle w:val="ListParagraph"/>
        <w:numPr>
          <w:ilvl w:val="0"/>
          <w:numId w:val="6"/>
        </w:numPr>
        <w:tabs>
          <w:tab w:pos="1985" w:val="left" w:leader="none"/>
        </w:tabs>
        <w:spacing w:line="237" w:lineRule="auto" w:before="4" w:after="0"/>
        <w:ind w:left="1985" w:right="1088" w:hanging="567"/>
        <w:jc w:val="left"/>
        <w:rPr>
          <w:sz w:val="20"/>
        </w:rPr>
      </w:pPr>
      <w:r>
        <w:rPr>
          <w:sz w:val="20"/>
        </w:rPr>
        <w:t>the</w:t>
      </w:r>
      <w:r>
        <w:rPr>
          <w:spacing w:val="-3"/>
          <w:sz w:val="20"/>
        </w:rPr>
        <w:t> </w:t>
      </w:r>
      <w:r>
        <w:rPr>
          <w:sz w:val="20"/>
        </w:rPr>
        <w:t>work</w:t>
      </w:r>
      <w:r>
        <w:rPr>
          <w:spacing w:val="-1"/>
          <w:sz w:val="20"/>
        </w:rPr>
        <w:t> </w:t>
      </w:r>
      <w:r>
        <w:rPr>
          <w:sz w:val="20"/>
        </w:rPr>
        <w:t>of</w:t>
      </w:r>
      <w:r>
        <w:rPr>
          <w:spacing w:val="-3"/>
          <w:sz w:val="20"/>
        </w:rPr>
        <w:t> </w:t>
      </w:r>
      <w:r>
        <w:rPr>
          <w:sz w:val="20"/>
        </w:rPr>
        <w:t>the</w:t>
      </w:r>
      <w:r>
        <w:rPr>
          <w:spacing w:val="-3"/>
          <w:sz w:val="20"/>
        </w:rPr>
        <w:t> </w:t>
      </w:r>
      <w:r>
        <w:rPr>
          <w:sz w:val="20"/>
        </w:rPr>
        <w:t>executive</w:t>
      </w:r>
      <w:r>
        <w:rPr>
          <w:spacing w:val="-3"/>
          <w:sz w:val="20"/>
        </w:rPr>
        <w:t> </w:t>
      </w:r>
      <w:r>
        <w:rPr>
          <w:sz w:val="20"/>
        </w:rPr>
        <w:t>managers</w:t>
      </w:r>
      <w:r>
        <w:rPr>
          <w:spacing w:val="-1"/>
          <w:sz w:val="20"/>
        </w:rPr>
        <w:t> </w:t>
      </w:r>
      <w:r>
        <w:rPr>
          <w:sz w:val="20"/>
        </w:rPr>
        <w:t>within</w:t>
      </w:r>
      <w:r>
        <w:rPr>
          <w:spacing w:val="-3"/>
          <w:sz w:val="20"/>
        </w:rPr>
        <w:t> </w:t>
      </w:r>
      <w:r>
        <w:rPr>
          <w:sz w:val="20"/>
        </w:rPr>
        <w:t>the</w:t>
      </w:r>
      <w:r>
        <w:rPr>
          <w:spacing w:val="-3"/>
          <w:sz w:val="20"/>
        </w:rPr>
        <w:t> </w:t>
      </w:r>
      <w:r>
        <w:rPr>
          <w:sz w:val="20"/>
        </w:rPr>
        <w:t>College who</w:t>
      </w:r>
      <w:r>
        <w:rPr>
          <w:spacing w:val="-3"/>
          <w:sz w:val="20"/>
        </w:rPr>
        <w:t> </w:t>
      </w:r>
      <w:r>
        <w:rPr>
          <w:sz w:val="20"/>
        </w:rPr>
        <w:t>have</w:t>
      </w:r>
      <w:r>
        <w:rPr>
          <w:spacing w:val="-3"/>
          <w:sz w:val="20"/>
        </w:rPr>
        <w:t> </w:t>
      </w:r>
      <w:r>
        <w:rPr>
          <w:sz w:val="20"/>
        </w:rPr>
        <w:t>responsibility</w:t>
      </w:r>
      <w:r>
        <w:rPr>
          <w:spacing w:val="-1"/>
          <w:sz w:val="20"/>
        </w:rPr>
        <w:t> </w:t>
      </w:r>
      <w:r>
        <w:rPr>
          <w:sz w:val="20"/>
        </w:rPr>
        <w:t>for the development and maintenance of the internal control framework</w:t>
      </w:r>
    </w:p>
    <w:p>
      <w:pPr>
        <w:pStyle w:val="ListParagraph"/>
        <w:numPr>
          <w:ilvl w:val="0"/>
          <w:numId w:val="6"/>
        </w:numPr>
        <w:tabs>
          <w:tab w:pos="1985" w:val="left" w:leader="none"/>
        </w:tabs>
        <w:spacing w:line="237" w:lineRule="auto" w:before="3" w:after="0"/>
        <w:ind w:left="1985" w:right="1087" w:hanging="567"/>
        <w:jc w:val="left"/>
        <w:rPr>
          <w:sz w:val="20"/>
        </w:rPr>
      </w:pPr>
      <w:r>
        <w:rPr>
          <w:sz w:val="20"/>
        </w:rPr>
        <w:t>observations</w:t>
      </w:r>
      <w:r>
        <w:rPr>
          <w:spacing w:val="-12"/>
          <w:sz w:val="20"/>
        </w:rPr>
        <w:t> </w:t>
      </w:r>
      <w:r>
        <w:rPr>
          <w:sz w:val="20"/>
        </w:rPr>
        <w:t>made</w:t>
      </w:r>
      <w:r>
        <w:rPr>
          <w:spacing w:val="-13"/>
          <w:sz w:val="20"/>
        </w:rPr>
        <w:t> </w:t>
      </w:r>
      <w:r>
        <w:rPr>
          <w:sz w:val="20"/>
        </w:rPr>
        <w:t>by</w:t>
      </w:r>
      <w:r>
        <w:rPr>
          <w:spacing w:val="-12"/>
          <w:sz w:val="20"/>
        </w:rPr>
        <w:t> </w:t>
      </w:r>
      <w:r>
        <w:rPr>
          <w:sz w:val="20"/>
        </w:rPr>
        <w:t>the</w:t>
      </w:r>
      <w:r>
        <w:rPr>
          <w:spacing w:val="-11"/>
          <w:sz w:val="20"/>
        </w:rPr>
        <w:t> </w:t>
      </w:r>
      <w:r>
        <w:rPr>
          <w:sz w:val="20"/>
        </w:rPr>
        <w:t>College’s</w:t>
      </w:r>
      <w:r>
        <w:rPr>
          <w:spacing w:val="-12"/>
          <w:sz w:val="20"/>
        </w:rPr>
        <w:t> </w:t>
      </w:r>
      <w:r>
        <w:rPr>
          <w:sz w:val="20"/>
        </w:rPr>
        <w:t>financial</w:t>
      </w:r>
      <w:r>
        <w:rPr>
          <w:spacing w:val="-13"/>
          <w:sz w:val="20"/>
        </w:rPr>
        <w:t> </w:t>
      </w:r>
      <w:r>
        <w:rPr>
          <w:sz w:val="20"/>
        </w:rPr>
        <w:t>statements</w:t>
      </w:r>
      <w:r>
        <w:rPr>
          <w:spacing w:val="-12"/>
          <w:sz w:val="20"/>
        </w:rPr>
        <w:t> </w:t>
      </w:r>
      <w:r>
        <w:rPr>
          <w:sz w:val="20"/>
        </w:rPr>
        <w:t>auditors</w:t>
      </w:r>
      <w:r>
        <w:rPr>
          <w:spacing w:val="-12"/>
          <w:sz w:val="20"/>
        </w:rPr>
        <w:t> </w:t>
      </w:r>
      <w:r>
        <w:rPr>
          <w:sz w:val="20"/>
        </w:rPr>
        <w:t>in</w:t>
      </w:r>
      <w:r>
        <w:rPr>
          <w:spacing w:val="-13"/>
          <w:sz w:val="20"/>
        </w:rPr>
        <w:t> </w:t>
      </w:r>
      <w:r>
        <w:rPr>
          <w:sz w:val="20"/>
        </w:rPr>
        <w:t>their</w:t>
      </w:r>
      <w:r>
        <w:rPr>
          <w:spacing w:val="-12"/>
          <w:sz w:val="20"/>
        </w:rPr>
        <w:t> </w:t>
      </w:r>
      <w:r>
        <w:rPr>
          <w:sz w:val="20"/>
        </w:rPr>
        <w:t>management letters and other reports</w:t>
      </w:r>
    </w:p>
    <w:p>
      <w:pPr>
        <w:pStyle w:val="ListParagraph"/>
        <w:numPr>
          <w:ilvl w:val="0"/>
          <w:numId w:val="6"/>
        </w:numPr>
        <w:tabs>
          <w:tab w:pos="1985" w:val="left" w:leader="none"/>
        </w:tabs>
        <w:spacing w:line="240" w:lineRule="auto" w:before="1" w:after="0"/>
        <w:ind w:left="1985" w:right="1087" w:hanging="567"/>
        <w:jc w:val="left"/>
        <w:rPr>
          <w:sz w:val="20"/>
        </w:rPr>
      </w:pPr>
      <w:r>
        <w:rPr>
          <w:sz w:val="20"/>
        </w:rPr>
        <w:t>the input of the Audit Committee, including the annual report of the Audit Committee to the Corporation.</w:t>
      </w:r>
    </w:p>
    <w:p>
      <w:pPr>
        <w:pStyle w:val="ListParagraph"/>
        <w:spacing w:after="0" w:line="240" w:lineRule="auto"/>
        <w:jc w:val="left"/>
        <w:rPr>
          <w:sz w:val="20"/>
        </w:rPr>
        <w:sectPr>
          <w:pgSz w:w="11910" w:h="16850"/>
          <w:pgMar w:header="727" w:footer="702" w:top="1520" w:bottom="90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spacing w:before="45"/>
        <w:rPr>
          <w:b/>
        </w:rPr>
      </w:pPr>
    </w:p>
    <w:p>
      <w:pPr>
        <w:pStyle w:val="Heading6"/>
      </w:pPr>
      <w:r>
        <w:rPr/>
        <w:t>Review</w:t>
      </w:r>
      <w:r>
        <w:rPr>
          <w:spacing w:val="-11"/>
        </w:rPr>
        <w:t> </w:t>
      </w:r>
      <w:r>
        <w:rPr/>
        <w:t>of</w:t>
      </w:r>
      <w:r>
        <w:rPr>
          <w:spacing w:val="-8"/>
        </w:rPr>
        <w:t> </w:t>
      </w:r>
      <w:r>
        <w:rPr/>
        <w:t>effectiveness</w:t>
      </w:r>
      <w:r>
        <w:rPr>
          <w:spacing w:val="-11"/>
        </w:rPr>
        <w:t> </w:t>
      </w:r>
      <w:r>
        <w:rPr>
          <w:spacing w:val="-2"/>
        </w:rPr>
        <w:t>(continued)</w:t>
      </w:r>
    </w:p>
    <w:p>
      <w:pPr>
        <w:pStyle w:val="BodyText"/>
        <w:spacing w:before="121"/>
        <w:ind w:left="852" w:right="1085"/>
        <w:jc w:val="both"/>
      </w:pPr>
      <w:r>
        <w:rPr/>
        <w:t>The Accounting Officer has been advised on the implications of the result of her review of the effectiveness of the system of internal control by the Audit Committee which oversees the work of the internal auditor and other sources of assurance.</w:t>
      </w:r>
      <w:r>
        <w:rPr>
          <w:spacing w:val="40"/>
        </w:rPr>
        <w:t> </w:t>
      </w:r>
      <w:r>
        <w:rPr/>
        <w:t>Where weaknesses are identified, plans to address such weakness and ensure continuous improvement of the system are in place.</w:t>
      </w:r>
    </w:p>
    <w:p>
      <w:pPr>
        <w:pStyle w:val="BodyText"/>
      </w:pPr>
    </w:p>
    <w:p>
      <w:pPr>
        <w:pStyle w:val="BodyText"/>
        <w:ind w:left="852" w:right="1087"/>
        <w:jc w:val="both"/>
      </w:pPr>
      <w:r>
        <w:rPr/>
        <w:t>The</w:t>
      </w:r>
      <w:r>
        <w:rPr>
          <w:spacing w:val="-7"/>
        </w:rPr>
        <w:t> </w:t>
      </w:r>
      <w:r>
        <w:rPr/>
        <w:t>Executive</w:t>
      </w:r>
      <w:r>
        <w:rPr>
          <w:spacing w:val="-7"/>
        </w:rPr>
        <w:t> </w:t>
      </w:r>
      <w:r>
        <w:rPr/>
        <w:t>Management</w:t>
      </w:r>
      <w:r>
        <w:rPr>
          <w:spacing w:val="-6"/>
        </w:rPr>
        <w:t> </w:t>
      </w:r>
      <w:r>
        <w:rPr/>
        <w:t>Team</w:t>
      </w:r>
      <w:r>
        <w:rPr>
          <w:spacing w:val="-7"/>
        </w:rPr>
        <w:t> </w:t>
      </w:r>
      <w:r>
        <w:rPr/>
        <w:t>receives</w:t>
      </w:r>
      <w:r>
        <w:rPr>
          <w:spacing w:val="-5"/>
        </w:rPr>
        <w:t> </w:t>
      </w:r>
      <w:r>
        <w:rPr/>
        <w:t>reports</w:t>
      </w:r>
      <w:r>
        <w:rPr>
          <w:spacing w:val="-5"/>
        </w:rPr>
        <w:t> </w:t>
      </w:r>
      <w:r>
        <w:rPr/>
        <w:t>setting</w:t>
      </w:r>
      <w:r>
        <w:rPr>
          <w:spacing w:val="-4"/>
        </w:rPr>
        <w:t> </w:t>
      </w:r>
      <w:r>
        <w:rPr/>
        <w:t>out</w:t>
      </w:r>
      <w:r>
        <w:rPr>
          <w:spacing w:val="-6"/>
        </w:rPr>
        <w:t> </w:t>
      </w:r>
      <w:r>
        <w:rPr/>
        <w:t>key</w:t>
      </w:r>
      <w:r>
        <w:rPr>
          <w:spacing w:val="-5"/>
        </w:rPr>
        <w:t> </w:t>
      </w:r>
      <w:r>
        <w:rPr/>
        <w:t>performance</w:t>
      </w:r>
      <w:r>
        <w:rPr>
          <w:spacing w:val="-7"/>
        </w:rPr>
        <w:t> </w:t>
      </w:r>
      <w:r>
        <w:rPr/>
        <w:t>and</w:t>
      </w:r>
      <w:r>
        <w:rPr>
          <w:spacing w:val="-7"/>
        </w:rPr>
        <w:t> </w:t>
      </w:r>
      <w:r>
        <w:rPr/>
        <w:t>risk</w:t>
      </w:r>
      <w:r>
        <w:rPr>
          <w:spacing w:val="-5"/>
        </w:rPr>
        <w:t> </w:t>
      </w:r>
      <w:r>
        <w:rPr/>
        <w:t>indicators and</w:t>
      </w:r>
      <w:r>
        <w:rPr>
          <w:spacing w:val="-14"/>
        </w:rPr>
        <w:t> </w:t>
      </w:r>
      <w:r>
        <w:rPr/>
        <w:t>considers</w:t>
      </w:r>
      <w:r>
        <w:rPr>
          <w:spacing w:val="-14"/>
        </w:rPr>
        <w:t> </w:t>
      </w:r>
      <w:r>
        <w:rPr/>
        <w:t>possible</w:t>
      </w:r>
      <w:r>
        <w:rPr>
          <w:spacing w:val="-14"/>
        </w:rPr>
        <w:t> </w:t>
      </w:r>
      <w:r>
        <w:rPr/>
        <w:t>control</w:t>
      </w:r>
      <w:r>
        <w:rPr>
          <w:spacing w:val="-14"/>
        </w:rPr>
        <w:t> </w:t>
      </w:r>
      <w:r>
        <w:rPr/>
        <w:t>issues</w:t>
      </w:r>
      <w:r>
        <w:rPr>
          <w:spacing w:val="-14"/>
        </w:rPr>
        <w:t> </w:t>
      </w:r>
      <w:r>
        <w:rPr/>
        <w:t>brought</w:t>
      </w:r>
      <w:r>
        <w:rPr>
          <w:spacing w:val="-14"/>
        </w:rPr>
        <w:t> </w:t>
      </w:r>
      <w:r>
        <w:rPr/>
        <w:t>to</w:t>
      </w:r>
      <w:r>
        <w:rPr>
          <w:spacing w:val="-14"/>
        </w:rPr>
        <w:t> </w:t>
      </w:r>
      <w:r>
        <w:rPr/>
        <w:t>their</w:t>
      </w:r>
      <w:r>
        <w:rPr>
          <w:spacing w:val="-14"/>
        </w:rPr>
        <w:t> </w:t>
      </w:r>
      <w:r>
        <w:rPr/>
        <w:t>attention</w:t>
      </w:r>
      <w:r>
        <w:rPr>
          <w:spacing w:val="-14"/>
        </w:rPr>
        <w:t> </w:t>
      </w:r>
      <w:r>
        <w:rPr/>
        <w:t>by</w:t>
      </w:r>
      <w:r>
        <w:rPr>
          <w:spacing w:val="-13"/>
        </w:rPr>
        <w:t> </w:t>
      </w:r>
      <w:r>
        <w:rPr/>
        <w:t>early</w:t>
      </w:r>
      <w:r>
        <w:rPr>
          <w:spacing w:val="-14"/>
        </w:rPr>
        <w:t> </w:t>
      </w:r>
      <w:r>
        <w:rPr/>
        <w:t>warning</w:t>
      </w:r>
      <w:r>
        <w:rPr>
          <w:spacing w:val="-14"/>
        </w:rPr>
        <w:t> </w:t>
      </w:r>
      <w:r>
        <w:rPr/>
        <w:t>mechanisms,</w:t>
      </w:r>
      <w:r>
        <w:rPr>
          <w:spacing w:val="-14"/>
        </w:rPr>
        <w:t> </w:t>
      </w:r>
      <w:r>
        <w:rPr/>
        <w:t>which are embedded within the departments and reinforced by risk awareness training.</w:t>
      </w:r>
      <w:r>
        <w:rPr>
          <w:spacing w:val="40"/>
        </w:rPr>
        <w:t> </w:t>
      </w:r>
      <w:r>
        <w:rPr/>
        <w:t>Performance Review</w:t>
      </w:r>
      <w:r>
        <w:rPr>
          <w:spacing w:val="-4"/>
        </w:rPr>
        <w:t> </w:t>
      </w:r>
      <w:r>
        <w:rPr/>
        <w:t>Boards</w:t>
      </w:r>
      <w:r>
        <w:rPr>
          <w:spacing w:val="-5"/>
        </w:rPr>
        <w:t> </w:t>
      </w:r>
      <w:r>
        <w:rPr/>
        <w:t>are</w:t>
      </w:r>
      <w:r>
        <w:rPr>
          <w:spacing w:val="-6"/>
        </w:rPr>
        <w:t> </w:t>
      </w:r>
      <w:r>
        <w:rPr/>
        <w:t>held</w:t>
      </w:r>
      <w:r>
        <w:rPr>
          <w:spacing w:val="-6"/>
        </w:rPr>
        <w:t> </w:t>
      </w:r>
      <w:r>
        <w:rPr/>
        <w:t>with</w:t>
      </w:r>
      <w:r>
        <w:rPr>
          <w:spacing w:val="-6"/>
        </w:rPr>
        <w:t> </w:t>
      </w:r>
      <w:r>
        <w:rPr/>
        <w:t>each</w:t>
      </w:r>
      <w:r>
        <w:rPr>
          <w:spacing w:val="-6"/>
        </w:rPr>
        <w:t> </w:t>
      </w:r>
      <w:r>
        <w:rPr/>
        <w:t>curriculum</w:t>
      </w:r>
      <w:r>
        <w:rPr>
          <w:spacing w:val="-6"/>
        </w:rPr>
        <w:t> </w:t>
      </w:r>
      <w:r>
        <w:rPr/>
        <w:t>area</w:t>
      </w:r>
      <w:r>
        <w:rPr>
          <w:spacing w:val="-6"/>
        </w:rPr>
        <w:t> </w:t>
      </w:r>
      <w:r>
        <w:rPr/>
        <w:t>each</w:t>
      </w:r>
      <w:r>
        <w:rPr>
          <w:spacing w:val="-6"/>
        </w:rPr>
        <w:t> </w:t>
      </w:r>
      <w:r>
        <w:rPr/>
        <w:t>term</w:t>
      </w:r>
      <w:r>
        <w:rPr>
          <w:spacing w:val="-6"/>
        </w:rPr>
        <w:t> </w:t>
      </w:r>
      <w:r>
        <w:rPr/>
        <w:t>to</w:t>
      </w:r>
      <w:r>
        <w:rPr>
          <w:spacing w:val="-6"/>
        </w:rPr>
        <w:t> </w:t>
      </w:r>
      <w:r>
        <w:rPr/>
        <w:t>consider</w:t>
      </w:r>
      <w:r>
        <w:rPr>
          <w:spacing w:val="-5"/>
        </w:rPr>
        <w:t> </w:t>
      </w:r>
      <w:r>
        <w:rPr/>
        <w:t>key</w:t>
      </w:r>
      <w:r>
        <w:rPr>
          <w:spacing w:val="-5"/>
        </w:rPr>
        <w:t> </w:t>
      </w:r>
      <w:r>
        <w:rPr/>
        <w:t>performance</w:t>
      </w:r>
      <w:r>
        <w:rPr>
          <w:spacing w:val="-6"/>
        </w:rPr>
        <w:t> </w:t>
      </w:r>
      <w:r>
        <w:rPr/>
        <w:t>and</w:t>
      </w:r>
      <w:r>
        <w:rPr>
          <w:spacing w:val="-6"/>
        </w:rPr>
        <w:t> </w:t>
      </w:r>
      <w:r>
        <w:rPr/>
        <w:t>risk indicators as well as other possible control, quality and operational issues.</w:t>
      </w:r>
    </w:p>
    <w:p>
      <w:pPr>
        <w:pStyle w:val="BodyText"/>
      </w:pPr>
    </w:p>
    <w:p>
      <w:pPr>
        <w:pStyle w:val="BodyText"/>
        <w:ind w:left="852" w:right="1086"/>
        <w:jc w:val="both"/>
      </w:pPr>
      <w:r>
        <w:rPr/>
        <w:t>The Executive Management Team and the Audit Committee also receive regular reports from internal audit and other sources of assurance, which include recommendations for improvement. The Audit Committee’s role in this area is confined to a high-level review of the arrangements for internal control.</w:t>
      </w:r>
      <w:r>
        <w:rPr>
          <w:spacing w:val="40"/>
        </w:rPr>
        <w:t> </w:t>
      </w:r>
      <w:r>
        <w:rPr/>
        <w:t>The Corporation’s agenda includes a regular item for consideration of risk and control and receives reports thereon from the Executive Management Team and the Audit Committee.</w:t>
      </w:r>
      <w:r>
        <w:rPr>
          <w:spacing w:val="-4"/>
        </w:rPr>
        <w:t> </w:t>
      </w:r>
      <w:r>
        <w:rPr/>
        <w:t>At</w:t>
      </w:r>
      <w:r>
        <w:rPr>
          <w:spacing w:val="-4"/>
        </w:rPr>
        <w:t> </w:t>
      </w:r>
      <w:r>
        <w:rPr/>
        <w:t>the</w:t>
      </w:r>
      <w:r>
        <w:rPr>
          <w:spacing w:val="-7"/>
        </w:rPr>
        <w:t> </w:t>
      </w:r>
      <w:r>
        <w:rPr/>
        <w:t>Corporation</w:t>
      </w:r>
      <w:r>
        <w:rPr>
          <w:spacing w:val="-4"/>
        </w:rPr>
        <w:t> </w:t>
      </w:r>
      <w:r>
        <w:rPr/>
        <w:t>meeting</w:t>
      </w:r>
      <w:r>
        <w:rPr>
          <w:spacing w:val="-4"/>
        </w:rPr>
        <w:t> </w:t>
      </w:r>
      <w:r>
        <w:rPr/>
        <w:t>on</w:t>
      </w:r>
      <w:r>
        <w:rPr>
          <w:spacing w:val="-4"/>
        </w:rPr>
        <w:t> </w:t>
      </w:r>
      <w:r>
        <w:rPr/>
        <w:t>27</w:t>
      </w:r>
      <w:r>
        <w:rPr>
          <w:spacing w:val="-4"/>
        </w:rPr>
        <w:t> </w:t>
      </w:r>
      <w:r>
        <w:rPr/>
        <w:t>February</w:t>
      </w:r>
      <w:r>
        <w:rPr>
          <w:spacing w:val="-5"/>
        </w:rPr>
        <w:t> </w:t>
      </w:r>
      <w:r>
        <w:rPr/>
        <w:t>2024,</w:t>
      </w:r>
      <w:r>
        <w:rPr>
          <w:spacing w:val="-4"/>
        </w:rPr>
        <w:t> </w:t>
      </w:r>
      <w:r>
        <w:rPr/>
        <w:t>the</w:t>
      </w:r>
      <w:r>
        <w:rPr>
          <w:spacing w:val="-4"/>
        </w:rPr>
        <w:t> </w:t>
      </w:r>
      <w:r>
        <w:rPr/>
        <w:t>Corporation</w:t>
      </w:r>
      <w:r>
        <w:rPr>
          <w:spacing w:val="-4"/>
        </w:rPr>
        <w:t> </w:t>
      </w:r>
      <w:r>
        <w:rPr/>
        <w:t>carried</w:t>
      </w:r>
      <w:r>
        <w:rPr>
          <w:spacing w:val="-7"/>
        </w:rPr>
        <w:t> </w:t>
      </w:r>
      <w:r>
        <w:rPr/>
        <w:t>out</w:t>
      </w:r>
      <w:r>
        <w:rPr>
          <w:spacing w:val="-4"/>
        </w:rPr>
        <w:t> </w:t>
      </w:r>
      <w:r>
        <w:rPr/>
        <w:t>the</w:t>
      </w:r>
      <w:r>
        <w:rPr>
          <w:spacing w:val="-4"/>
        </w:rPr>
        <w:t> </w:t>
      </w:r>
      <w:r>
        <w:rPr/>
        <w:t>initial annual assessment for the year ended 31 July 2023 by considering documentation from the Executive</w:t>
      </w:r>
      <w:r>
        <w:rPr>
          <w:spacing w:val="-11"/>
        </w:rPr>
        <w:t> </w:t>
      </w:r>
      <w:r>
        <w:rPr/>
        <w:t>Management</w:t>
      </w:r>
      <w:r>
        <w:rPr>
          <w:spacing w:val="-11"/>
        </w:rPr>
        <w:t> </w:t>
      </w:r>
      <w:r>
        <w:rPr/>
        <w:t>Team</w:t>
      </w:r>
      <w:r>
        <w:rPr>
          <w:spacing w:val="-11"/>
        </w:rPr>
        <w:t> </w:t>
      </w:r>
      <w:r>
        <w:rPr/>
        <w:t>and</w:t>
      </w:r>
      <w:r>
        <w:rPr>
          <w:spacing w:val="-11"/>
        </w:rPr>
        <w:t> </w:t>
      </w:r>
      <w:r>
        <w:rPr/>
        <w:t>internal</w:t>
      </w:r>
      <w:r>
        <w:rPr>
          <w:spacing w:val="-12"/>
        </w:rPr>
        <w:t> </w:t>
      </w:r>
      <w:r>
        <w:rPr/>
        <w:t>audit,</w:t>
      </w:r>
      <w:r>
        <w:rPr>
          <w:spacing w:val="-11"/>
        </w:rPr>
        <w:t> </w:t>
      </w:r>
      <w:r>
        <w:rPr/>
        <w:t>taking</w:t>
      </w:r>
      <w:r>
        <w:rPr>
          <w:spacing w:val="-14"/>
        </w:rPr>
        <w:t> </w:t>
      </w:r>
      <w:r>
        <w:rPr/>
        <w:t>into</w:t>
      </w:r>
      <w:r>
        <w:rPr>
          <w:spacing w:val="-11"/>
        </w:rPr>
        <w:t> </w:t>
      </w:r>
      <w:r>
        <w:rPr/>
        <w:t>account</w:t>
      </w:r>
      <w:r>
        <w:rPr>
          <w:spacing w:val="-14"/>
        </w:rPr>
        <w:t> </w:t>
      </w:r>
      <w:r>
        <w:rPr/>
        <w:t>any</w:t>
      </w:r>
      <w:r>
        <w:rPr>
          <w:spacing w:val="-12"/>
        </w:rPr>
        <w:t> </w:t>
      </w:r>
      <w:r>
        <w:rPr/>
        <w:t>events</w:t>
      </w:r>
      <w:r>
        <w:rPr>
          <w:spacing w:val="-12"/>
        </w:rPr>
        <w:t> </w:t>
      </w:r>
      <w:r>
        <w:rPr/>
        <w:t>since</w:t>
      </w:r>
      <w:r>
        <w:rPr>
          <w:spacing w:val="-14"/>
        </w:rPr>
        <w:t> </w:t>
      </w:r>
      <w:r>
        <w:rPr/>
        <w:t>31</w:t>
      </w:r>
      <w:r>
        <w:rPr>
          <w:spacing w:val="-13"/>
        </w:rPr>
        <w:t> </w:t>
      </w:r>
      <w:r>
        <w:rPr/>
        <w:t>July</w:t>
      </w:r>
      <w:r>
        <w:rPr>
          <w:spacing w:val="-12"/>
        </w:rPr>
        <w:t> </w:t>
      </w:r>
      <w:r>
        <w:rPr/>
        <w:t>2023.</w:t>
      </w:r>
    </w:p>
    <w:p>
      <w:pPr>
        <w:pStyle w:val="BodyText"/>
      </w:pPr>
    </w:p>
    <w:p>
      <w:pPr>
        <w:pStyle w:val="BodyText"/>
        <w:ind w:left="852" w:right="1085"/>
        <w:jc w:val="both"/>
      </w:pPr>
      <w:r>
        <w:rPr/>
        <w:t>Based on the advice of the Audit Committee and the Accounting Officer, the Corporation is of the opinion</w:t>
      </w:r>
      <w:r>
        <w:rPr>
          <w:spacing w:val="-14"/>
        </w:rPr>
        <w:t> </w:t>
      </w:r>
      <w:r>
        <w:rPr/>
        <w:t>that</w:t>
      </w:r>
      <w:r>
        <w:rPr>
          <w:spacing w:val="-14"/>
        </w:rPr>
        <w:t> </w:t>
      </w:r>
      <w:r>
        <w:rPr/>
        <w:t>the</w:t>
      </w:r>
      <w:r>
        <w:rPr>
          <w:spacing w:val="-14"/>
        </w:rPr>
        <w:t> </w:t>
      </w:r>
      <w:r>
        <w:rPr/>
        <w:t>College</w:t>
      </w:r>
      <w:r>
        <w:rPr>
          <w:spacing w:val="-14"/>
        </w:rPr>
        <w:t> </w:t>
      </w:r>
      <w:r>
        <w:rPr/>
        <w:t>has</w:t>
      </w:r>
      <w:r>
        <w:rPr>
          <w:spacing w:val="-14"/>
        </w:rPr>
        <w:t> </w:t>
      </w:r>
      <w:r>
        <w:rPr/>
        <w:t>an</w:t>
      </w:r>
      <w:r>
        <w:rPr>
          <w:spacing w:val="-14"/>
        </w:rPr>
        <w:t> </w:t>
      </w:r>
      <w:r>
        <w:rPr/>
        <w:t>adequate</w:t>
      </w:r>
      <w:r>
        <w:rPr>
          <w:spacing w:val="-14"/>
        </w:rPr>
        <w:t> </w:t>
      </w:r>
      <w:r>
        <w:rPr/>
        <w:t>and</w:t>
      </w:r>
      <w:r>
        <w:rPr>
          <w:spacing w:val="-14"/>
        </w:rPr>
        <w:t> </w:t>
      </w:r>
      <w:r>
        <w:rPr/>
        <w:t>effective</w:t>
      </w:r>
      <w:r>
        <w:rPr>
          <w:spacing w:val="-14"/>
        </w:rPr>
        <w:t> </w:t>
      </w:r>
      <w:r>
        <w:rPr/>
        <w:t>framework</w:t>
      </w:r>
      <w:r>
        <w:rPr>
          <w:spacing w:val="-13"/>
        </w:rPr>
        <w:t> </w:t>
      </w:r>
      <w:r>
        <w:rPr/>
        <w:t>for</w:t>
      </w:r>
      <w:r>
        <w:rPr>
          <w:spacing w:val="-14"/>
        </w:rPr>
        <w:t> </w:t>
      </w:r>
      <w:r>
        <w:rPr/>
        <w:t>governance,</w:t>
      </w:r>
      <w:r>
        <w:rPr>
          <w:spacing w:val="-14"/>
        </w:rPr>
        <w:t> </w:t>
      </w:r>
      <w:r>
        <w:rPr/>
        <w:t>risk</w:t>
      </w:r>
      <w:r>
        <w:rPr>
          <w:spacing w:val="-14"/>
        </w:rPr>
        <w:t> </w:t>
      </w:r>
      <w:r>
        <w:rPr/>
        <w:t>management and control.</w:t>
      </w:r>
      <w:r>
        <w:rPr>
          <w:spacing w:val="40"/>
        </w:rPr>
        <w:t> </w:t>
      </w:r>
      <w:r>
        <w:rPr/>
        <w:t>This will enable it to fulfil its statutory responsibility for “the effective and efficient use of resources, the solvency of the institution and the body and the safeguarding of their assets”.</w:t>
      </w:r>
    </w:p>
    <w:p>
      <w:pPr>
        <w:pStyle w:val="BodyText"/>
        <w:spacing w:before="2"/>
      </w:pPr>
    </w:p>
    <w:p>
      <w:pPr>
        <w:pStyle w:val="BodyText"/>
        <w:spacing w:before="1"/>
        <w:ind w:left="852" w:right="1087"/>
        <w:jc w:val="both"/>
      </w:pPr>
      <w:r>
        <w:rPr/>
        <w:t>Approved</w:t>
      </w:r>
      <w:r>
        <w:rPr>
          <w:spacing w:val="-11"/>
        </w:rPr>
        <w:t> </w:t>
      </w:r>
      <w:r>
        <w:rPr/>
        <w:t>by</w:t>
      </w:r>
      <w:r>
        <w:rPr>
          <w:spacing w:val="-10"/>
        </w:rPr>
        <w:t> </w:t>
      </w:r>
      <w:r>
        <w:rPr/>
        <w:t>order</w:t>
      </w:r>
      <w:r>
        <w:rPr>
          <w:spacing w:val="-10"/>
        </w:rPr>
        <w:t> </w:t>
      </w:r>
      <w:r>
        <w:rPr/>
        <w:t>of</w:t>
      </w:r>
      <w:r>
        <w:rPr>
          <w:spacing w:val="-11"/>
        </w:rPr>
        <w:t> </w:t>
      </w:r>
      <w:r>
        <w:rPr/>
        <w:t>the</w:t>
      </w:r>
      <w:r>
        <w:rPr>
          <w:spacing w:val="-11"/>
        </w:rPr>
        <w:t> </w:t>
      </w:r>
      <w:r>
        <w:rPr/>
        <w:t>members</w:t>
      </w:r>
      <w:r>
        <w:rPr>
          <w:spacing w:val="-10"/>
        </w:rPr>
        <w:t> </w:t>
      </w:r>
      <w:r>
        <w:rPr/>
        <w:t>of</w:t>
      </w:r>
      <w:r>
        <w:rPr>
          <w:spacing w:val="-11"/>
        </w:rPr>
        <w:t> </w:t>
      </w:r>
      <w:r>
        <w:rPr/>
        <w:t>the</w:t>
      </w:r>
      <w:r>
        <w:rPr>
          <w:spacing w:val="-11"/>
        </w:rPr>
        <w:t> </w:t>
      </w:r>
      <w:r>
        <w:rPr/>
        <w:t>Corporation</w:t>
      </w:r>
      <w:r>
        <w:rPr>
          <w:spacing w:val="-9"/>
        </w:rPr>
        <w:t> </w:t>
      </w:r>
      <w:r>
        <w:rPr/>
        <w:t>on</w:t>
      </w:r>
      <w:r>
        <w:rPr>
          <w:spacing w:val="-11"/>
        </w:rPr>
        <w:t> </w:t>
      </w:r>
      <w:r>
        <w:rPr/>
        <w:t>27</w:t>
      </w:r>
      <w:r>
        <w:rPr>
          <w:spacing w:val="-11"/>
        </w:rPr>
        <w:t> </w:t>
      </w:r>
      <w:r>
        <w:rPr/>
        <w:t>February</w:t>
      </w:r>
      <w:r>
        <w:rPr>
          <w:spacing w:val="-10"/>
        </w:rPr>
        <w:t> </w:t>
      </w:r>
      <w:r>
        <w:rPr/>
        <w:t>2024</w:t>
      </w:r>
      <w:r>
        <w:rPr>
          <w:spacing w:val="-11"/>
        </w:rPr>
        <w:t> </w:t>
      </w:r>
      <w:r>
        <w:rPr/>
        <w:t>and</w:t>
      </w:r>
      <w:r>
        <w:rPr>
          <w:spacing w:val="-11"/>
        </w:rPr>
        <w:t> </w:t>
      </w:r>
      <w:r>
        <w:rPr/>
        <w:t>signed</w:t>
      </w:r>
      <w:r>
        <w:rPr>
          <w:spacing w:val="-9"/>
        </w:rPr>
        <w:t> </w:t>
      </w:r>
      <w:r>
        <w:rPr/>
        <w:t>on</w:t>
      </w:r>
      <w:r>
        <w:rPr>
          <w:spacing w:val="-11"/>
        </w:rPr>
        <w:t> </w:t>
      </w:r>
      <w:r>
        <w:rPr/>
        <w:t>its</w:t>
      </w:r>
      <w:r>
        <w:rPr>
          <w:spacing w:val="-10"/>
        </w:rPr>
        <w:t> </w:t>
      </w:r>
      <w:r>
        <w:rPr/>
        <w:t>behalf </w:t>
      </w:r>
      <w:r>
        <w:rPr>
          <w:spacing w:val="-4"/>
        </w:rPr>
        <w:t>by:</w:t>
      </w:r>
    </w:p>
    <w:p>
      <w:pPr>
        <w:pStyle w:val="BodyText"/>
        <w:spacing w:before="8"/>
        <w:rPr>
          <w:sz w:val="17"/>
        </w:rPr>
      </w:pPr>
      <w:r>
        <w:rPr>
          <w:sz w:val="17"/>
        </w:rPr>
        <w:drawing>
          <wp:anchor distT="0" distB="0" distL="0" distR="0" allowOverlap="1" layoutInCell="1" locked="0" behindDoc="1" simplePos="0" relativeHeight="487591424">
            <wp:simplePos x="0" y="0"/>
            <wp:positionH relativeFrom="page">
              <wp:posOffset>900430</wp:posOffset>
            </wp:positionH>
            <wp:positionV relativeFrom="paragraph">
              <wp:posOffset>144600</wp:posOffset>
            </wp:positionV>
            <wp:extent cx="1220658" cy="375665"/>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16" cstate="print"/>
                    <a:stretch>
                      <a:fillRect/>
                    </a:stretch>
                  </pic:blipFill>
                  <pic:spPr>
                    <a:xfrm>
                      <a:off x="0" y="0"/>
                      <a:ext cx="1220658" cy="375665"/>
                    </a:xfrm>
                    <a:prstGeom prst="rect">
                      <a:avLst/>
                    </a:prstGeom>
                  </pic:spPr>
                </pic:pic>
              </a:graphicData>
            </a:graphic>
          </wp:anchor>
        </w:drawing>
      </w:r>
    </w:p>
    <w:p>
      <w:pPr>
        <w:pStyle w:val="BodyText"/>
      </w:pPr>
    </w:p>
    <w:p>
      <w:pPr>
        <w:pStyle w:val="BodyText"/>
        <w:spacing w:before="10"/>
      </w:pPr>
    </w:p>
    <w:p>
      <w:pPr>
        <w:pStyle w:val="Heading6"/>
        <w:ind w:right="8333"/>
        <w:jc w:val="left"/>
      </w:pPr>
      <w:r>
        <w:rPr/>
        <w:t>Robert</w:t>
      </w:r>
      <w:r>
        <w:rPr>
          <w:spacing w:val="-14"/>
        </w:rPr>
        <w:t> </w:t>
      </w:r>
      <w:r>
        <w:rPr/>
        <w:t>Lawson </w:t>
      </w:r>
      <w:r>
        <w:rPr>
          <w:spacing w:val="-2"/>
        </w:rPr>
        <w:t>Chair</w:t>
      </w:r>
    </w:p>
    <w:p>
      <w:pPr>
        <w:pStyle w:val="BodyText"/>
        <w:rPr>
          <w:b/>
        </w:rPr>
      </w:pPr>
    </w:p>
    <w:p>
      <w:pPr>
        <w:pStyle w:val="BodyText"/>
        <w:spacing w:before="20"/>
        <w:rPr>
          <w:b/>
        </w:rPr>
      </w:pPr>
      <w:r>
        <w:rPr>
          <w:b/>
        </w:rPr>
        <w:drawing>
          <wp:anchor distT="0" distB="0" distL="0" distR="0" allowOverlap="1" layoutInCell="1" locked="0" behindDoc="1" simplePos="0" relativeHeight="487591936">
            <wp:simplePos x="0" y="0"/>
            <wp:positionH relativeFrom="page">
              <wp:posOffset>900430</wp:posOffset>
            </wp:positionH>
            <wp:positionV relativeFrom="paragraph">
              <wp:posOffset>174229</wp:posOffset>
            </wp:positionV>
            <wp:extent cx="1428505" cy="408431"/>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23" cstate="print"/>
                    <a:stretch>
                      <a:fillRect/>
                    </a:stretch>
                  </pic:blipFill>
                  <pic:spPr>
                    <a:xfrm>
                      <a:off x="0" y="0"/>
                      <a:ext cx="1428505" cy="408431"/>
                    </a:xfrm>
                    <a:prstGeom prst="rect">
                      <a:avLst/>
                    </a:prstGeom>
                  </pic:spPr>
                </pic:pic>
              </a:graphicData>
            </a:graphic>
          </wp:anchor>
        </w:drawing>
      </w:r>
    </w:p>
    <w:p>
      <w:pPr>
        <w:pStyle w:val="BodyText"/>
        <w:spacing w:before="229"/>
        <w:rPr>
          <w:b/>
        </w:rPr>
      </w:pPr>
    </w:p>
    <w:p>
      <w:pPr>
        <w:spacing w:before="1"/>
        <w:ind w:left="852" w:right="0" w:firstLine="0"/>
        <w:jc w:val="left"/>
        <w:rPr>
          <w:b/>
          <w:sz w:val="20"/>
        </w:rPr>
      </w:pPr>
      <w:r>
        <w:rPr>
          <w:b/>
          <w:sz w:val="20"/>
        </w:rPr>
        <w:t>Debra</w:t>
      </w:r>
      <w:r>
        <w:rPr>
          <w:b/>
          <w:spacing w:val="-9"/>
          <w:sz w:val="20"/>
        </w:rPr>
        <w:t> </w:t>
      </w:r>
      <w:r>
        <w:rPr>
          <w:b/>
          <w:spacing w:val="-4"/>
          <w:sz w:val="20"/>
        </w:rPr>
        <w:t>Gray</w:t>
      </w:r>
    </w:p>
    <w:p>
      <w:pPr>
        <w:spacing w:before="0"/>
        <w:ind w:left="852" w:right="0" w:firstLine="0"/>
        <w:jc w:val="left"/>
        <w:rPr>
          <w:b/>
          <w:sz w:val="20"/>
        </w:rPr>
      </w:pPr>
      <w:r>
        <w:rPr>
          <w:b/>
          <w:sz w:val="20"/>
        </w:rPr>
        <w:t>Chief</w:t>
      </w:r>
      <w:r>
        <w:rPr>
          <w:b/>
          <w:spacing w:val="-8"/>
          <w:sz w:val="20"/>
        </w:rPr>
        <w:t> </w:t>
      </w:r>
      <w:r>
        <w:rPr>
          <w:b/>
          <w:sz w:val="20"/>
        </w:rPr>
        <w:t>Executive</w:t>
      </w:r>
      <w:r>
        <w:rPr>
          <w:b/>
          <w:spacing w:val="-8"/>
          <w:sz w:val="20"/>
        </w:rPr>
        <w:t> </w:t>
      </w:r>
      <w:r>
        <w:rPr>
          <w:b/>
          <w:sz w:val="20"/>
        </w:rPr>
        <w:t>and</w:t>
      </w:r>
      <w:r>
        <w:rPr>
          <w:b/>
          <w:spacing w:val="-8"/>
          <w:sz w:val="20"/>
        </w:rPr>
        <w:t> </w:t>
      </w:r>
      <w:r>
        <w:rPr>
          <w:b/>
          <w:sz w:val="20"/>
        </w:rPr>
        <w:t>Accounting</w:t>
      </w:r>
      <w:r>
        <w:rPr>
          <w:b/>
          <w:spacing w:val="-7"/>
          <w:sz w:val="20"/>
        </w:rPr>
        <w:t> </w:t>
      </w:r>
      <w:r>
        <w:rPr>
          <w:b/>
          <w:spacing w:val="-2"/>
          <w:sz w:val="20"/>
        </w:rPr>
        <w:t>Officer</w:t>
      </w:r>
    </w:p>
    <w:p>
      <w:pPr>
        <w:spacing w:after="0"/>
        <w:jc w:val="left"/>
        <w:rPr>
          <w:b/>
          <w:sz w:val="20"/>
        </w:rPr>
        <w:sectPr>
          <w:pgSz w:w="11910" w:h="16850"/>
          <w:pgMar w:header="727" w:footer="702" w:top="1520" w:bottom="900" w:left="566" w:right="708"/>
        </w:sectPr>
      </w:pPr>
    </w:p>
    <w:p>
      <w:pPr>
        <w:pStyle w:val="BodyText"/>
        <w:rPr>
          <w:b/>
          <w:sz w:val="24"/>
        </w:rPr>
      </w:pPr>
    </w:p>
    <w:p>
      <w:pPr>
        <w:pStyle w:val="Heading2"/>
        <w:tabs>
          <w:tab w:pos="2565" w:val="left" w:leader="none"/>
          <w:tab w:pos="3168" w:val="left" w:leader="none"/>
          <w:tab w:pos="3895" w:val="left" w:leader="none"/>
          <w:tab w:pos="5522" w:val="left" w:leader="none"/>
          <w:tab w:pos="7395" w:val="left" w:leader="none"/>
          <w:tab w:pos="9027" w:val="left" w:leader="none"/>
        </w:tabs>
        <w:ind w:right="1084"/>
      </w:pPr>
      <w:r>
        <w:rPr>
          <w:spacing w:val="-2"/>
        </w:rPr>
        <w:t>STATEMENT</w:t>
      </w:r>
      <w:r>
        <w:rPr/>
        <w:tab/>
      </w:r>
      <w:r>
        <w:rPr>
          <w:spacing w:val="-6"/>
        </w:rPr>
        <w:t>ON</w:t>
      </w:r>
      <w:r>
        <w:rPr/>
        <w:tab/>
      </w:r>
      <w:r>
        <w:rPr>
          <w:spacing w:val="-4"/>
        </w:rPr>
        <w:t>THE</w:t>
      </w:r>
      <w:r>
        <w:rPr/>
        <w:tab/>
      </w:r>
      <w:r>
        <w:rPr>
          <w:spacing w:val="-2"/>
        </w:rPr>
        <w:t>COLLEGE’S</w:t>
      </w:r>
      <w:r>
        <w:rPr/>
        <w:tab/>
      </w:r>
      <w:r>
        <w:rPr>
          <w:spacing w:val="-2"/>
        </w:rPr>
        <w:t>REGULARITY,</w:t>
      </w:r>
      <w:r>
        <w:rPr/>
        <w:tab/>
      </w:r>
      <w:r>
        <w:rPr>
          <w:spacing w:val="-2"/>
        </w:rPr>
        <w:t>PROPRIETY</w:t>
      </w:r>
      <w:r>
        <w:rPr/>
        <w:tab/>
      </w:r>
      <w:r>
        <w:rPr>
          <w:spacing w:val="-4"/>
        </w:rPr>
        <w:t>AND </w:t>
      </w:r>
      <w:r>
        <w:rPr>
          <w:spacing w:val="-2"/>
        </w:rPr>
        <w:t>COMPLIANCE</w:t>
      </w:r>
    </w:p>
    <w:p>
      <w:pPr>
        <w:pStyle w:val="BodyText"/>
        <w:spacing w:before="45"/>
        <w:rPr>
          <w:b/>
        </w:rPr>
      </w:pPr>
    </w:p>
    <w:p>
      <w:pPr>
        <w:pStyle w:val="BodyText"/>
        <w:ind w:left="852" w:right="1085"/>
        <w:jc w:val="both"/>
      </w:pPr>
      <w:r>
        <w:rPr/>
        <w:t>As accounting officer, I confirm that the corporation has had due regard to the framework of authorities governing regularity, priority and compliance, and the requirements of grant funding agreements and contracts with ESFA, and has considered its responsibility to notify ESFA of material irregularity, impropriety and non-compliance with those authorities and terms and conditions of funding.</w:t>
      </w:r>
    </w:p>
    <w:p>
      <w:pPr>
        <w:pStyle w:val="BodyText"/>
        <w:spacing w:before="1"/>
      </w:pPr>
    </w:p>
    <w:p>
      <w:pPr>
        <w:pStyle w:val="BodyText"/>
        <w:ind w:left="852" w:right="1087"/>
        <w:jc w:val="both"/>
      </w:pPr>
      <w:r>
        <w:rPr/>
        <w:t>I</w:t>
      </w:r>
      <w:r>
        <w:rPr>
          <w:spacing w:val="-3"/>
        </w:rPr>
        <w:t> </w:t>
      </w:r>
      <w:r>
        <w:rPr/>
        <w:t>confirm</w:t>
      </w:r>
      <w:r>
        <w:rPr>
          <w:spacing w:val="-1"/>
        </w:rPr>
        <w:t> </w:t>
      </w:r>
      <w:r>
        <w:rPr/>
        <w:t>on</w:t>
      </w:r>
      <w:r>
        <w:rPr>
          <w:spacing w:val="-1"/>
        </w:rPr>
        <w:t> </w:t>
      </w:r>
      <w:r>
        <w:rPr/>
        <w:t>behalf</w:t>
      </w:r>
      <w:r>
        <w:rPr>
          <w:spacing w:val="-1"/>
        </w:rPr>
        <w:t> </w:t>
      </w:r>
      <w:r>
        <w:rPr/>
        <w:t>of</w:t>
      </w:r>
      <w:r>
        <w:rPr>
          <w:spacing w:val="-3"/>
        </w:rPr>
        <w:t> </w:t>
      </w:r>
      <w:r>
        <w:rPr/>
        <w:t>the</w:t>
      </w:r>
      <w:r>
        <w:rPr>
          <w:spacing w:val="-3"/>
        </w:rPr>
        <w:t> </w:t>
      </w:r>
      <w:r>
        <w:rPr/>
        <w:t>corporation</w:t>
      </w:r>
      <w:r>
        <w:rPr>
          <w:spacing w:val="-1"/>
        </w:rPr>
        <w:t> </w:t>
      </w:r>
      <w:r>
        <w:rPr/>
        <w:t>that</w:t>
      </w:r>
      <w:r>
        <w:rPr>
          <w:spacing w:val="-1"/>
        </w:rPr>
        <w:t> </w:t>
      </w:r>
      <w:r>
        <w:rPr/>
        <w:t>after</w:t>
      </w:r>
      <w:r>
        <w:rPr>
          <w:spacing w:val="-2"/>
        </w:rPr>
        <w:t> </w:t>
      </w:r>
      <w:r>
        <w:rPr/>
        <w:t>due</w:t>
      </w:r>
      <w:r>
        <w:rPr>
          <w:spacing w:val="-1"/>
        </w:rPr>
        <w:t> </w:t>
      </w:r>
      <w:r>
        <w:rPr/>
        <w:t>enquiry,</w:t>
      </w:r>
      <w:r>
        <w:rPr>
          <w:spacing w:val="-3"/>
        </w:rPr>
        <w:t> </w:t>
      </w:r>
      <w:r>
        <w:rPr/>
        <w:t>and</w:t>
      </w:r>
      <w:r>
        <w:rPr>
          <w:spacing w:val="-3"/>
        </w:rPr>
        <w:t> </w:t>
      </w:r>
      <w:r>
        <w:rPr/>
        <w:t>to</w:t>
      </w:r>
      <w:r>
        <w:rPr>
          <w:spacing w:val="-3"/>
        </w:rPr>
        <w:t> </w:t>
      </w:r>
      <w:r>
        <w:rPr/>
        <w:t>the</w:t>
      </w:r>
      <w:r>
        <w:rPr>
          <w:spacing w:val="-3"/>
        </w:rPr>
        <w:t> </w:t>
      </w:r>
      <w:r>
        <w:rPr/>
        <w:t>best</w:t>
      </w:r>
      <w:r>
        <w:rPr>
          <w:spacing w:val="-1"/>
        </w:rPr>
        <w:t> </w:t>
      </w:r>
      <w:r>
        <w:rPr/>
        <w:t>of</w:t>
      </w:r>
      <w:r>
        <w:rPr>
          <w:spacing w:val="-3"/>
        </w:rPr>
        <w:t> </w:t>
      </w:r>
      <w:r>
        <w:rPr/>
        <w:t>my knowledge,</w:t>
      </w:r>
      <w:r>
        <w:rPr>
          <w:spacing w:val="-3"/>
        </w:rPr>
        <w:t> </w:t>
      </w:r>
      <w:r>
        <w:rPr/>
        <w:t>I</w:t>
      </w:r>
      <w:r>
        <w:rPr>
          <w:spacing w:val="-3"/>
        </w:rPr>
        <w:t> </w:t>
      </w:r>
      <w:r>
        <w:rPr/>
        <w:t>am able to identify any material irregular or improper use of funds by the corporation, or material non-compliance with the framework of authorities and the terms and conditions of funding under the corporation’s grant funding agreements and contracts with ESFA, or any other public funder. This includes the elements outlined in the “Dear accounting officer” letter of 29 November 2022 and ESFA’s bite size guides.</w:t>
      </w:r>
    </w:p>
    <w:p>
      <w:pPr>
        <w:pStyle w:val="BodyText"/>
        <w:spacing w:before="1"/>
      </w:pPr>
    </w:p>
    <w:p>
      <w:pPr>
        <w:pStyle w:val="BodyText"/>
        <w:ind w:left="852" w:right="1086"/>
        <w:jc w:val="both"/>
      </w:pPr>
      <w:r>
        <w:rPr/>
        <w:t>I confirm that no instances of material irregularity, impropriety, funding noncompliance, or non-compliance with the framework of authorities have been discovered to date. If any instances are identified after the date of this statement, these will be notified to ESFA.</w:t>
      </w:r>
    </w:p>
    <w:p>
      <w:pPr>
        <w:pStyle w:val="BodyText"/>
      </w:pPr>
    </w:p>
    <w:p>
      <w:pPr>
        <w:pStyle w:val="BodyText"/>
        <w:spacing w:before="205"/>
      </w:pPr>
      <w:r>
        <w:rPr/>
        <w:drawing>
          <wp:anchor distT="0" distB="0" distL="0" distR="0" allowOverlap="1" layoutInCell="1" locked="0" behindDoc="1" simplePos="0" relativeHeight="487592448">
            <wp:simplePos x="0" y="0"/>
            <wp:positionH relativeFrom="page">
              <wp:posOffset>900430</wp:posOffset>
            </wp:positionH>
            <wp:positionV relativeFrom="paragraph">
              <wp:posOffset>291986</wp:posOffset>
            </wp:positionV>
            <wp:extent cx="1427551" cy="408431"/>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23" cstate="print"/>
                    <a:stretch>
                      <a:fillRect/>
                    </a:stretch>
                  </pic:blipFill>
                  <pic:spPr>
                    <a:xfrm>
                      <a:off x="0" y="0"/>
                      <a:ext cx="1427551" cy="408431"/>
                    </a:xfrm>
                    <a:prstGeom prst="rect">
                      <a:avLst/>
                    </a:prstGeom>
                  </pic:spPr>
                </pic:pic>
              </a:graphicData>
            </a:graphic>
          </wp:anchor>
        </w:drawing>
      </w:r>
    </w:p>
    <w:p>
      <w:pPr>
        <w:pStyle w:val="BodyText"/>
        <w:spacing w:before="1"/>
      </w:pPr>
    </w:p>
    <w:p>
      <w:pPr>
        <w:spacing w:line="480" w:lineRule="auto" w:before="0"/>
        <w:ind w:left="852" w:right="7977" w:firstLine="0"/>
        <w:jc w:val="left"/>
        <w:rPr>
          <w:sz w:val="20"/>
        </w:rPr>
      </w:pPr>
      <w:r>
        <w:rPr>
          <w:b/>
          <w:sz w:val="20"/>
        </w:rPr>
        <w:t>Debra Gray Accounting</w:t>
      </w:r>
      <w:r>
        <w:rPr>
          <w:b/>
          <w:spacing w:val="-14"/>
          <w:sz w:val="20"/>
        </w:rPr>
        <w:t> </w:t>
      </w:r>
      <w:r>
        <w:rPr>
          <w:b/>
          <w:sz w:val="20"/>
        </w:rPr>
        <w:t>Officer </w:t>
      </w:r>
      <w:r>
        <w:rPr>
          <w:sz w:val="20"/>
        </w:rPr>
        <w:t>27 February 2024</w:t>
      </w:r>
    </w:p>
    <w:p>
      <w:pPr>
        <w:pStyle w:val="Heading6"/>
        <w:spacing w:line="228" w:lineRule="exact"/>
        <w:jc w:val="left"/>
      </w:pPr>
      <w:r>
        <w:rPr/>
        <w:t>Statement</w:t>
      </w:r>
      <w:r>
        <w:rPr>
          <w:spacing w:val="-6"/>
        </w:rPr>
        <w:t> </w:t>
      </w:r>
      <w:r>
        <w:rPr/>
        <w:t>of</w:t>
      </w:r>
      <w:r>
        <w:rPr>
          <w:spacing w:val="-5"/>
        </w:rPr>
        <w:t> </w:t>
      </w:r>
      <w:r>
        <w:rPr/>
        <w:t>the</w:t>
      </w:r>
      <w:r>
        <w:rPr>
          <w:spacing w:val="-6"/>
        </w:rPr>
        <w:t> </w:t>
      </w:r>
      <w:r>
        <w:rPr/>
        <w:t>chair</w:t>
      </w:r>
      <w:r>
        <w:rPr>
          <w:spacing w:val="-6"/>
        </w:rPr>
        <w:t> </w:t>
      </w:r>
      <w:r>
        <w:rPr/>
        <w:t>of</w:t>
      </w:r>
      <w:r>
        <w:rPr>
          <w:spacing w:val="-4"/>
        </w:rPr>
        <w:t> </w:t>
      </w:r>
      <w:r>
        <w:rPr>
          <w:spacing w:val="-2"/>
        </w:rPr>
        <w:t>governors</w:t>
      </w:r>
    </w:p>
    <w:p>
      <w:pPr>
        <w:pStyle w:val="BodyText"/>
        <w:spacing w:before="1"/>
        <w:rPr>
          <w:b/>
        </w:rPr>
      </w:pPr>
    </w:p>
    <w:p>
      <w:pPr>
        <w:pStyle w:val="BodyText"/>
        <w:ind w:left="852" w:right="1089"/>
        <w:jc w:val="both"/>
      </w:pPr>
      <w:r>
        <w:rPr/>
        <w:t>On behalf of the corporation, I confirm that the accounting officer has discussed their statement of regularity, propriety and compliance with the board and that I am content that it is materially </w:t>
      </w:r>
      <w:r>
        <w:rPr>
          <w:spacing w:val="-2"/>
        </w:rPr>
        <w:t>accurate.</w:t>
      </w:r>
    </w:p>
    <w:p>
      <w:pPr>
        <w:pStyle w:val="BodyText"/>
      </w:pPr>
    </w:p>
    <w:p>
      <w:pPr>
        <w:pStyle w:val="BodyText"/>
        <w:spacing w:before="22"/>
      </w:pPr>
      <w:r>
        <w:rPr/>
        <w:drawing>
          <wp:anchor distT="0" distB="0" distL="0" distR="0" allowOverlap="1" layoutInCell="1" locked="0" behindDoc="1" simplePos="0" relativeHeight="487592960">
            <wp:simplePos x="0" y="0"/>
            <wp:positionH relativeFrom="page">
              <wp:posOffset>900430</wp:posOffset>
            </wp:positionH>
            <wp:positionV relativeFrom="paragraph">
              <wp:posOffset>175559</wp:posOffset>
            </wp:positionV>
            <wp:extent cx="1213770" cy="372903"/>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16" cstate="print"/>
                    <a:stretch>
                      <a:fillRect/>
                    </a:stretch>
                  </pic:blipFill>
                  <pic:spPr>
                    <a:xfrm>
                      <a:off x="0" y="0"/>
                      <a:ext cx="1213770" cy="372903"/>
                    </a:xfrm>
                    <a:prstGeom prst="rect">
                      <a:avLst/>
                    </a:prstGeom>
                  </pic:spPr>
                </pic:pic>
              </a:graphicData>
            </a:graphic>
          </wp:anchor>
        </w:drawing>
      </w:r>
    </w:p>
    <w:p>
      <w:pPr>
        <w:pStyle w:val="BodyText"/>
      </w:pPr>
    </w:p>
    <w:p>
      <w:pPr>
        <w:pStyle w:val="BodyText"/>
        <w:spacing w:before="11"/>
      </w:pPr>
    </w:p>
    <w:p>
      <w:pPr>
        <w:spacing w:line="480" w:lineRule="auto" w:before="0"/>
        <w:ind w:left="852" w:right="7825" w:firstLine="0"/>
        <w:jc w:val="left"/>
        <w:rPr>
          <w:sz w:val="20"/>
        </w:rPr>
      </w:pPr>
      <w:r>
        <w:rPr>
          <w:b/>
          <w:sz w:val="20"/>
        </w:rPr>
        <w:t>Robert Lawson Chair</w:t>
      </w:r>
      <w:r>
        <w:rPr>
          <w:b/>
          <w:spacing w:val="-14"/>
          <w:sz w:val="20"/>
        </w:rPr>
        <w:t> </w:t>
      </w:r>
      <w:r>
        <w:rPr>
          <w:b/>
          <w:sz w:val="20"/>
        </w:rPr>
        <w:t>of</w:t>
      </w:r>
      <w:r>
        <w:rPr>
          <w:b/>
          <w:spacing w:val="-14"/>
          <w:sz w:val="20"/>
        </w:rPr>
        <w:t> </w:t>
      </w:r>
      <w:r>
        <w:rPr>
          <w:b/>
          <w:sz w:val="20"/>
        </w:rPr>
        <w:t>Corporation </w:t>
      </w:r>
      <w:r>
        <w:rPr>
          <w:sz w:val="20"/>
        </w:rPr>
        <w:t>27 February 2024</w:t>
      </w:r>
    </w:p>
    <w:p>
      <w:pPr>
        <w:spacing w:after="0" w:line="480" w:lineRule="auto"/>
        <w:jc w:val="left"/>
        <w:rPr>
          <w:sz w:val="20"/>
        </w:rPr>
        <w:sectPr>
          <w:pgSz w:w="11910" w:h="16850"/>
          <w:pgMar w:header="727" w:footer="702" w:top="1520" w:bottom="900" w:left="566" w:right="708"/>
        </w:sectPr>
      </w:pPr>
    </w:p>
    <w:p>
      <w:pPr>
        <w:pStyle w:val="BodyText"/>
        <w:rPr>
          <w:sz w:val="24"/>
        </w:rPr>
      </w:pPr>
    </w:p>
    <w:p>
      <w:pPr>
        <w:pStyle w:val="Heading2"/>
        <w:ind w:right="1083"/>
        <w:jc w:val="both"/>
      </w:pPr>
      <w:bookmarkStart w:name="_TOC_250001" w:id="6"/>
      <w:r>
        <w:rPr/>
        <w:t>STATEMENT OF RESPONSIBILITIES OF THE MEMBERS OF THE </w:t>
      </w:r>
      <w:bookmarkEnd w:id="6"/>
      <w:r>
        <w:rPr>
          <w:spacing w:val="-2"/>
        </w:rPr>
        <w:t>CORPORATION</w:t>
      </w:r>
    </w:p>
    <w:p>
      <w:pPr>
        <w:pStyle w:val="BodyText"/>
        <w:ind w:left="852" w:right="1087"/>
        <w:jc w:val="both"/>
      </w:pPr>
      <w:r>
        <w:rPr/>
        <w:t>The members of the corporation are required to present audited financial statements for each financial year.</w:t>
      </w:r>
    </w:p>
    <w:p>
      <w:pPr>
        <w:pStyle w:val="BodyText"/>
        <w:spacing w:before="120"/>
        <w:ind w:left="852" w:right="1086"/>
        <w:jc w:val="both"/>
      </w:pPr>
      <w:r>
        <w:rPr/>
        <w:t>Within the terms and conditions of the corporation’s grant funding agreements and contracts with ESFA,</w:t>
      </w:r>
      <w:r>
        <w:rPr>
          <w:spacing w:val="-4"/>
        </w:rPr>
        <w:t> </w:t>
      </w:r>
      <w:r>
        <w:rPr/>
        <w:t>the</w:t>
      </w:r>
      <w:r>
        <w:rPr>
          <w:spacing w:val="-4"/>
        </w:rPr>
        <w:t> </w:t>
      </w:r>
      <w:r>
        <w:rPr/>
        <w:t>corporation</w:t>
      </w:r>
      <w:r>
        <w:rPr>
          <w:spacing w:val="-2"/>
        </w:rPr>
        <w:t> </w:t>
      </w:r>
      <w:r>
        <w:rPr/>
        <w:t>is</w:t>
      </w:r>
      <w:r>
        <w:rPr>
          <w:spacing w:val="-3"/>
        </w:rPr>
        <w:t> </w:t>
      </w:r>
      <w:r>
        <w:rPr/>
        <w:t>required</w:t>
      </w:r>
      <w:r>
        <w:rPr>
          <w:spacing w:val="-4"/>
        </w:rPr>
        <w:t> </w:t>
      </w:r>
      <w:r>
        <w:rPr/>
        <w:t>to</w:t>
      </w:r>
      <w:r>
        <w:rPr>
          <w:spacing w:val="-4"/>
        </w:rPr>
        <w:t> </w:t>
      </w:r>
      <w:r>
        <w:rPr/>
        <w:t>prepare</w:t>
      </w:r>
      <w:r>
        <w:rPr>
          <w:spacing w:val="-4"/>
        </w:rPr>
        <w:t> </w:t>
      </w:r>
      <w:r>
        <w:rPr/>
        <w:t>financial</w:t>
      </w:r>
      <w:r>
        <w:rPr>
          <w:spacing w:val="-3"/>
        </w:rPr>
        <w:t> </w:t>
      </w:r>
      <w:r>
        <w:rPr/>
        <w:t>statements</w:t>
      </w:r>
      <w:r>
        <w:rPr>
          <w:spacing w:val="-3"/>
        </w:rPr>
        <w:t> </w:t>
      </w:r>
      <w:r>
        <w:rPr/>
        <w:t>which</w:t>
      </w:r>
      <w:r>
        <w:rPr>
          <w:spacing w:val="-4"/>
        </w:rPr>
        <w:t> </w:t>
      </w:r>
      <w:r>
        <w:rPr/>
        <w:t>give</w:t>
      </w:r>
      <w:r>
        <w:rPr>
          <w:spacing w:val="-4"/>
        </w:rPr>
        <w:t> </w:t>
      </w:r>
      <w:r>
        <w:rPr/>
        <w:t>a</w:t>
      </w:r>
      <w:r>
        <w:rPr>
          <w:spacing w:val="-4"/>
        </w:rPr>
        <w:t> </w:t>
      </w:r>
      <w:r>
        <w:rPr/>
        <w:t>true</w:t>
      </w:r>
      <w:r>
        <w:rPr>
          <w:spacing w:val="-4"/>
        </w:rPr>
        <w:t> </w:t>
      </w:r>
      <w:r>
        <w:rPr/>
        <w:t>and</w:t>
      </w:r>
      <w:r>
        <w:rPr>
          <w:spacing w:val="-4"/>
        </w:rPr>
        <w:t> </w:t>
      </w:r>
      <w:r>
        <w:rPr/>
        <w:t>fair</w:t>
      </w:r>
      <w:r>
        <w:rPr>
          <w:spacing w:val="-3"/>
        </w:rPr>
        <w:t> </w:t>
      </w:r>
      <w:r>
        <w:rPr/>
        <w:t>view</w:t>
      </w:r>
      <w:r>
        <w:rPr>
          <w:spacing w:val="-1"/>
        </w:rPr>
        <w:t> </w:t>
      </w:r>
      <w:r>
        <w:rPr/>
        <w:t>of the</w:t>
      </w:r>
      <w:r>
        <w:rPr>
          <w:spacing w:val="-7"/>
        </w:rPr>
        <w:t> </w:t>
      </w:r>
      <w:r>
        <w:rPr/>
        <w:t>financial</w:t>
      </w:r>
      <w:r>
        <w:rPr>
          <w:spacing w:val="-7"/>
        </w:rPr>
        <w:t> </w:t>
      </w:r>
      <w:r>
        <w:rPr/>
        <w:t>performance</w:t>
      </w:r>
      <w:r>
        <w:rPr>
          <w:spacing w:val="-7"/>
        </w:rPr>
        <w:t> </w:t>
      </w:r>
      <w:r>
        <w:rPr/>
        <w:t>and</w:t>
      </w:r>
      <w:r>
        <w:rPr>
          <w:spacing w:val="-7"/>
        </w:rPr>
        <w:t> </w:t>
      </w:r>
      <w:r>
        <w:rPr/>
        <w:t>position</w:t>
      </w:r>
      <w:r>
        <w:rPr>
          <w:spacing w:val="-7"/>
        </w:rPr>
        <w:t> </w:t>
      </w:r>
      <w:r>
        <w:rPr/>
        <w:t>of</w:t>
      </w:r>
      <w:r>
        <w:rPr>
          <w:spacing w:val="-6"/>
        </w:rPr>
        <w:t> </w:t>
      </w:r>
      <w:r>
        <w:rPr/>
        <w:t>the</w:t>
      </w:r>
      <w:r>
        <w:rPr>
          <w:spacing w:val="-7"/>
        </w:rPr>
        <w:t> </w:t>
      </w:r>
      <w:r>
        <w:rPr/>
        <w:t>corporation</w:t>
      </w:r>
      <w:r>
        <w:rPr>
          <w:spacing w:val="-7"/>
        </w:rPr>
        <w:t> </w:t>
      </w:r>
      <w:r>
        <w:rPr/>
        <w:t>for</w:t>
      </w:r>
      <w:r>
        <w:rPr>
          <w:spacing w:val="-5"/>
        </w:rPr>
        <w:t> </w:t>
      </w:r>
      <w:r>
        <w:rPr/>
        <w:t>the</w:t>
      </w:r>
      <w:r>
        <w:rPr>
          <w:spacing w:val="-7"/>
        </w:rPr>
        <w:t> </w:t>
      </w:r>
      <w:r>
        <w:rPr/>
        <w:t>relevant</w:t>
      </w:r>
      <w:r>
        <w:rPr>
          <w:spacing w:val="-6"/>
        </w:rPr>
        <w:t> </w:t>
      </w:r>
      <w:r>
        <w:rPr/>
        <w:t>period.</w:t>
      </w:r>
      <w:r>
        <w:rPr>
          <w:spacing w:val="-6"/>
        </w:rPr>
        <w:t> </w:t>
      </w:r>
      <w:r>
        <w:rPr/>
        <w:t>Corporations</w:t>
      </w:r>
      <w:r>
        <w:rPr>
          <w:spacing w:val="-5"/>
        </w:rPr>
        <w:t> </w:t>
      </w:r>
      <w:r>
        <w:rPr/>
        <w:t>must also prepare a strategic report which includes an operating and financial review for the year. The bases for the preparation of the financial statements and strategic report are the Statement of Recommended</w:t>
      </w:r>
      <w:r>
        <w:rPr>
          <w:spacing w:val="-5"/>
        </w:rPr>
        <w:t> </w:t>
      </w:r>
      <w:r>
        <w:rPr/>
        <w:t>Practice</w:t>
      </w:r>
      <w:r>
        <w:rPr>
          <w:spacing w:val="-5"/>
        </w:rPr>
        <w:t> </w:t>
      </w:r>
      <w:r>
        <w:rPr/>
        <w:t>–</w:t>
      </w:r>
      <w:r>
        <w:rPr>
          <w:spacing w:val="-4"/>
        </w:rPr>
        <w:t> </w:t>
      </w:r>
      <w:r>
        <w:rPr/>
        <w:t>Accounting</w:t>
      </w:r>
      <w:r>
        <w:rPr>
          <w:spacing w:val="-5"/>
        </w:rPr>
        <w:t> </w:t>
      </w:r>
      <w:r>
        <w:rPr/>
        <w:t>for</w:t>
      </w:r>
      <w:r>
        <w:rPr>
          <w:spacing w:val="-4"/>
        </w:rPr>
        <w:t> </w:t>
      </w:r>
      <w:r>
        <w:rPr/>
        <w:t>Further</w:t>
      </w:r>
      <w:r>
        <w:rPr>
          <w:spacing w:val="-4"/>
        </w:rPr>
        <w:t> </w:t>
      </w:r>
      <w:r>
        <w:rPr/>
        <w:t>and</w:t>
      </w:r>
      <w:r>
        <w:rPr>
          <w:spacing w:val="-4"/>
        </w:rPr>
        <w:t> </w:t>
      </w:r>
      <w:r>
        <w:rPr/>
        <w:t>Higher</w:t>
      </w:r>
      <w:r>
        <w:rPr>
          <w:spacing w:val="-4"/>
        </w:rPr>
        <w:t> </w:t>
      </w:r>
      <w:r>
        <w:rPr/>
        <w:t>Education,</w:t>
      </w:r>
      <w:r>
        <w:rPr>
          <w:spacing w:val="-5"/>
        </w:rPr>
        <w:t> </w:t>
      </w:r>
      <w:r>
        <w:rPr/>
        <w:t>ESFA’s</w:t>
      </w:r>
      <w:r>
        <w:rPr>
          <w:spacing w:val="-4"/>
        </w:rPr>
        <w:t> </w:t>
      </w:r>
      <w:r>
        <w:rPr/>
        <w:t>College</w:t>
      </w:r>
      <w:r>
        <w:rPr>
          <w:spacing w:val="-5"/>
        </w:rPr>
        <w:t> </w:t>
      </w:r>
      <w:r>
        <w:rPr/>
        <w:t>Accounts Direction, Accounts Direction issued by the Office for Students and the UK’s Generally Accepted Accounting Practice. In preparing the financial statements, the corporation is required to:</w:t>
      </w:r>
    </w:p>
    <w:p>
      <w:pPr>
        <w:pStyle w:val="ListParagraph"/>
        <w:numPr>
          <w:ilvl w:val="0"/>
          <w:numId w:val="7"/>
        </w:numPr>
        <w:tabs>
          <w:tab w:pos="1135" w:val="left" w:leader="none"/>
        </w:tabs>
        <w:spacing w:line="240" w:lineRule="auto" w:before="119" w:after="0"/>
        <w:ind w:left="1135" w:right="0" w:hanging="283"/>
        <w:jc w:val="both"/>
        <w:rPr>
          <w:sz w:val="20"/>
        </w:rPr>
      </w:pPr>
      <w:r>
        <w:rPr>
          <w:sz w:val="20"/>
        </w:rPr>
        <w:t>select</w:t>
      </w:r>
      <w:r>
        <w:rPr>
          <w:spacing w:val="-9"/>
          <w:sz w:val="20"/>
        </w:rPr>
        <w:t> </w:t>
      </w:r>
      <w:r>
        <w:rPr>
          <w:sz w:val="20"/>
        </w:rPr>
        <w:t>suitable</w:t>
      </w:r>
      <w:r>
        <w:rPr>
          <w:spacing w:val="-6"/>
          <w:sz w:val="20"/>
        </w:rPr>
        <w:t> </w:t>
      </w:r>
      <w:r>
        <w:rPr>
          <w:sz w:val="20"/>
        </w:rPr>
        <w:t>accounting</w:t>
      </w:r>
      <w:r>
        <w:rPr>
          <w:spacing w:val="-5"/>
          <w:sz w:val="20"/>
        </w:rPr>
        <w:t> </w:t>
      </w:r>
      <w:r>
        <w:rPr>
          <w:sz w:val="20"/>
        </w:rPr>
        <w:t>policies</w:t>
      </w:r>
      <w:r>
        <w:rPr>
          <w:spacing w:val="-7"/>
          <w:sz w:val="20"/>
        </w:rPr>
        <w:t> </w:t>
      </w:r>
      <w:r>
        <w:rPr>
          <w:sz w:val="20"/>
        </w:rPr>
        <w:t>and</w:t>
      </w:r>
      <w:r>
        <w:rPr>
          <w:spacing w:val="-7"/>
          <w:sz w:val="20"/>
        </w:rPr>
        <w:t> </w:t>
      </w:r>
      <w:r>
        <w:rPr>
          <w:sz w:val="20"/>
        </w:rPr>
        <w:t>apply</w:t>
      </w:r>
      <w:r>
        <w:rPr>
          <w:spacing w:val="-7"/>
          <w:sz w:val="20"/>
        </w:rPr>
        <w:t> </w:t>
      </w:r>
      <w:r>
        <w:rPr>
          <w:sz w:val="20"/>
        </w:rPr>
        <w:t>them</w:t>
      </w:r>
      <w:r>
        <w:rPr>
          <w:spacing w:val="-9"/>
          <w:sz w:val="20"/>
        </w:rPr>
        <w:t> </w:t>
      </w:r>
      <w:r>
        <w:rPr>
          <w:spacing w:val="-2"/>
          <w:sz w:val="20"/>
        </w:rPr>
        <w:t>consistently</w:t>
      </w:r>
    </w:p>
    <w:p>
      <w:pPr>
        <w:pStyle w:val="ListParagraph"/>
        <w:numPr>
          <w:ilvl w:val="0"/>
          <w:numId w:val="7"/>
        </w:numPr>
        <w:tabs>
          <w:tab w:pos="1135" w:val="left" w:leader="none"/>
        </w:tabs>
        <w:spacing w:line="240" w:lineRule="auto" w:before="1" w:after="0"/>
        <w:ind w:left="1135" w:right="0" w:hanging="283"/>
        <w:jc w:val="both"/>
        <w:rPr>
          <w:sz w:val="20"/>
        </w:rPr>
      </w:pPr>
      <w:r>
        <w:rPr>
          <w:sz w:val="20"/>
        </w:rPr>
        <w:t>make</w:t>
      </w:r>
      <w:r>
        <w:rPr>
          <w:spacing w:val="-8"/>
          <w:sz w:val="20"/>
        </w:rPr>
        <w:t> </w:t>
      </w:r>
      <w:r>
        <w:rPr>
          <w:sz w:val="20"/>
        </w:rPr>
        <w:t>judgements</w:t>
      </w:r>
      <w:r>
        <w:rPr>
          <w:spacing w:val="-7"/>
          <w:sz w:val="20"/>
        </w:rPr>
        <w:t> </w:t>
      </w:r>
      <w:r>
        <w:rPr>
          <w:sz w:val="20"/>
        </w:rPr>
        <w:t>and</w:t>
      </w:r>
      <w:r>
        <w:rPr>
          <w:spacing w:val="-6"/>
          <w:sz w:val="20"/>
        </w:rPr>
        <w:t> </w:t>
      </w:r>
      <w:r>
        <w:rPr>
          <w:sz w:val="20"/>
        </w:rPr>
        <w:t>estimates</w:t>
      </w:r>
      <w:r>
        <w:rPr>
          <w:spacing w:val="-7"/>
          <w:sz w:val="20"/>
        </w:rPr>
        <w:t> </w:t>
      </w:r>
      <w:r>
        <w:rPr>
          <w:sz w:val="20"/>
        </w:rPr>
        <w:t>that</w:t>
      </w:r>
      <w:r>
        <w:rPr>
          <w:spacing w:val="-6"/>
          <w:sz w:val="20"/>
        </w:rPr>
        <w:t> </w:t>
      </w:r>
      <w:r>
        <w:rPr>
          <w:sz w:val="20"/>
        </w:rPr>
        <w:t>are</w:t>
      </w:r>
      <w:r>
        <w:rPr>
          <w:spacing w:val="-8"/>
          <w:sz w:val="20"/>
        </w:rPr>
        <w:t> </w:t>
      </w:r>
      <w:r>
        <w:rPr>
          <w:sz w:val="20"/>
        </w:rPr>
        <w:t>reasonable</w:t>
      </w:r>
      <w:r>
        <w:rPr>
          <w:spacing w:val="-6"/>
          <w:sz w:val="20"/>
        </w:rPr>
        <w:t> </w:t>
      </w:r>
      <w:r>
        <w:rPr>
          <w:sz w:val="20"/>
        </w:rPr>
        <w:t>and</w:t>
      </w:r>
      <w:r>
        <w:rPr>
          <w:spacing w:val="-6"/>
          <w:sz w:val="20"/>
        </w:rPr>
        <w:t> </w:t>
      </w:r>
      <w:r>
        <w:rPr>
          <w:spacing w:val="-2"/>
          <w:sz w:val="20"/>
        </w:rPr>
        <w:t>prudent</w:t>
      </w:r>
    </w:p>
    <w:p>
      <w:pPr>
        <w:pStyle w:val="ListParagraph"/>
        <w:numPr>
          <w:ilvl w:val="0"/>
          <w:numId w:val="7"/>
        </w:numPr>
        <w:tabs>
          <w:tab w:pos="1135" w:val="left" w:leader="none"/>
        </w:tabs>
        <w:spacing w:line="240" w:lineRule="auto" w:before="0" w:after="0"/>
        <w:ind w:left="1135" w:right="1087" w:hanging="284"/>
        <w:jc w:val="both"/>
        <w:rPr>
          <w:sz w:val="20"/>
        </w:rPr>
      </w:pPr>
      <w:r>
        <w:rPr>
          <w:sz w:val="20"/>
        </w:rPr>
        <w:t>state whether applicable UK accounting standards have been followed, subject to any material departures disclosed and explained in the financial statements</w:t>
      </w:r>
    </w:p>
    <w:p>
      <w:pPr>
        <w:pStyle w:val="ListParagraph"/>
        <w:numPr>
          <w:ilvl w:val="0"/>
          <w:numId w:val="7"/>
        </w:numPr>
        <w:tabs>
          <w:tab w:pos="1135" w:val="left" w:leader="none"/>
        </w:tabs>
        <w:spacing w:line="240" w:lineRule="auto" w:before="1" w:after="0"/>
        <w:ind w:left="1135" w:right="1086" w:hanging="284"/>
        <w:jc w:val="both"/>
        <w:rPr>
          <w:sz w:val="20"/>
        </w:rPr>
      </w:pPr>
      <w:r>
        <w:rPr>
          <w:sz w:val="20"/>
        </w:rPr>
        <w:t>assess whether the corporation is a going concern, noting the key supporting assumptions, qualifications or mitigating actions, as appropriate (which must be consistent with other disclosures</w:t>
      </w:r>
      <w:r>
        <w:rPr>
          <w:spacing w:val="80"/>
          <w:sz w:val="20"/>
        </w:rPr>
        <w:t> </w:t>
      </w:r>
      <w:r>
        <w:rPr>
          <w:sz w:val="20"/>
        </w:rPr>
        <w:t>in the financial statements and auditor’s report)</w:t>
      </w:r>
    </w:p>
    <w:p>
      <w:pPr>
        <w:pStyle w:val="ListParagraph"/>
        <w:numPr>
          <w:ilvl w:val="0"/>
          <w:numId w:val="7"/>
        </w:numPr>
        <w:tabs>
          <w:tab w:pos="1135" w:val="left" w:leader="none"/>
        </w:tabs>
        <w:spacing w:line="240" w:lineRule="auto" w:before="0" w:after="0"/>
        <w:ind w:left="1135" w:right="1088" w:hanging="284"/>
        <w:jc w:val="both"/>
        <w:rPr>
          <w:sz w:val="20"/>
        </w:rPr>
      </w:pPr>
      <w:r>
        <w:rPr>
          <w:sz w:val="20"/>
        </w:rPr>
        <w:t>prepare</w:t>
      </w:r>
      <w:r>
        <w:rPr>
          <w:spacing w:val="-11"/>
          <w:sz w:val="20"/>
        </w:rPr>
        <w:t> </w:t>
      </w:r>
      <w:r>
        <w:rPr>
          <w:sz w:val="20"/>
        </w:rPr>
        <w:t>financial</w:t>
      </w:r>
      <w:r>
        <w:rPr>
          <w:spacing w:val="-12"/>
          <w:sz w:val="20"/>
        </w:rPr>
        <w:t> </w:t>
      </w:r>
      <w:r>
        <w:rPr>
          <w:sz w:val="20"/>
        </w:rPr>
        <w:t>statements</w:t>
      </w:r>
      <w:r>
        <w:rPr>
          <w:spacing w:val="-12"/>
          <w:sz w:val="20"/>
        </w:rPr>
        <w:t> </w:t>
      </w:r>
      <w:r>
        <w:rPr>
          <w:sz w:val="20"/>
        </w:rPr>
        <w:t>on</w:t>
      </w:r>
      <w:r>
        <w:rPr>
          <w:spacing w:val="-14"/>
          <w:sz w:val="20"/>
        </w:rPr>
        <w:t> </w:t>
      </w:r>
      <w:r>
        <w:rPr>
          <w:sz w:val="20"/>
        </w:rPr>
        <w:t>the</w:t>
      </w:r>
      <w:r>
        <w:rPr>
          <w:spacing w:val="-13"/>
          <w:sz w:val="20"/>
        </w:rPr>
        <w:t> </w:t>
      </w:r>
      <w:r>
        <w:rPr>
          <w:sz w:val="20"/>
        </w:rPr>
        <w:t>going</w:t>
      </w:r>
      <w:r>
        <w:rPr>
          <w:spacing w:val="-14"/>
          <w:sz w:val="20"/>
        </w:rPr>
        <w:t> </w:t>
      </w:r>
      <w:r>
        <w:rPr>
          <w:sz w:val="20"/>
        </w:rPr>
        <w:t>concern</w:t>
      </w:r>
      <w:r>
        <w:rPr>
          <w:spacing w:val="-13"/>
          <w:sz w:val="20"/>
        </w:rPr>
        <w:t> </w:t>
      </w:r>
      <w:r>
        <w:rPr>
          <w:sz w:val="20"/>
        </w:rPr>
        <w:t>basis</w:t>
      </w:r>
      <w:r>
        <w:rPr>
          <w:spacing w:val="-12"/>
          <w:sz w:val="20"/>
        </w:rPr>
        <w:t> </w:t>
      </w:r>
      <w:r>
        <w:rPr>
          <w:sz w:val="20"/>
        </w:rPr>
        <w:t>unless</w:t>
      </w:r>
      <w:r>
        <w:rPr>
          <w:spacing w:val="-12"/>
          <w:sz w:val="20"/>
        </w:rPr>
        <w:t> </w:t>
      </w:r>
      <w:r>
        <w:rPr>
          <w:sz w:val="20"/>
        </w:rPr>
        <w:t>it</w:t>
      </w:r>
      <w:r>
        <w:rPr>
          <w:spacing w:val="-11"/>
          <w:sz w:val="20"/>
        </w:rPr>
        <w:t> </w:t>
      </w:r>
      <w:r>
        <w:rPr>
          <w:sz w:val="20"/>
        </w:rPr>
        <w:t>is</w:t>
      </w:r>
      <w:r>
        <w:rPr>
          <w:spacing w:val="-12"/>
          <w:sz w:val="20"/>
        </w:rPr>
        <w:t> </w:t>
      </w:r>
      <w:r>
        <w:rPr>
          <w:sz w:val="20"/>
        </w:rPr>
        <w:t>inappropriate</w:t>
      </w:r>
      <w:r>
        <w:rPr>
          <w:spacing w:val="-14"/>
          <w:sz w:val="20"/>
        </w:rPr>
        <w:t> </w:t>
      </w:r>
      <w:r>
        <w:rPr>
          <w:sz w:val="20"/>
        </w:rPr>
        <w:t>to</w:t>
      </w:r>
      <w:r>
        <w:rPr>
          <w:spacing w:val="-13"/>
          <w:sz w:val="20"/>
        </w:rPr>
        <w:t> </w:t>
      </w:r>
      <w:r>
        <w:rPr>
          <w:sz w:val="20"/>
        </w:rPr>
        <w:t>assume</w:t>
      </w:r>
      <w:r>
        <w:rPr>
          <w:spacing w:val="-11"/>
          <w:sz w:val="20"/>
        </w:rPr>
        <w:t> </w:t>
      </w:r>
      <w:r>
        <w:rPr>
          <w:sz w:val="20"/>
        </w:rPr>
        <w:t>that the corporation will continue in operation</w:t>
      </w:r>
    </w:p>
    <w:p>
      <w:pPr>
        <w:pStyle w:val="BodyText"/>
        <w:spacing w:before="120"/>
        <w:ind w:left="852" w:right="1090"/>
        <w:jc w:val="both"/>
      </w:pPr>
      <w:r>
        <w:rPr/>
        <w:t>The corporation is also required to prepare a strategic report, in accordance with paragraphs 3.23 to 3.27 of the FE and HE SORP, that describes what it is trying to do and how it is going about it, including information about the legal and administrative status of the corporation.</w:t>
      </w:r>
    </w:p>
    <w:p>
      <w:pPr>
        <w:pStyle w:val="BodyText"/>
        <w:spacing w:before="119"/>
        <w:ind w:left="852" w:right="1084"/>
        <w:jc w:val="both"/>
      </w:pPr>
      <w:r>
        <w:rPr/>
        <w:t>The corporation is responsible for keeping proper accounting records which disclose, with reasonable accuracy at any time, the financial position of the corporation and which enable it to ensure that the financial statements are prepared in accordance with relevant legislation including the Further and Higher Education Act 1992 and Charities Act 2011, and relevant accounting standards. It is responsible for taking steps that are reasonably open to it to safeguard its assets and to prevent and detect fraud and other irregularities.</w:t>
      </w:r>
    </w:p>
    <w:p>
      <w:pPr>
        <w:pStyle w:val="BodyText"/>
        <w:spacing w:before="121"/>
        <w:ind w:left="852" w:right="1088"/>
        <w:jc w:val="both"/>
      </w:pPr>
      <w:r>
        <w:rPr/>
        <w:t>The</w:t>
      </w:r>
      <w:r>
        <w:rPr>
          <w:spacing w:val="-7"/>
        </w:rPr>
        <w:t> </w:t>
      </w:r>
      <w:r>
        <w:rPr/>
        <w:t>corporation</w:t>
      </w:r>
      <w:r>
        <w:rPr>
          <w:spacing w:val="-7"/>
        </w:rPr>
        <w:t> </w:t>
      </w:r>
      <w:r>
        <w:rPr/>
        <w:t>is</w:t>
      </w:r>
      <w:r>
        <w:rPr>
          <w:spacing w:val="-5"/>
        </w:rPr>
        <w:t> </w:t>
      </w:r>
      <w:r>
        <w:rPr/>
        <w:t>responsible</w:t>
      </w:r>
      <w:r>
        <w:rPr>
          <w:spacing w:val="-4"/>
        </w:rPr>
        <w:t> </w:t>
      </w:r>
      <w:r>
        <w:rPr/>
        <w:t>for</w:t>
      </w:r>
      <w:r>
        <w:rPr>
          <w:spacing w:val="-5"/>
        </w:rPr>
        <w:t> </w:t>
      </w:r>
      <w:r>
        <w:rPr/>
        <w:t>the</w:t>
      </w:r>
      <w:r>
        <w:rPr>
          <w:spacing w:val="-7"/>
        </w:rPr>
        <w:t> </w:t>
      </w:r>
      <w:r>
        <w:rPr/>
        <w:t>maintenance</w:t>
      </w:r>
      <w:r>
        <w:rPr>
          <w:spacing w:val="-4"/>
        </w:rPr>
        <w:t> </w:t>
      </w:r>
      <w:r>
        <w:rPr/>
        <w:t>and</w:t>
      </w:r>
      <w:r>
        <w:rPr>
          <w:spacing w:val="-7"/>
        </w:rPr>
        <w:t> </w:t>
      </w:r>
      <w:r>
        <w:rPr/>
        <w:t>integrity</w:t>
      </w:r>
      <w:r>
        <w:rPr>
          <w:spacing w:val="-5"/>
        </w:rPr>
        <w:t> </w:t>
      </w:r>
      <w:r>
        <w:rPr/>
        <w:t>of</w:t>
      </w:r>
      <w:r>
        <w:rPr>
          <w:spacing w:val="-4"/>
        </w:rPr>
        <w:t> </w:t>
      </w:r>
      <w:r>
        <w:rPr/>
        <w:t>its</w:t>
      </w:r>
      <w:r>
        <w:rPr>
          <w:spacing w:val="-5"/>
        </w:rPr>
        <w:t> </w:t>
      </w:r>
      <w:r>
        <w:rPr/>
        <w:t>website;</w:t>
      </w:r>
      <w:r>
        <w:rPr>
          <w:spacing w:val="-4"/>
        </w:rPr>
        <w:t> </w:t>
      </w:r>
      <w:r>
        <w:rPr/>
        <w:t>the</w:t>
      </w:r>
      <w:r>
        <w:rPr>
          <w:spacing w:val="-7"/>
        </w:rPr>
        <w:t> </w:t>
      </w:r>
      <w:r>
        <w:rPr/>
        <w:t>work</w:t>
      </w:r>
      <w:r>
        <w:rPr>
          <w:spacing w:val="-5"/>
        </w:rPr>
        <w:t> </w:t>
      </w:r>
      <w:r>
        <w:rPr/>
        <w:t>carried</w:t>
      </w:r>
      <w:r>
        <w:rPr>
          <w:spacing w:val="-4"/>
        </w:rPr>
        <w:t> </w:t>
      </w:r>
      <w:r>
        <w:rPr/>
        <w:t>out by auditors does not involve consideration of these matters and, accordingly, auditors accept no responsibility for any changes that may have occurred to the financial statements since they were initially</w:t>
      </w:r>
      <w:r>
        <w:rPr>
          <w:spacing w:val="-4"/>
        </w:rPr>
        <w:t> </w:t>
      </w:r>
      <w:r>
        <w:rPr/>
        <w:t>presented</w:t>
      </w:r>
      <w:r>
        <w:rPr>
          <w:spacing w:val="-3"/>
        </w:rPr>
        <w:t> </w:t>
      </w:r>
      <w:r>
        <w:rPr/>
        <w:t>on</w:t>
      </w:r>
      <w:r>
        <w:rPr>
          <w:spacing w:val="-5"/>
        </w:rPr>
        <w:t> </w:t>
      </w:r>
      <w:r>
        <w:rPr/>
        <w:t>the</w:t>
      </w:r>
      <w:r>
        <w:rPr>
          <w:spacing w:val="-5"/>
        </w:rPr>
        <w:t> </w:t>
      </w:r>
      <w:r>
        <w:rPr/>
        <w:t>website.</w:t>
      </w:r>
      <w:r>
        <w:rPr>
          <w:spacing w:val="-5"/>
        </w:rPr>
        <w:t> </w:t>
      </w:r>
      <w:r>
        <w:rPr/>
        <w:t>Legislation</w:t>
      </w:r>
      <w:r>
        <w:rPr>
          <w:spacing w:val="-5"/>
        </w:rPr>
        <w:t> </w:t>
      </w:r>
      <w:r>
        <w:rPr/>
        <w:t>in</w:t>
      </w:r>
      <w:r>
        <w:rPr>
          <w:spacing w:val="-5"/>
        </w:rPr>
        <w:t> </w:t>
      </w:r>
      <w:r>
        <w:rPr/>
        <w:t>the</w:t>
      </w:r>
      <w:r>
        <w:rPr>
          <w:spacing w:val="-5"/>
        </w:rPr>
        <w:t> </w:t>
      </w:r>
      <w:r>
        <w:rPr/>
        <w:t>United</w:t>
      </w:r>
      <w:r>
        <w:rPr>
          <w:spacing w:val="-3"/>
        </w:rPr>
        <w:t> </w:t>
      </w:r>
      <w:r>
        <w:rPr/>
        <w:t>Kingdom</w:t>
      </w:r>
      <w:r>
        <w:rPr>
          <w:spacing w:val="-5"/>
        </w:rPr>
        <w:t> </w:t>
      </w:r>
      <w:r>
        <w:rPr/>
        <w:t>governing</w:t>
      </w:r>
      <w:r>
        <w:rPr>
          <w:spacing w:val="-5"/>
        </w:rPr>
        <w:t> </w:t>
      </w:r>
      <w:r>
        <w:rPr/>
        <w:t>the</w:t>
      </w:r>
      <w:r>
        <w:rPr>
          <w:spacing w:val="-3"/>
        </w:rPr>
        <w:t> </w:t>
      </w:r>
      <w:r>
        <w:rPr/>
        <w:t>preparation</w:t>
      </w:r>
      <w:r>
        <w:rPr>
          <w:spacing w:val="-5"/>
        </w:rPr>
        <w:t> </w:t>
      </w:r>
      <w:r>
        <w:rPr/>
        <w:t>and dissemination of financial statements may differ from legislation in other jurisdictions.</w:t>
      </w:r>
    </w:p>
    <w:p>
      <w:pPr>
        <w:pStyle w:val="BodyText"/>
      </w:pPr>
    </w:p>
    <w:p>
      <w:pPr>
        <w:pStyle w:val="BodyText"/>
        <w:ind w:left="852" w:right="1088"/>
        <w:jc w:val="both"/>
      </w:pPr>
      <w:r>
        <w:rPr/>
        <w:t>Members of the corporation are responsible for ensuring that expenditure and income are applied for</w:t>
      </w:r>
      <w:r>
        <w:rPr>
          <w:spacing w:val="-1"/>
        </w:rPr>
        <w:t> </w:t>
      </w:r>
      <w:r>
        <w:rPr/>
        <w:t>the</w:t>
      </w:r>
      <w:r>
        <w:rPr>
          <w:spacing w:val="-2"/>
        </w:rPr>
        <w:t> </w:t>
      </w:r>
      <w:r>
        <w:rPr/>
        <w:t>purposes intended</w:t>
      </w:r>
      <w:r>
        <w:rPr>
          <w:spacing w:val="-2"/>
        </w:rPr>
        <w:t> </w:t>
      </w:r>
      <w:r>
        <w:rPr/>
        <w:t>and</w:t>
      </w:r>
      <w:r>
        <w:rPr>
          <w:spacing w:val="-2"/>
        </w:rPr>
        <w:t> </w:t>
      </w:r>
      <w:r>
        <w:rPr/>
        <w:t>that</w:t>
      </w:r>
      <w:r>
        <w:rPr>
          <w:spacing w:val="-2"/>
        </w:rPr>
        <w:t> </w:t>
      </w:r>
      <w:r>
        <w:rPr/>
        <w:t>the</w:t>
      </w:r>
      <w:r>
        <w:rPr>
          <w:spacing w:val="-2"/>
        </w:rPr>
        <w:t> </w:t>
      </w:r>
      <w:r>
        <w:rPr/>
        <w:t>financial</w:t>
      </w:r>
      <w:r>
        <w:rPr>
          <w:spacing w:val="-3"/>
        </w:rPr>
        <w:t> </w:t>
      </w:r>
      <w:r>
        <w:rPr/>
        <w:t>transactions conform</w:t>
      </w:r>
      <w:r>
        <w:rPr>
          <w:spacing w:val="-2"/>
        </w:rPr>
        <w:t> </w:t>
      </w:r>
      <w:r>
        <w:rPr/>
        <w:t>to</w:t>
      </w:r>
      <w:r>
        <w:rPr>
          <w:spacing w:val="-2"/>
        </w:rPr>
        <w:t> </w:t>
      </w:r>
      <w:r>
        <w:rPr/>
        <w:t>the</w:t>
      </w:r>
      <w:r>
        <w:rPr>
          <w:spacing w:val="-2"/>
        </w:rPr>
        <w:t> </w:t>
      </w:r>
      <w:r>
        <w:rPr/>
        <w:t>authorities that govern them. In addition, they are responsible for ensuring that funds from ESFA, and any other public funds, are used only in accordance with ESFA’s grant funding agreements and contracts and any other conditions, that may be prescribed from time to time by ESFA, or any other public funder, including that any transactions entered into by the corporation are within the delegated authorities set out in the “Dear accounting officer” letter of 29 November 2022 and ESFA’s bite size guides.</w:t>
      </w:r>
    </w:p>
    <w:p>
      <w:pPr>
        <w:pStyle w:val="BodyText"/>
        <w:spacing w:before="45"/>
      </w:pPr>
    </w:p>
    <w:p>
      <w:pPr>
        <w:pStyle w:val="BodyText"/>
        <w:ind w:left="852" w:right="1086" w:hanging="1"/>
        <w:jc w:val="both"/>
      </w:pPr>
      <w:r>
        <w:rPr/>
        <w:t>Members of the corporation must ensure that there are appropriate financial and management controls</w:t>
      </w:r>
      <w:r>
        <w:rPr>
          <w:spacing w:val="-10"/>
        </w:rPr>
        <w:t> </w:t>
      </w:r>
      <w:r>
        <w:rPr/>
        <w:t>in</w:t>
      </w:r>
      <w:r>
        <w:rPr>
          <w:spacing w:val="-11"/>
        </w:rPr>
        <w:t> </w:t>
      </w:r>
      <w:r>
        <w:rPr/>
        <w:t>place</w:t>
      </w:r>
      <w:r>
        <w:rPr>
          <w:spacing w:val="-11"/>
        </w:rPr>
        <w:t> </w:t>
      </w:r>
      <w:r>
        <w:rPr/>
        <w:t>to</w:t>
      </w:r>
      <w:r>
        <w:rPr>
          <w:spacing w:val="-11"/>
        </w:rPr>
        <w:t> </w:t>
      </w:r>
      <w:r>
        <w:rPr/>
        <w:t>safeguard</w:t>
      </w:r>
      <w:r>
        <w:rPr>
          <w:spacing w:val="-14"/>
        </w:rPr>
        <w:t> </w:t>
      </w:r>
      <w:r>
        <w:rPr/>
        <w:t>public</w:t>
      </w:r>
      <w:r>
        <w:rPr>
          <w:spacing w:val="-11"/>
        </w:rPr>
        <w:t> </w:t>
      </w:r>
      <w:r>
        <w:rPr/>
        <w:t>and</w:t>
      </w:r>
      <w:r>
        <w:rPr>
          <w:spacing w:val="-11"/>
        </w:rPr>
        <w:t> </w:t>
      </w:r>
      <w:r>
        <w:rPr/>
        <w:t>other</w:t>
      </w:r>
      <w:r>
        <w:rPr>
          <w:spacing w:val="-13"/>
        </w:rPr>
        <w:t> </w:t>
      </w:r>
      <w:r>
        <w:rPr/>
        <w:t>funds</w:t>
      </w:r>
      <w:r>
        <w:rPr>
          <w:spacing w:val="-12"/>
        </w:rPr>
        <w:t> </w:t>
      </w:r>
      <w:r>
        <w:rPr/>
        <w:t>and</w:t>
      </w:r>
      <w:r>
        <w:rPr>
          <w:spacing w:val="-14"/>
        </w:rPr>
        <w:t> </w:t>
      </w:r>
      <w:r>
        <w:rPr/>
        <w:t>ensure</w:t>
      </w:r>
      <w:r>
        <w:rPr>
          <w:spacing w:val="-11"/>
        </w:rPr>
        <w:t> </w:t>
      </w:r>
      <w:r>
        <w:rPr/>
        <w:t>they</w:t>
      </w:r>
      <w:r>
        <w:rPr>
          <w:spacing w:val="-10"/>
        </w:rPr>
        <w:t> </w:t>
      </w:r>
      <w:r>
        <w:rPr/>
        <w:t>are</w:t>
      </w:r>
      <w:r>
        <w:rPr>
          <w:spacing w:val="-11"/>
        </w:rPr>
        <w:t> </w:t>
      </w:r>
      <w:r>
        <w:rPr/>
        <w:t>used</w:t>
      </w:r>
      <w:r>
        <w:rPr>
          <w:spacing w:val="-11"/>
        </w:rPr>
        <w:t> </w:t>
      </w:r>
      <w:r>
        <w:rPr/>
        <w:t>properly.</w:t>
      </w:r>
      <w:r>
        <w:rPr>
          <w:spacing w:val="-11"/>
        </w:rPr>
        <w:t> </w:t>
      </w:r>
      <w:r>
        <w:rPr/>
        <w:t>In</w:t>
      </w:r>
      <w:r>
        <w:rPr>
          <w:spacing w:val="-11"/>
        </w:rPr>
        <w:t> </w:t>
      </w:r>
      <w:r>
        <w:rPr/>
        <w:t>addition, members of the corporation are responsible for securing economic, efficient and effective management of the corporation’s resources and expenditure so that the benefits that should be derived from the application of public funds from ESFA and other public bodies are not put at risk.</w:t>
      </w:r>
    </w:p>
    <w:p>
      <w:pPr>
        <w:pStyle w:val="BodyText"/>
      </w:pPr>
    </w:p>
    <w:p>
      <w:pPr>
        <w:pStyle w:val="BodyText"/>
        <w:ind w:left="852" w:right="1087"/>
        <w:jc w:val="both"/>
      </w:pPr>
      <w:r>
        <w:rPr/>
        <w:t>Approved</w:t>
      </w:r>
      <w:r>
        <w:rPr>
          <w:spacing w:val="-9"/>
        </w:rPr>
        <w:t> </w:t>
      </w:r>
      <w:r>
        <w:rPr/>
        <w:t>by</w:t>
      </w:r>
      <w:r>
        <w:rPr>
          <w:spacing w:val="-7"/>
        </w:rPr>
        <w:t> </w:t>
      </w:r>
      <w:r>
        <w:rPr/>
        <w:t>order</w:t>
      </w:r>
      <w:r>
        <w:rPr>
          <w:spacing w:val="-8"/>
        </w:rPr>
        <w:t> </w:t>
      </w:r>
      <w:r>
        <w:rPr/>
        <w:t>of</w:t>
      </w:r>
      <w:r>
        <w:rPr>
          <w:spacing w:val="-9"/>
        </w:rPr>
        <w:t> </w:t>
      </w:r>
      <w:r>
        <w:rPr/>
        <w:t>the</w:t>
      </w:r>
      <w:r>
        <w:rPr>
          <w:spacing w:val="-7"/>
        </w:rPr>
        <w:t> </w:t>
      </w:r>
      <w:r>
        <w:rPr/>
        <w:t>members</w:t>
      </w:r>
      <w:r>
        <w:rPr>
          <w:spacing w:val="-7"/>
        </w:rPr>
        <w:t> </w:t>
      </w:r>
      <w:r>
        <w:rPr/>
        <w:t>of</w:t>
      </w:r>
      <w:r>
        <w:rPr>
          <w:spacing w:val="-9"/>
        </w:rPr>
        <w:t> </w:t>
      </w:r>
      <w:r>
        <w:rPr/>
        <w:t>the</w:t>
      </w:r>
      <w:r>
        <w:rPr>
          <w:spacing w:val="-9"/>
        </w:rPr>
        <w:t> </w:t>
      </w:r>
      <w:r>
        <w:rPr/>
        <w:t>corporation</w:t>
      </w:r>
      <w:r>
        <w:rPr>
          <w:spacing w:val="-9"/>
        </w:rPr>
        <w:t> </w:t>
      </w:r>
      <w:r>
        <w:rPr/>
        <w:t>on</w:t>
      </w:r>
      <w:r>
        <w:rPr>
          <w:spacing w:val="-9"/>
        </w:rPr>
        <w:t> </w:t>
      </w:r>
      <w:r>
        <w:rPr/>
        <w:t>27</w:t>
      </w:r>
      <w:r>
        <w:rPr>
          <w:spacing w:val="-8"/>
        </w:rPr>
        <w:t> </w:t>
      </w:r>
      <w:r>
        <w:rPr/>
        <w:t>February</w:t>
      </w:r>
      <w:r>
        <w:rPr>
          <w:spacing w:val="-7"/>
        </w:rPr>
        <w:t> </w:t>
      </w:r>
      <w:r>
        <w:rPr/>
        <w:t>2024</w:t>
      </w:r>
      <w:r>
        <w:rPr>
          <w:spacing w:val="-9"/>
        </w:rPr>
        <w:t> </w:t>
      </w:r>
      <w:r>
        <w:rPr/>
        <w:t>and</w:t>
      </w:r>
      <w:r>
        <w:rPr>
          <w:spacing w:val="-9"/>
        </w:rPr>
        <w:t> </w:t>
      </w:r>
      <w:r>
        <w:rPr/>
        <w:t>signed</w:t>
      </w:r>
      <w:r>
        <w:rPr>
          <w:spacing w:val="-9"/>
        </w:rPr>
        <w:t> </w:t>
      </w:r>
      <w:r>
        <w:rPr/>
        <w:t>on</w:t>
      </w:r>
      <w:r>
        <w:rPr>
          <w:spacing w:val="-9"/>
        </w:rPr>
        <w:t> </w:t>
      </w:r>
      <w:r>
        <w:rPr/>
        <w:t>its</w:t>
      </w:r>
      <w:r>
        <w:rPr>
          <w:spacing w:val="-7"/>
        </w:rPr>
        <w:t> </w:t>
      </w:r>
      <w:r>
        <w:rPr/>
        <w:t>behalf </w:t>
      </w:r>
      <w:r>
        <w:rPr>
          <w:spacing w:val="-4"/>
        </w:rPr>
        <w:t>by:</w:t>
      </w:r>
    </w:p>
    <w:p>
      <w:pPr>
        <w:spacing w:line="240" w:lineRule="auto"/>
        <w:ind w:left="852" w:right="0" w:firstLine="0"/>
        <w:rPr>
          <w:sz w:val="20"/>
        </w:rPr>
      </w:pPr>
      <w:r>
        <w:rPr>
          <w:sz w:val="20"/>
        </w:rPr>
        <w:drawing>
          <wp:inline distT="0" distB="0" distL="0" distR="0">
            <wp:extent cx="1213152" cy="372903"/>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6" cstate="print"/>
                    <a:stretch>
                      <a:fillRect/>
                    </a:stretch>
                  </pic:blipFill>
                  <pic:spPr>
                    <a:xfrm>
                      <a:off x="0" y="0"/>
                      <a:ext cx="1213152" cy="372903"/>
                    </a:xfrm>
                    <a:prstGeom prst="rect">
                      <a:avLst/>
                    </a:prstGeom>
                  </pic:spPr>
                </pic:pic>
              </a:graphicData>
            </a:graphic>
          </wp:inline>
        </w:drawing>
      </w:r>
      <w:r>
        <w:rPr>
          <w:sz w:val="20"/>
        </w:rPr>
      </w:r>
    </w:p>
    <w:p>
      <w:pPr>
        <w:pStyle w:val="BodyText"/>
        <w:spacing w:before="10"/>
      </w:pPr>
    </w:p>
    <w:p>
      <w:pPr>
        <w:spacing w:before="0"/>
        <w:ind w:left="852" w:right="7825" w:firstLine="0"/>
        <w:jc w:val="left"/>
        <w:rPr>
          <w:b/>
          <w:sz w:val="20"/>
        </w:rPr>
      </w:pPr>
      <w:r>
        <w:rPr>
          <w:b/>
          <w:sz w:val="20"/>
        </w:rPr>
        <w:t>Robert Lawson Chair</w:t>
      </w:r>
      <w:r>
        <w:rPr>
          <w:b/>
          <w:spacing w:val="-14"/>
          <w:sz w:val="20"/>
        </w:rPr>
        <w:t> </w:t>
      </w:r>
      <w:r>
        <w:rPr>
          <w:b/>
          <w:sz w:val="20"/>
        </w:rPr>
        <w:t>of</w:t>
      </w:r>
      <w:r>
        <w:rPr>
          <w:b/>
          <w:spacing w:val="-14"/>
          <w:sz w:val="20"/>
        </w:rPr>
        <w:t> </w:t>
      </w:r>
      <w:r>
        <w:rPr>
          <w:b/>
          <w:sz w:val="20"/>
        </w:rPr>
        <w:t>Corporation</w:t>
      </w:r>
    </w:p>
    <w:p>
      <w:pPr>
        <w:spacing w:after="0"/>
        <w:jc w:val="left"/>
        <w:rPr>
          <w:b/>
          <w:sz w:val="20"/>
        </w:rPr>
        <w:sectPr>
          <w:pgSz w:w="11910" w:h="16850"/>
          <w:pgMar w:header="727" w:footer="702" w:top="1520" w:bottom="900" w:left="566" w:right="708"/>
        </w:sectPr>
      </w:pPr>
    </w:p>
    <w:p>
      <w:pPr>
        <w:pStyle w:val="Heading3"/>
      </w:pPr>
      <w:bookmarkStart w:name="Independent Auditors’ Report to the Hull" w:id="7"/>
      <w:bookmarkEnd w:id="7"/>
      <w:r>
        <w:rPr>
          <w:b w:val="0"/>
        </w:rPr>
      </w:r>
      <w:r>
        <w:rPr>
          <w:spacing w:val="-2"/>
        </w:rPr>
        <w:t>Corporation</w:t>
      </w:r>
    </w:p>
    <w:p>
      <w:pPr>
        <w:pStyle w:val="BodyText"/>
        <w:spacing w:before="119"/>
        <w:rPr>
          <w:b/>
          <w:sz w:val="24"/>
        </w:rPr>
      </w:pPr>
    </w:p>
    <w:p>
      <w:pPr>
        <w:pStyle w:val="Heading6"/>
        <w:jc w:val="left"/>
      </w:pPr>
      <w:r>
        <w:rPr>
          <w:spacing w:val="-2"/>
        </w:rPr>
        <w:t>Opinion</w:t>
      </w:r>
    </w:p>
    <w:p>
      <w:pPr>
        <w:pStyle w:val="BodyText"/>
        <w:spacing w:before="120"/>
        <w:ind w:left="852" w:right="1085"/>
        <w:jc w:val="both"/>
      </w:pPr>
      <w:r>
        <w:rPr/>
        <w:t>We have audited the financial statements of Hull College Further Education Corporation (the “College”) and its subsidiaries (the “Group”) for the year ended 31 July 2023 which comprise the consolidated and College statement of comprehensive income, the consolidated and College balance</w:t>
      </w:r>
      <w:r>
        <w:rPr>
          <w:spacing w:val="-5"/>
        </w:rPr>
        <w:t> </w:t>
      </w:r>
      <w:r>
        <w:rPr/>
        <w:t>sheets,</w:t>
      </w:r>
      <w:r>
        <w:rPr>
          <w:spacing w:val="-5"/>
        </w:rPr>
        <w:t> </w:t>
      </w:r>
      <w:r>
        <w:rPr/>
        <w:t>the</w:t>
      </w:r>
      <w:r>
        <w:rPr>
          <w:spacing w:val="-5"/>
        </w:rPr>
        <w:t> </w:t>
      </w:r>
      <w:r>
        <w:rPr/>
        <w:t>consolidated</w:t>
      </w:r>
      <w:r>
        <w:rPr>
          <w:spacing w:val="-5"/>
        </w:rPr>
        <w:t> </w:t>
      </w:r>
      <w:r>
        <w:rPr/>
        <w:t>and</w:t>
      </w:r>
      <w:r>
        <w:rPr>
          <w:spacing w:val="-5"/>
        </w:rPr>
        <w:t> </w:t>
      </w:r>
      <w:r>
        <w:rPr/>
        <w:t>College</w:t>
      </w:r>
      <w:r>
        <w:rPr>
          <w:spacing w:val="-5"/>
        </w:rPr>
        <w:t> </w:t>
      </w:r>
      <w:r>
        <w:rPr/>
        <w:t>statements</w:t>
      </w:r>
      <w:r>
        <w:rPr>
          <w:spacing w:val="-4"/>
        </w:rPr>
        <w:t> </w:t>
      </w:r>
      <w:r>
        <w:rPr/>
        <w:t>of</w:t>
      </w:r>
      <w:r>
        <w:rPr>
          <w:spacing w:val="-5"/>
        </w:rPr>
        <w:t> </w:t>
      </w:r>
      <w:r>
        <w:rPr/>
        <w:t>changes</w:t>
      </w:r>
      <w:r>
        <w:rPr>
          <w:spacing w:val="-4"/>
        </w:rPr>
        <w:t> </w:t>
      </w:r>
      <w:r>
        <w:rPr/>
        <w:t>in</w:t>
      </w:r>
      <w:r>
        <w:rPr>
          <w:spacing w:val="-5"/>
        </w:rPr>
        <w:t> </w:t>
      </w:r>
      <w:r>
        <w:rPr/>
        <w:t>reserves,</w:t>
      </w:r>
      <w:r>
        <w:rPr>
          <w:spacing w:val="-5"/>
        </w:rPr>
        <w:t> </w:t>
      </w:r>
      <w:r>
        <w:rPr/>
        <w:t>the</w:t>
      </w:r>
      <w:r>
        <w:rPr>
          <w:spacing w:val="-5"/>
        </w:rPr>
        <w:t> </w:t>
      </w:r>
      <w:r>
        <w:rPr/>
        <w:t>consolidated statement of cash flows and notes to the financial statements, including significant accounting policies.</w:t>
      </w:r>
      <w:r>
        <w:rPr>
          <w:spacing w:val="40"/>
        </w:rPr>
        <w:t> </w:t>
      </w:r>
      <w:r>
        <w:rPr/>
        <w:t>The financial reporting framework that has been applied in their preparation is United Kingdom Accounting Standards, including FRS 102 “The Financial Reporting Standard applicable in the UK and Republic of Ireland” (United Kingdom Generally Accepted Accounting Practice) and the Accounts Direction issued by the Education and Skills Funding Agency.</w:t>
      </w:r>
    </w:p>
    <w:p>
      <w:pPr>
        <w:pStyle w:val="BodyText"/>
        <w:spacing w:before="120"/>
        <w:ind w:left="852"/>
        <w:jc w:val="both"/>
      </w:pPr>
      <w:r>
        <w:rPr/>
        <w:t>In</w:t>
      </w:r>
      <w:r>
        <w:rPr>
          <w:spacing w:val="-6"/>
        </w:rPr>
        <w:t> </w:t>
      </w:r>
      <w:r>
        <w:rPr/>
        <w:t>our</w:t>
      </w:r>
      <w:r>
        <w:rPr>
          <w:spacing w:val="-3"/>
        </w:rPr>
        <w:t> </w:t>
      </w:r>
      <w:r>
        <w:rPr/>
        <w:t>opinion</w:t>
      </w:r>
      <w:r>
        <w:rPr>
          <w:spacing w:val="-6"/>
        </w:rPr>
        <w:t> </w:t>
      </w:r>
      <w:r>
        <w:rPr/>
        <w:t>the</w:t>
      </w:r>
      <w:r>
        <w:rPr>
          <w:spacing w:val="-6"/>
        </w:rPr>
        <w:t> </w:t>
      </w:r>
      <w:r>
        <w:rPr/>
        <w:t>financial</w:t>
      </w:r>
      <w:r>
        <w:rPr>
          <w:spacing w:val="-5"/>
        </w:rPr>
        <w:t> </w:t>
      </w:r>
      <w:r>
        <w:rPr>
          <w:spacing w:val="-2"/>
        </w:rPr>
        <w:t>statements:</w:t>
      </w:r>
    </w:p>
    <w:p>
      <w:pPr>
        <w:pStyle w:val="ListParagraph"/>
        <w:numPr>
          <w:ilvl w:val="1"/>
          <w:numId w:val="7"/>
        </w:numPr>
        <w:tabs>
          <w:tab w:pos="1932" w:val="left" w:leader="none"/>
        </w:tabs>
        <w:spacing w:line="237" w:lineRule="auto" w:before="123" w:after="0"/>
        <w:ind w:left="1932" w:right="1088" w:hanging="721"/>
        <w:jc w:val="both"/>
        <w:rPr>
          <w:sz w:val="20"/>
        </w:rPr>
      </w:pPr>
      <w:r>
        <w:rPr>
          <w:sz w:val="20"/>
        </w:rPr>
        <w:t>give</w:t>
      </w:r>
      <w:r>
        <w:rPr>
          <w:spacing w:val="-7"/>
          <w:sz w:val="20"/>
        </w:rPr>
        <w:t> </w:t>
      </w:r>
      <w:r>
        <w:rPr>
          <w:sz w:val="20"/>
        </w:rPr>
        <w:t>a</w:t>
      </w:r>
      <w:r>
        <w:rPr>
          <w:spacing w:val="-4"/>
          <w:sz w:val="20"/>
        </w:rPr>
        <w:t> </w:t>
      </w:r>
      <w:r>
        <w:rPr>
          <w:sz w:val="20"/>
        </w:rPr>
        <w:t>true</w:t>
      </w:r>
      <w:r>
        <w:rPr>
          <w:spacing w:val="-4"/>
          <w:sz w:val="20"/>
        </w:rPr>
        <w:t> </w:t>
      </w:r>
      <w:r>
        <w:rPr>
          <w:sz w:val="20"/>
        </w:rPr>
        <w:t>and</w:t>
      </w:r>
      <w:r>
        <w:rPr>
          <w:spacing w:val="-7"/>
          <w:sz w:val="20"/>
        </w:rPr>
        <w:t> </w:t>
      </w:r>
      <w:r>
        <w:rPr>
          <w:sz w:val="20"/>
        </w:rPr>
        <w:t>fair</w:t>
      </w:r>
      <w:r>
        <w:rPr>
          <w:spacing w:val="-5"/>
          <w:sz w:val="20"/>
        </w:rPr>
        <w:t> </w:t>
      </w:r>
      <w:r>
        <w:rPr>
          <w:sz w:val="20"/>
        </w:rPr>
        <w:t>view</w:t>
      </w:r>
      <w:r>
        <w:rPr>
          <w:spacing w:val="-6"/>
          <w:sz w:val="20"/>
        </w:rPr>
        <w:t> </w:t>
      </w:r>
      <w:r>
        <w:rPr>
          <w:sz w:val="20"/>
        </w:rPr>
        <w:t>of</w:t>
      </w:r>
      <w:r>
        <w:rPr>
          <w:spacing w:val="-6"/>
          <w:sz w:val="20"/>
        </w:rPr>
        <w:t> </w:t>
      </w:r>
      <w:r>
        <w:rPr>
          <w:sz w:val="20"/>
        </w:rPr>
        <w:t>the</w:t>
      </w:r>
      <w:r>
        <w:rPr>
          <w:spacing w:val="-7"/>
          <w:sz w:val="20"/>
        </w:rPr>
        <w:t> </w:t>
      </w:r>
      <w:r>
        <w:rPr>
          <w:sz w:val="20"/>
        </w:rPr>
        <w:t>state</w:t>
      </w:r>
      <w:r>
        <w:rPr>
          <w:spacing w:val="-4"/>
          <w:sz w:val="20"/>
        </w:rPr>
        <w:t> </w:t>
      </w:r>
      <w:r>
        <w:rPr>
          <w:sz w:val="20"/>
        </w:rPr>
        <w:t>of</w:t>
      </w:r>
      <w:r>
        <w:rPr>
          <w:spacing w:val="-6"/>
          <w:sz w:val="20"/>
        </w:rPr>
        <w:t> </w:t>
      </w:r>
      <w:r>
        <w:rPr>
          <w:sz w:val="20"/>
        </w:rPr>
        <w:t>the</w:t>
      </w:r>
      <w:r>
        <w:rPr>
          <w:spacing w:val="-7"/>
          <w:sz w:val="20"/>
        </w:rPr>
        <w:t> </w:t>
      </w:r>
      <w:r>
        <w:rPr>
          <w:sz w:val="20"/>
        </w:rPr>
        <w:t>Group’s</w:t>
      </w:r>
      <w:r>
        <w:rPr>
          <w:spacing w:val="-5"/>
          <w:sz w:val="20"/>
        </w:rPr>
        <w:t> </w:t>
      </w:r>
      <w:r>
        <w:rPr>
          <w:sz w:val="20"/>
        </w:rPr>
        <w:t>and</w:t>
      </w:r>
      <w:r>
        <w:rPr>
          <w:spacing w:val="-4"/>
          <w:sz w:val="20"/>
        </w:rPr>
        <w:t> </w:t>
      </w:r>
      <w:r>
        <w:rPr>
          <w:sz w:val="20"/>
        </w:rPr>
        <w:t>of</w:t>
      </w:r>
      <w:r>
        <w:rPr>
          <w:spacing w:val="-6"/>
          <w:sz w:val="20"/>
        </w:rPr>
        <w:t> </w:t>
      </w:r>
      <w:r>
        <w:rPr>
          <w:sz w:val="20"/>
        </w:rPr>
        <w:t>the</w:t>
      </w:r>
      <w:r>
        <w:rPr>
          <w:spacing w:val="-4"/>
          <w:sz w:val="20"/>
        </w:rPr>
        <w:t> </w:t>
      </w:r>
      <w:r>
        <w:rPr>
          <w:sz w:val="20"/>
        </w:rPr>
        <w:t>College’s</w:t>
      </w:r>
      <w:r>
        <w:rPr>
          <w:spacing w:val="-5"/>
          <w:sz w:val="20"/>
        </w:rPr>
        <w:t> </w:t>
      </w:r>
      <w:r>
        <w:rPr>
          <w:sz w:val="20"/>
        </w:rPr>
        <w:t>affairs</w:t>
      </w:r>
      <w:r>
        <w:rPr>
          <w:spacing w:val="-5"/>
          <w:sz w:val="20"/>
        </w:rPr>
        <w:t> </w:t>
      </w:r>
      <w:r>
        <w:rPr>
          <w:sz w:val="20"/>
        </w:rPr>
        <w:t>as</w:t>
      </w:r>
      <w:r>
        <w:rPr>
          <w:spacing w:val="-5"/>
          <w:sz w:val="20"/>
        </w:rPr>
        <w:t> </w:t>
      </w:r>
      <w:r>
        <w:rPr>
          <w:sz w:val="20"/>
        </w:rPr>
        <w:t>at</w:t>
      </w:r>
      <w:r>
        <w:rPr>
          <w:spacing w:val="-4"/>
          <w:sz w:val="20"/>
        </w:rPr>
        <w:t> </w:t>
      </w:r>
      <w:r>
        <w:rPr>
          <w:sz w:val="20"/>
        </w:rPr>
        <w:t>31 July</w:t>
      </w:r>
      <w:r>
        <w:rPr>
          <w:spacing w:val="-3"/>
          <w:sz w:val="20"/>
        </w:rPr>
        <w:t> </w:t>
      </w:r>
      <w:r>
        <w:rPr>
          <w:sz w:val="20"/>
        </w:rPr>
        <w:t>2023</w:t>
      </w:r>
      <w:r>
        <w:rPr>
          <w:spacing w:val="-4"/>
          <w:sz w:val="20"/>
        </w:rPr>
        <w:t> </w:t>
      </w:r>
      <w:r>
        <w:rPr>
          <w:sz w:val="20"/>
        </w:rPr>
        <w:t>and</w:t>
      </w:r>
      <w:r>
        <w:rPr>
          <w:spacing w:val="-4"/>
          <w:sz w:val="20"/>
        </w:rPr>
        <w:t> </w:t>
      </w:r>
      <w:r>
        <w:rPr>
          <w:sz w:val="20"/>
        </w:rPr>
        <w:t>of</w:t>
      </w:r>
      <w:r>
        <w:rPr>
          <w:spacing w:val="-4"/>
          <w:sz w:val="20"/>
        </w:rPr>
        <w:t> </w:t>
      </w:r>
      <w:r>
        <w:rPr>
          <w:sz w:val="20"/>
        </w:rPr>
        <w:t>the</w:t>
      </w:r>
      <w:r>
        <w:rPr>
          <w:spacing w:val="-4"/>
          <w:sz w:val="20"/>
        </w:rPr>
        <w:t> </w:t>
      </w:r>
      <w:r>
        <w:rPr>
          <w:sz w:val="20"/>
        </w:rPr>
        <w:t>Group’s</w:t>
      </w:r>
      <w:r>
        <w:rPr>
          <w:spacing w:val="-3"/>
          <w:sz w:val="20"/>
        </w:rPr>
        <w:t> </w:t>
      </w:r>
      <w:r>
        <w:rPr>
          <w:sz w:val="20"/>
        </w:rPr>
        <w:t>and</w:t>
      </w:r>
      <w:r>
        <w:rPr>
          <w:spacing w:val="-4"/>
          <w:sz w:val="20"/>
        </w:rPr>
        <w:t> </w:t>
      </w:r>
      <w:r>
        <w:rPr>
          <w:sz w:val="20"/>
        </w:rPr>
        <w:t>the</w:t>
      </w:r>
      <w:r>
        <w:rPr>
          <w:spacing w:val="-4"/>
          <w:sz w:val="20"/>
        </w:rPr>
        <w:t> </w:t>
      </w:r>
      <w:r>
        <w:rPr>
          <w:sz w:val="20"/>
        </w:rPr>
        <w:t>College’s</w:t>
      </w:r>
      <w:r>
        <w:rPr>
          <w:spacing w:val="-3"/>
          <w:sz w:val="20"/>
        </w:rPr>
        <w:t> </w:t>
      </w:r>
      <w:r>
        <w:rPr>
          <w:sz w:val="20"/>
        </w:rPr>
        <w:t>surplus</w:t>
      </w:r>
      <w:r>
        <w:rPr>
          <w:spacing w:val="-3"/>
          <w:sz w:val="20"/>
        </w:rPr>
        <w:t> </w:t>
      </w:r>
      <w:r>
        <w:rPr>
          <w:sz w:val="20"/>
        </w:rPr>
        <w:t>of</w:t>
      </w:r>
      <w:r>
        <w:rPr>
          <w:spacing w:val="-4"/>
          <w:sz w:val="20"/>
        </w:rPr>
        <w:t> </w:t>
      </w:r>
      <w:r>
        <w:rPr>
          <w:sz w:val="20"/>
        </w:rPr>
        <w:t>income</w:t>
      </w:r>
      <w:r>
        <w:rPr>
          <w:spacing w:val="-2"/>
          <w:sz w:val="20"/>
        </w:rPr>
        <w:t> </w:t>
      </w:r>
      <w:r>
        <w:rPr>
          <w:sz w:val="20"/>
        </w:rPr>
        <w:t>over</w:t>
      </w:r>
      <w:r>
        <w:rPr>
          <w:spacing w:val="-3"/>
          <w:sz w:val="20"/>
        </w:rPr>
        <w:t> </w:t>
      </w:r>
      <w:r>
        <w:rPr>
          <w:sz w:val="20"/>
        </w:rPr>
        <w:t>expenditure</w:t>
      </w:r>
      <w:r>
        <w:rPr>
          <w:spacing w:val="-2"/>
          <w:sz w:val="20"/>
        </w:rPr>
        <w:t> </w:t>
      </w:r>
      <w:r>
        <w:rPr>
          <w:sz w:val="20"/>
        </w:rPr>
        <w:t>for the year then ended;</w:t>
      </w:r>
    </w:p>
    <w:p>
      <w:pPr>
        <w:pStyle w:val="ListParagraph"/>
        <w:numPr>
          <w:ilvl w:val="1"/>
          <w:numId w:val="7"/>
        </w:numPr>
        <w:tabs>
          <w:tab w:pos="1932" w:val="left" w:leader="none"/>
        </w:tabs>
        <w:spacing w:line="240" w:lineRule="auto" w:before="124" w:after="0"/>
        <w:ind w:left="1932" w:right="1088" w:hanging="721"/>
        <w:jc w:val="both"/>
        <w:rPr>
          <w:sz w:val="20"/>
        </w:rPr>
      </w:pPr>
      <w:r>
        <w:rPr>
          <w:sz w:val="20"/>
        </w:rPr>
        <w:t>have been properly prepared in accordance with United Kingdom Generally Accepted Accounting Practice; and</w:t>
      </w:r>
    </w:p>
    <w:p>
      <w:pPr>
        <w:pStyle w:val="ListParagraph"/>
        <w:numPr>
          <w:ilvl w:val="1"/>
          <w:numId w:val="7"/>
        </w:numPr>
        <w:tabs>
          <w:tab w:pos="1932" w:val="left" w:leader="none"/>
        </w:tabs>
        <w:spacing w:line="240" w:lineRule="auto" w:before="117" w:after="0"/>
        <w:ind w:left="1932" w:right="1090" w:hanging="721"/>
        <w:jc w:val="both"/>
        <w:rPr>
          <w:sz w:val="20"/>
        </w:rPr>
      </w:pPr>
      <w:r>
        <w:rPr>
          <w:sz w:val="20"/>
        </w:rPr>
        <w:t>have</w:t>
      </w:r>
      <w:r>
        <w:rPr>
          <w:spacing w:val="-14"/>
          <w:sz w:val="20"/>
        </w:rPr>
        <w:t> </w:t>
      </w:r>
      <w:r>
        <w:rPr>
          <w:sz w:val="20"/>
        </w:rPr>
        <w:t>been</w:t>
      </w:r>
      <w:r>
        <w:rPr>
          <w:spacing w:val="-14"/>
          <w:sz w:val="20"/>
        </w:rPr>
        <w:t> </w:t>
      </w:r>
      <w:r>
        <w:rPr>
          <w:sz w:val="20"/>
        </w:rPr>
        <w:t>prepared</w:t>
      </w:r>
      <w:r>
        <w:rPr>
          <w:spacing w:val="-14"/>
          <w:sz w:val="20"/>
        </w:rPr>
        <w:t> </w:t>
      </w:r>
      <w:r>
        <w:rPr>
          <w:sz w:val="20"/>
        </w:rPr>
        <w:t>in</w:t>
      </w:r>
      <w:r>
        <w:rPr>
          <w:spacing w:val="-14"/>
          <w:sz w:val="20"/>
        </w:rPr>
        <w:t> </w:t>
      </w:r>
      <w:r>
        <w:rPr>
          <w:sz w:val="20"/>
        </w:rPr>
        <w:t>accordance</w:t>
      </w:r>
      <w:r>
        <w:rPr>
          <w:spacing w:val="-14"/>
          <w:sz w:val="20"/>
        </w:rPr>
        <w:t> </w:t>
      </w:r>
      <w:r>
        <w:rPr>
          <w:sz w:val="20"/>
        </w:rPr>
        <w:t>with</w:t>
      </w:r>
      <w:r>
        <w:rPr>
          <w:spacing w:val="-14"/>
          <w:sz w:val="20"/>
        </w:rPr>
        <w:t> </w:t>
      </w:r>
      <w:r>
        <w:rPr>
          <w:sz w:val="20"/>
        </w:rPr>
        <w:t>the</w:t>
      </w:r>
      <w:r>
        <w:rPr>
          <w:spacing w:val="-14"/>
          <w:sz w:val="20"/>
        </w:rPr>
        <w:t> </w:t>
      </w:r>
      <w:r>
        <w:rPr>
          <w:sz w:val="20"/>
        </w:rPr>
        <w:t>Accounts</w:t>
      </w:r>
      <w:r>
        <w:rPr>
          <w:spacing w:val="-14"/>
          <w:sz w:val="20"/>
        </w:rPr>
        <w:t> </w:t>
      </w:r>
      <w:r>
        <w:rPr>
          <w:sz w:val="20"/>
        </w:rPr>
        <w:t>Direction</w:t>
      </w:r>
      <w:r>
        <w:rPr>
          <w:spacing w:val="-14"/>
          <w:sz w:val="20"/>
        </w:rPr>
        <w:t> </w:t>
      </w:r>
      <w:r>
        <w:rPr>
          <w:sz w:val="20"/>
        </w:rPr>
        <w:t>issued</w:t>
      </w:r>
      <w:r>
        <w:rPr>
          <w:spacing w:val="-13"/>
          <w:sz w:val="20"/>
        </w:rPr>
        <w:t> </w:t>
      </w:r>
      <w:r>
        <w:rPr>
          <w:sz w:val="20"/>
        </w:rPr>
        <w:t>by</w:t>
      </w:r>
      <w:r>
        <w:rPr>
          <w:spacing w:val="-14"/>
          <w:sz w:val="20"/>
        </w:rPr>
        <w:t> </w:t>
      </w:r>
      <w:r>
        <w:rPr>
          <w:sz w:val="20"/>
        </w:rPr>
        <w:t>the</w:t>
      </w:r>
      <w:r>
        <w:rPr>
          <w:spacing w:val="-12"/>
          <w:sz w:val="20"/>
        </w:rPr>
        <w:t> </w:t>
      </w:r>
      <w:r>
        <w:rPr>
          <w:sz w:val="20"/>
        </w:rPr>
        <w:t>Education and Skills Funding Agency.</w:t>
      </w:r>
    </w:p>
    <w:p>
      <w:pPr>
        <w:pStyle w:val="Heading6"/>
        <w:spacing w:before="120"/>
      </w:pPr>
      <w:r>
        <w:rPr/>
        <w:t>Basis</w:t>
      </w:r>
      <w:r>
        <w:rPr>
          <w:spacing w:val="-7"/>
        </w:rPr>
        <w:t> </w:t>
      </w:r>
      <w:r>
        <w:rPr/>
        <w:t>for</w:t>
      </w:r>
      <w:r>
        <w:rPr>
          <w:spacing w:val="-7"/>
        </w:rPr>
        <w:t> </w:t>
      </w:r>
      <w:r>
        <w:rPr>
          <w:spacing w:val="-2"/>
        </w:rPr>
        <w:t>opinion</w:t>
      </w:r>
    </w:p>
    <w:p>
      <w:pPr>
        <w:pStyle w:val="BodyText"/>
        <w:spacing w:before="118"/>
        <w:ind w:left="852" w:right="1084"/>
        <w:jc w:val="both"/>
      </w:pPr>
      <w:r>
        <w:rPr/>
        <w:t>We conducted our audit in accordance with International Standards on Auditing (UK) (ISAs (UK)) and</w:t>
      </w:r>
      <w:r>
        <w:rPr>
          <w:spacing w:val="-9"/>
        </w:rPr>
        <w:t> </w:t>
      </w:r>
      <w:r>
        <w:rPr/>
        <w:t>applicable</w:t>
      </w:r>
      <w:r>
        <w:rPr>
          <w:spacing w:val="-11"/>
        </w:rPr>
        <w:t> </w:t>
      </w:r>
      <w:r>
        <w:rPr/>
        <w:t>law.</w:t>
      </w:r>
      <w:r>
        <w:rPr>
          <w:spacing w:val="-11"/>
        </w:rPr>
        <w:t> </w:t>
      </w:r>
      <w:r>
        <w:rPr/>
        <w:t>Our</w:t>
      </w:r>
      <w:r>
        <w:rPr>
          <w:spacing w:val="-10"/>
        </w:rPr>
        <w:t> </w:t>
      </w:r>
      <w:r>
        <w:rPr/>
        <w:t>responsibilities</w:t>
      </w:r>
      <w:r>
        <w:rPr>
          <w:spacing w:val="-10"/>
        </w:rPr>
        <w:t> </w:t>
      </w:r>
      <w:r>
        <w:rPr/>
        <w:t>under</w:t>
      </w:r>
      <w:r>
        <w:rPr>
          <w:spacing w:val="-8"/>
        </w:rPr>
        <w:t> </w:t>
      </w:r>
      <w:r>
        <w:rPr/>
        <w:t>those</w:t>
      </w:r>
      <w:r>
        <w:rPr>
          <w:spacing w:val="-9"/>
        </w:rPr>
        <w:t> </w:t>
      </w:r>
      <w:r>
        <w:rPr/>
        <w:t>standards</w:t>
      </w:r>
      <w:r>
        <w:rPr>
          <w:spacing w:val="-10"/>
        </w:rPr>
        <w:t> </w:t>
      </w:r>
      <w:r>
        <w:rPr/>
        <w:t>are</w:t>
      </w:r>
      <w:r>
        <w:rPr>
          <w:spacing w:val="-11"/>
        </w:rPr>
        <w:t> </w:t>
      </w:r>
      <w:r>
        <w:rPr/>
        <w:t>further</w:t>
      </w:r>
      <w:r>
        <w:rPr>
          <w:spacing w:val="-10"/>
        </w:rPr>
        <w:t> </w:t>
      </w:r>
      <w:r>
        <w:rPr/>
        <w:t>described</w:t>
      </w:r>
      <w:r>
        <w:rPr>
          <w:spacing w:val="-11"/>
        </w:rPr>
        <w:t> </w:t>
      </w:r>
      <w:r>
        <w:rPr/>
        <w:t>in</w:t>
      </w:r>
      <w:r>
        <w:rPr>
          <w:spacing w:val="-9"/>
        </w:rPr>
        <w:t> </w:t>
      </w:r>
      <w:r>
        <w:rPr/>
        <w:t>the</w:t>
      </w:r>
      <w:r>
        <w:rPr>
          <w:spacing w:val="-11"/>
        </w:rPr>
        <w:t> </w:t>
      </w:r>
      <w:r>
        <w:rPr/>
        <w:t>Auditor’s responsibilities for the audit of the financial statements section of our report. We are independent of</w:t>
      </w:r>
      <w:r>
        <w:rPr>
          <w:spacing w:val="-4"/>
        </w:rPr>
        <w:t> </w:t>
      </w:r>
      <w:r>
        <w:rPr/>
        <w:t>the</w:t>
      </w:r>
      <w:r>
        <w:rPr>
          <w:spacing w:val="-2"/>
        </w:rPr>
        <w:t> </w:t>
      </w:r>
      <w:r>
        <w:rPr/>
        <w:t>Group</w:t>
      </w:r>
      <w:r>
        <w:rPr>
          <w:spacing w:val="-2"/>
        </w:rPr>
        <w:t> </w:t>
      </w:r>
      <w:r>
        <w:rPr/>
        <w:t>and</w:t>
      </w:r>
      <w:r>
        <w:rPr>
          <w:spacing w:val="-2"/>
        </w:rPr>
        <w:t> </w:t>
      </w:r>
      <w:r>
        <w:rPr/>
        <w:t>College</w:t>
      </w:r>
      <w:r>
        <w:rPr>
          <w:spacing w:val="-2"/>
        </w:rPr>
        <w:t> </w:t>
      </w:r>
      <w:r>
        <w:rPr/>
        <w:t>in</w:t>
      </w:r>
      <w:r>
        <w:rPr>
          <w:spacing w:val="-2"/>
        </w:rPr>
        <w:t> </w:t>
      </w:r>
      <w:r>
        <w:rPr/>
        <w:t>accordance</w:t>
      </w:r>
      <w:r>
        <w:rPr>
          <w:spacing w:val="-4"/>
        </w:rPr>
        <w:t> </w:t>
      </w:r>
      <w:r>
        <w:rPr/>
        <w:t>with</w:t>
      </w:r>
      <w:r>
        <w:rPr>
          <w:spacing w:val="-2"/>
        </w:rPr>
        <w:t> </w:t>
      </w:r>
      <w:r>
        <w:rPr/>
        <w:t>the</w:t>
      </w:r>
      <w:r>
        <w:rPr>
          <w:spacing w:val="-2"/>
        </w:rPr>
        <w:t> </w:t>
      </w:r>
      <w:r>
        <w:rPr/>
        <w:t>ethical</w:t>
      </w:r>
      <w:r>
        <w:rPr>
          <w:spacing w:val="-5"/>
        </w:rPr>
        <w:t> </w:t>
      </w:r>
      <w:r>
        <w:rPr/>
        <w:t>requirements</w:t>
      </w:r>
      <w:r>
        <w:rPr>
          <w:spacing w:val="-3"/>
        </w:rPr>
        <w:t> </w:t>
      </w:r>
      <w:r>
        <w:rPr/>
        <w:t>that</w:t>
      </w:r>
      <w:r>
        <w:rPr>
          <w:spacing w:val="-2"/>
        </w:rPr>
        <w:t> </w:t>
      </w:r>
      <w:r>
        <w:rPr/>
        <w:t>are</w:t>
      </w:r>
      <w:r>
        <w:rPr>
          <w:spacing w:val="-3"/>
        </w:rPr>
        <w:t> </w:t>
      </w:r>
      <w:r>
        <w:rPr/>
        <w:t>relevant</w:t>
      </w:r>
      <w:r>
        <w:rPr>
          <w:spacing w:val="-4"/>
        </w:rPr>
        <w:t> </w:t>
      </w:r>
      <w:r>
        <w:rPr/>
        <w:t>to</w:t>
      </w:r>
      <w:r>
        <w:rPr>
          <w:spacing w:val="-2"/>
        </w:rPr>
        <w:t> </w:t>
      </w:r>
      <w:r>
        <w:rPr/>
        <w:t>our</w:t>
      </w:r>
      <w:r>
        <w:rPr>
          <w:spacing w:val="-3"/>
        </w:rPr>
        <w:t> </w:t>
      </w:r>
      <w:r>
        <w:rPr/>
        <w:t>audit of</w:t>
      </w:r>
      <w:r>
        <w:rPr>
          <w:spacing w:val="-9"/>
        </w:rPr>
        <w:t> </w:t>
      </w:r>
      <w:r>
        <w:rPr/>
        <w:t>the</w:t>
      </w:r>
      <w:r>
        <w:rPr>
          <w:spacing w:val="-9"/>
        </w:rPr>
        <w:t> </w:t>
      </w:r>
      <w:r>
        <w:rPr/>
        <w:t>financial</w:t>
      </w:r>
      <w:r>
        <w:rPr>
          <w:spacing w:val="-10"/>
        </w:rPr>
        <w:t> </w:t>
      </w:r>
      <w:r>
        <w:rPr/>
        <w:t>statements</w:t>
      </w:r>
      <w:r>
        <w:rPr>
          <w:spacing w:val="-7"/>
        </w:rPr>
        <w:t> </w:t>
      </w:r>
      <w:r>
        <w:rPr/>
        <w:t>in</w:t>
      </w:r>
      <w:r>
        <w:rPr>
          <w:spacing w:val="-9"/>
        </w:rPr>
        <w:t> </w:t>
      </w:r>
      <w:r>
        <w:rPr/>
        <w:t>the</w:t>
      </w:r>
      <w:r>
        <w:rPr>
          <w:spacing w:val="-9"/>
        </w:rPr>
        <w:t> </w:t>
      </w:r>
      <w:r>
        <w:rPr/>
        <w:t>UK,</w:t>
      </w:r>
      <w:r>
        <w:rPr>
          <w:spacing w:val="-9"/>
        </w:rPr>
        <w:t> </w:t>
      </w:r>
      <w:r>
        <w:rPr/>
        <w:t>including</w:t>
      </w:r>
      <w:r>
        <w:rPr>
          <w:spacing w:val="-9"/>
        </w:rPr>
        <w:t> </w:t>
      </w:r>
      <w:r>
        <w:rPr/>
        <w:t>the</w:t>
      </w:r>
      <w:r>
        <w:rPr>
          <w:spacing w:val="-9"/>
        </w:rPr>
        <w:t> </w:t>
      </w:r>
      <w:r>
        <w:rPr/>
        <w:t>FRC’s</w:t>
      </w:r>
      <w:r>
        <w:rPr>
          <w:spacing w:val="-7"/>
        </w:rPr>
        <w:t> </w:t>
      </w:r>
      <w:r>
        <w:rPr/>
        <w:t>Ethical</w:t>
      </w:r>
      <w:r>
        <w:rPr>
          <w:spacing w:val="-7"/>
        </w:rPr>
        <w:t> </w:t>
      </w:r>
      <w:r>
        <w:rPr/>
        <w:t>Standard</w:t>
      </w:r>
      <w:r>
        <w:rPr>
          <w:spacing w:val="-9"/>
        </w:rPr>
        <w:t> </w:t>
      </w:r>
      <w:r>
        <w:rPr/>
        <w:t>and</w:t>
      </w:r>
      <w:r>
        <w:rPr>
          <w:spacing w:val="-9"/>
        </w:rPr>
        <w:t> </w:t>
      </w:r>
      <w:r>
        <w:rPr/>
        <w:t>we</w:t>
      </w:r>
      <w:r>
        <w:rPr>
          <w:spacing w:val="-7"/>
        </w:rPr>
        <w:t> </w:t>
      </w:r>
      <w:r>
        <w:rPr/>
        <w:t>have</w:t>
      </w:r>
      <w:r>
        <w:rPr>
          <w:spacing w:val="-9"/>
        </w:rPr>
        <w:t> </w:t>
      </w:r>
      <w:r>
        <w:rPr/>
        <w:t>fulfilled</w:t>
      </w:r>
      <w:r>
        <w:rPr>
          <w:spacing w:val="-9"/>
        </w:rPr>
        <w:t> </w:t>
      </w:r>
      <w:r>
        <w:rPr/>
        <w:t>our other ethical responsibilities in accordance with these requirements. We believe that the audit evidence we have obtained is sufficient and appropriate to provide a basis for our opinion.</w:t>
      </w:r>
    </w:p>
    <w:p>
      <w:pPr>
        <w:pStyle w:val="Heading6"/>
        <w:spacing w:before="121"/>
      </w:pPr>
      <w:r>
        <w:rPr/>
        <w:t>Conclusions</w:t>
      </w:r>
      <w:r>
        <w:rPr>
          <w:spacing w:val="-8"/>
        </w:rPr>
        <w:t> </w:t>
      </w:r>
      <w:r>
        <w:rPr/>
        <w:t>relating</w:t>
      </w:r>
      <w:r>
        <w:rPr>
          <w:spacing w:val="-8"/>
        </w:rPr>
        <w:t> </w:t>
      </w:r>
      <w:r>
        <w:rPr/>
        <w:t>to</w:t>
      </w:r>
      <w:r>
        <w:rPr>
          <w:spacing w:val="-9"/>
        </w:rPr>
        <w:t> </w:t>
      </w:r>
      <w:r>
        <w:rPr/>
        <w:t>going</w:t>
      </w:r>
      <w:r>
        <w:rPr>
          <w:spacing w:val="-8"/>
        </w:rPr>
        <w:t> </w:t>
      </w:r>
      <w:r>
        <w:rPr>
          <w:spacing w:val="-2"/>
        </w:rPr>
        <w:t>concern</w:t>
      </w:r>
    </w:p>
    <w:p>
      <w:pPr>
        <w:pStyle w:val="BodyText"/>
        <w:spacing w:before="120"/>
        <w:ind w:left="852" w:right="1087"/>
        <w:jc w:val="both"/>
      </w:pPr>
      <w:r>
        <w:rPr/>
        <w:t>In</w:t>
      </w:r>
      <w:r>
        <w:rPr>
          <w:spacing w:val="-14"/>
        </w:rPr>
        <w:t> </w:t>
      </w:r>
      <w:r>
        <w:rPr/>
        <w:t>auditing</w:t>
      </w:r>
      <w:r>
        <w:rPr>
          <w:spacing w:val="-14"/>
        </w:rPr>
        <w:t> </w:t>
      </w:r>
      <w:r>
        <w:rPr/>
        <w:t>the</w:t>
      </w:r>
      <w:r>
        <w:rPr>
          <w:spacing w:val="-14"/>
        </w:rPr>
        <w:t> </w:t>
      </w:r>
      <w:r>
        <w:rPr/>
        <w:t>financial</w:t>
      </w:r>
      <w:r>
        <w:rPr>
          <w:spacing w:val="-14"/>
        </w:rPr>
        <w:t> </w:t>
      </w:r>
      <w:r>
        <w:rPr/>
        <w:t>statements,</w:t>
      </w:r>
      <w:r>
        <w:rPr>
          <w:spacing w:val="-14"/>
        </w:rPr>
        <w:t> </w:t>
      </w:r>
      <w:r>
        <w:rPr/>
        <w:t>we</w:t>
      </w:r>
      <w:r>
        <w:rPr>
          <w:spacing w:val="-14"/>
        </w:rPr>
        <w:t> </w:t>
      </w:r>
      <w:r>
        <w:rPr/>
        <w:t>have</w:t>
      </w:r>
      <w:r>
        <w:rPr>
          <w:spacing w:val="-14"/>
        </w:rPr>
        <w:t> </w:t>
      </w:r>
      <w:r>
        <w:rPr/>
        <w:t>concluded</w:t>
      </w:r>
      <w:r>
        <w:rPr>
          <w:spacing w:val="-14"/>
        </w:rPr>
        <w:t> </w:t>
      </w:r>
      <w:r>
        <w:rPr/>
        <w:t>that</w:t>
      </w:r>
      <w:r>
        <w:rPr>
          <w:spacing w:val="-14"/>
        </w:rPr>
        <w:t> </w:t>
      </w:r>
      <w:r>
        <w:rPr/>
        <w:t>the</w:t>
      </w:r>
      <w:r>
        <w:rPr>
          <w:spacing w:val="-13"/>
        </w:rPr>
        <w:t> </w:t>
      </w:r>
      <w:r>
        <w:rPr/>
        <w:t>governors’</w:t>
      </w:r>
      <w:r>
        <w:rPr>
          <w:spacing w:val="-13"/>
        </w:rPr>
        <w:t> </w:t>
      </w:r>
      <w:r>
        <w:rPr/>
        <w:t>use</w:t>
      </w:r>
      <w:r>
        <w:rPr>
          <w:spacing w:val="-14"/>
        </w:rPr>
        <w:t> </w:t>
      </w:r>
      <w:r>
        <w:rPr/>
        <w:t>of</w:t>
      </w:r>
      <w:r>
        <w:rPr>
          <w:spacing w:val="-13"/>
        </w:rPr>
        <w:t> </w:t>
      </w:r>
      <w:r>
        <w:rPr/>
        <w:t>the</w:t>
      </w:r>
      <w:r>
        <w:rPr>
          <w:spacing w:val="-13"/>
        </w:rPr>
        <w:t> </w:t>
      </w:r>
      <w:r>
        <w:rPr/>
        <w:t>going</w:t>
      </w:r>
      <w:r>
        <w:rPr>
          <w:spacing w:val="-14"/>
        </w:rPr>
        <w:t> </w:t>
      </w:r>
      <w:r>
        <w:rPr/>
        <w:t>concern basis of accounting in the preparation of the financial statements is appropriate.</w:t>
      </w:r>
    </w:p>
    <w:p>
      <w:pPr>
        <w:pStyle w:val="BodyText"/>
        <w:spacing w:before="121"/>
        <w:ind w:left="852" w:right="1086"/>
        <w:jc w:val="both"/>
      </w:pPr>
      <w:r>
        <w:rPr/>
        <w:t>Based</w:t>
      </w:r>
      <w:r>
        <w:rPr>
          <w:spacing w:val="-4"/>
        </w:rPr>
        <w:t> </w:t>
      </w:r>
      <w:r>
        <w:rPr/>
        <w:t>on</w:t>
      </w:r>
      <w:r>
        <w:rPr>
          <w:spacing w:val="-7"/>
        </w:rPr>
        <w:t> </w:t>
      </w:r>
      <w:r>
        <w:rPr/>
        <w:t>the</w:t>
      </w:r>
      <w:r>
        <w:rPr>
          <w:spacing w:val="-7"/>
        </w:rPr>
        <w:t> </w:t>
      </w:r>
      <w:r>
        <w:rPr/>
        <w:t>work</w:t>
      </w:r>
      <w:r>
        <w:rPr>
          <w:spacing w:val="-5"/>
        </w:rPr>
        <w:t> </w:t>
      </w:r>
      <w:r>
        <w:rPr/>
        <w:t>we</w:t>
      </w:r>
      <w:r>
        <w:rPr>
          <w:spacing w:val="-7"/>
        </w:rPr>
        <w:t> </w:t>
      </w:r>
      <w:r>
        <w:rPr/>
        <w:t>have</w:t>
      </w:r>
      <w:r>
        <w:rPr>
          <w:spacing w:val="-4"/>
        </w:rPr>
        <w:t> </w:t>
      </w:r>
      <w:r>
        <w:rPr/>
        <w:t>performed,</w:t>
      </w:r>
      <w:r>
        <w:rPr>
          <w:spacing w:val="-6"/>
        </w:rPr>
        <w:t> </w:t>
      </w:r>
      <w:r>
        <w:rPr/>
        <w:t>we</w:t>
      </w:r>
      <w:r>
        <w:rPr>
          <w:spacing w:val="-7"/>
        </w:rPr>
        <w:t> </w:t>
      </w:r>
      <w:r>
        <w:rPr/>
        <w:t>have</w:t>
      </w:r>
      <w:r>
        <w:rPr>
          <w:spacing w:val="-7"/>
        </w:rPr>
        <w:t> </w:t>
      </w:r>
      <w:r>
        <w:rPr/>
        <w:t>not</w:t>
      </w:r>
      <w:r>
        <w:rPr>
          <w:spacing w:val="-6"/>
        </w:rPr>
        <w:t> </w:t>
      </w:r>
      <w:r>
        <w:rPr/>
        <w:t>identified</w:t>
      </w:r>
      <w:r>
        <w:rPr>
          <w:spacing w:val="-7"/>
        </w:rPr>
        <w:t> </w:t>
      </w:r>
      <w:r>
        <w:rPr/>
        <w:t>any</w:t>
      </w:r>
      <w:r>
        <w:rPr>
          <w:spacing w:val="-5"/>
        </w:rPr>
        <w:t> </w:t>
      </w:r>
      <w:r>
        <w:rPr/>
        <w:t>material</w:t>
      </w:r>
      <w:r>
        <w:rPr>
          <w:spacing w:val="-7"/>
        </w:rPr>
        <w:t> </w:t>
      </w:r>
      <w:r>
        <w:rPr/>
        <w:t>uncertainties</w:t>
      </w:r>
      <w:r>
        <w:rPr>
          <w:spacing w:val="-5"/>
        </w:rPr>
        <w:t> </w:t>
      </w:r>
      <w:r>
        <w:rPr/>
        <w:t>relating</w:t>
      </w:r>
      <w:r>
        <w:rPr>
          <w:spacing w:val="-7"/>
        </w:rPr>
        <w:t> </w:t>
      </w:r>
      <w:r>
        <w:rPr/>
        <w:t>to events or conditions that, individually or collectively, may cast significant doubt on the Group’s or the</w:t>
      </w:r>
      <w:r>
        <w:rPr>
          <w:spacing w:val="-10"/>
        </w:rPr>
        <w:t> </w:t>
      </w:r>
      <w:r>
        <w:rPr/>
        <w:t>College’s</w:t>
      </w:r>
      <w:r>
        <w:rPr>
          <w:spacing w:val="-7"/>
        </w:rPr>
        <w:t> </w:t>
      </w:r>
      <w:r>
        <w:rPr/>
        <w:t>ability</w:t>
      </w:r>
      <w:r>
        <w:rPr>
          <w:spacing w:val="-9"/>
        </w:rPr>
        <w:t> </w:t>
      </w:r>
      <w:r>
        <w:rPr/>
        <w:t>to</w:t>
      </w:r>
      <w:r>
        <w:rPr>
          <w:spacing w:val="-10"/>
        </w:rPr>
        <w:t> </w:t>
      </w:r>
      <w:r>
        <w:rPr/>
        <w:t>continue</w:t>
      </w:r>
      <w:r>
        <w:rPr>
          <w:spacing w:val="-9"/>
        </w:rPr>
        <w:t> </w:t>
      </w:r>
      <w:r>
        <w:rPr/>
        <w:t>as</w:t>
      </w:r>
      <w:r>
        <w:rPr>
          <w:spacing w:val="-9"/>
        </w:rPr>
        <w:t> </w:t>
      </w:r>
      <w:r>
        <w:rPr/>
        <w:t>a</w:t>
      </w:r>
      <w:r>
        <w:rPr>
          <w:spacing w:val="-9"/>
        </w:rPr>
        <w:t> </w:t>
      </w:r>
      <w:r>
        <w:rPr/>
        <w:t>going</w:t>
      </w:r>
      <w:r>
        <w:rPr>
          <w:spacing w:val="-10"/>
        </w:rPr>
        <w:t> </w:t>
      </w:r>
      <w:r>
        <w:rPr/>
        <w:t>concern</w:t>
      </w:r>
      <w:r>
        <w:rPr>
          <w:spacing w:val="-10"/>
        </w:rPr>
        <w:t> </w:t>
      </w:r>
      <w:r>
        <w:rPr/>
        <w:t>for</w:t>
      </w:r>
      <w:r>
        <w:rPr>
          <w:spacing w:val="-8"/>
        </w:rPr>
        <w:t> </w:t>
      </w:r>
      <w:r>
        <w:rPr/>
        <w:t>a</w:t>
      </w:r>
      <w:r>
        <w:rPr>
          <w:spacing w:val="-10"/>
        </w:rPr>
        <w:t> </w:t>
      </w:r>
      <w:r>
        <w:rPr/>
        <w:t>period</w:t>
      </w:r>
      <w:r>
        <w:rPr>
          <w:spacing w:val="-9"/>
        </w:rPr>
        <w:t> </w:t>
      </w:r>
      <w:r>
        <w:rPr/>
        <w:t>of</w:t>
      </w:r>
      <w:r>
        <w:rPr>
          <w:spacing w:val="-9"/>
        </w:rPr>
        <w:t> </w:t>
      </w:r>
      <w:r>
        <w:rPr/>
        <w:t>at</w:t>
      </w:r>
      <w:r>
        <w:rPr>
          <w:spacing w:val="-9"/>
        </w:rPr>
        <w:t> </w:t>
      </w:r>
      <w:r>
        <w:rPr/>
        <w:t>least</w:t>
      </w:r>
      <w:r>
        <w:rPr>
          <w:spacing w:val="-9"/>
        </w:rPr>
        <w:t> </w:t>
      </w:r>
      <w:r>
        <w:rPr/>
        <w:t>twelve</w:t>
      </w:r>
      <w:r>
        <w:rPr>
          <w:spacing w:val="-10"/>
        </w:rPr>
        <w:t> </w:t>
      </w:r>
      <w:r>
        <w:rPr/>
        <w:t>months</w:t>
      </w:r>
      <w:r>
        <w:rPr>
          <w:spacing w:val="-9"/>
        </w:rPr>
        <w:t> </w:t>
      </w:r>
      <w:r>
        <w:rPr/>
        <w:t>from</w:t>
      </w:r>
      <w:r>
        <w:rPr>
          <w:spacing w:val="-10"/>
        </w:rPr>
        <w:t> </w:t>
      </w:r>
      <w:r>
        <w:rPr/>
        <w:t>when the financial statements are authorised for issue.</w:t>
      </w:r>
    </w:p>
    <w:p>
      <w:pPr>
        <w:pStyle w:val="BodyText"/>
        <w:spacing w:before="120"/>
        <w:ind w:left="852" w:right="1087"/>
        <w:jc w:val="both"/>
      </w:pPr>
      <w:r>
        <w:rPr/>
        <w:t>Our responsibilities and the responsibilities of the governors with respect to going concern are described in the relevant sections of this report.</w:t>
      </w:r>
    </w:p>
    <w:p>
      <w:pPr>
        <w:pStyle w:val="Heading6"/>
        <w:spacing w:before="120"/>
      </w:pPr>
      <w:r>
        <w:rPr/>
        <w:t>Other</w:t>
      </w:r>
      <w:r>
        <w:rPr>
          <w:spacing w:val="-8"/>
        </w:rPr>
        <w:t> </w:t>
      </w:r>
      <w:r>
        <w:rPr>
          <w:spacing w:val="-2"/>
        </w:rPr>
        <w:t>information</w:t>
      </w:r>
    </w:p>
    <w:p>
      <w:pPr>
        <w:pStyle w:val="BodyText"/>
        <w:spacing w:before="118"/>
        <w:ind w:left="852" w:right="1084"/>
        <w:jc w:val="both"/>
      </w:pPr>
      <w:r>
        <w:rPr/>
        <w:t>The other information comprises the information included in the Report and Financial Statements other</w:t>
      </w:r>
      <w:r>
        <w:rPr>
          <w:spacing w:val="-6"/>
        </w:rPr>
        <w:t> </w:t>
      </w:r>
      <w:r>
        <w:rPr/>
        <w:t>than</w:t>
      </w:r>
      <w:r>
        <w:rPr>
          <w:spacing w:val="-7"/>
        </w:rPr>
        <w:t> </w:t>
      </w:r>
      <w:r>
        <w:rPr/>
        <w:t>the</w:t>
      </w:r>
      <w:r>
        <w:rPr>
          <w:spacing w:val="-7"/>
        </w:rPr>
        <w:t> </w:t>
      </w:r>
      <w:r>
        <w:rPr/>
        <w:t>financial</w:t>
      </w:r>
      <w:r>
        <w:rPr>
          <w:spacing w:val="-7"/>
        </w:rPr>
        <w:t> </w:t>
      </w:r>
      <w:r>
        <w:rPr/>
        <w:t>statements</w:t>
      </w:r>
      <w:r>
        <w:rPr>
          <w:spacing w:val="-6"/>
        </w:rPr>
        <w:t> </w:t>
      </w:r>
      <w:r>
        <w:rPr/>
        <w:t>and</w:t>
      </w:r>
      <w:r>
        <w:rPr>
          <w:spacing w:val="-7"/>
        </w:rPr>
        <w:t> </w:t>
      </w:r>
      <w:r>
        <w:rPr/>
        <w:t>our</w:t>
      </w:r>
      <w:r>
        <w:rPr>
          <w:spacing w:val="-6"/>
        </w:rPr>
        <w:t> </w:t>
      </w:r>
      <w:r>
        <w:rPr/>
        <w:t>auditor’s</w:t>
      </w:r>
      <w:r>
        <w:rPr>
          <w:spacing w:val="-6"/>
        </w:rPr>
        <w:t> </w:t>
      </w:r>
      <w:r>
        <w:rPr/>
        <w:t>report</w:t>
      </w:r>
      <w:r>
        <w:rPr>
          <w:spacing w:val="-6"/>
        </w:rPr>
        <w:t> </w:t>
      </w:r>
      <w:r>
        <w:rPr/>
        <w:t>thereon.</w:t>
      </w:r>
      <w:r>
        <w:rPr>
          <w:spacing w:val="-6"/>
        </w:rPr>
        <w:t> </w:t>
      </w:r>
      <w:r>
        <w:rPr/>
        <w:t>The</w:t>
      </w:r>
      <w:r>
        <w:rPr>
          <w:spacing w:val="-7"/>
        </w:rPr>
        <w:t> </w:t>
      </w:r>
      <w:r>
        <w:rPr/>
        <w:t>governors</w:t>
      </w:r>
      <w:r>
        <w:rPr>
          <w:spacing w:val="-6"/>
        </w:rPr>
        <w:t> </w:t>
      </w:r>
      <w:r>
        <w:rPr/>
        <w:t>are</w:t>
      </w:r>
      <w:r>
        <w:rPr>
          <w:spacing w:val="-7"/>
        </w:rPr>
        <w:t> </w:t>
      </w:r>
      <w:r>
        <w:rPr/>
        <w:t>responsible for</w:t>
      </w:r>
      <w:r>
        <w:rPr>
          <w:spacing w:val="-5"/>
        </w:rPr>
        <w:t> </w:t>
      </w:r>
      <w:r>
        <w:rPr/>
        <w:t>the</w:t>
      </w:r>
      <w:r>
        <w:rPr>
          <w:spacing w:val="-4"/>
        </w:rPr>
        <w:t> </w:t>
      </w:r>
      <w:r>
        <w:rPr/>
        <w:t>other</w:t>
      </w:r>
      <w:r>
        <w:rPr>
          <w:spacing w:val="-5"/>
        </w:rPr>
        <w:t> </w:t>
      </w:r>
      <w:r>
        <w:rPr/>
        <w:t>information</w:t>
      </w:r>
      <w:r>
        <w:rPr>
          <w:spacing w:val="-6"/>
        </w:rPr>
        <w:t> </w:t>
      </w:r>
      <w:r>
        <w:rPr/>
        <w:t>contained</w:t>
      </w:r>
      <w:r>
        <w:rPr>
          <w:spacing w:val="-4"/>
        </w:rPr>
        <w:t> </w:t>
      </w:r>
      <w:r>
        <w:rPr/>
        <w:t>within</w:t>
      </w:r>
      <w:r>
        <w:rPr>
          <w:spacing w:val="-6"/>
        </w:rPr>
        <w:t> </w:t>
      </w:r>
      <w:r>
        <w:rPr/>
        <w:t>the</w:t>
      </w:r>
      <w:r>
        <w:rPr>
          <w:spacing w:val="-6"/>
        </w:rPr>
        <w:t> </w:t>
      </w:r>
      <w:r>
        <w:rPr/>
        <w:t>Report</w:t>
      </w:r>
      <w:r>
        <w:rPr>
          <w:spacing w:val="-4"/>
        </w:rPr>
        <w:t> </w:t>
      </w:r>
      <w:r>
        <w:rPr/>
        <w:t>and</w:t>
      </w:r>
      <w:r>
        <w:rPr>
          <w:spacing w:val="-6"/>
        </w:rPr>
        <w:t> </w:t>
      </w:r>
      <w:r>
        <w:rPr/>
        <w:t>Financial</w:t>
      </w:r>
      <w:r>
        <w:rPr>
          <w:spacing w:val="-5"/>
        </w:rPr>
        <w:t> </w:t>
      </w:r>
      <w:r>
        <w:rPr/>
        <w:t>Statements.</w:t>
      </w:r>
      <w:r>
        <w:rPr>
          <w:spacing w:val="40"/>
        </w:rPr>
        <w:t> </w:t>
      </w:r>
      <w:r>
        <w:rPr/>
        <w:t>Our</w:t>
      </w:r>
      <w:r>
        <w:rPr>
          <w:spacing w:val="-5"/>
        </w:rPr>
        <w:t> </w:t>
      </w:r>
      <w:r>
        <w:rPr/>
        <w:t>opinion</w:t>
      </w:r>
      <w:r>
        <w:rPr>
          <w:spacing w:val="-6"/>
        </w:rPr>
        <w:t> </w:t>
      </w:r>
      <w:r>
        <w:rPr/>
        <w:t>on</w:t>
      </w:r>
      <w:r>
        <w:rPr>
          <w:spacing w:val="-6"/>
        </w:rPr>
        <w:t> </w:t>
      </w:r>
      <w:r>
        <w:rPr/>
        <w:t>the financial statements does not cover the other information and we do not express any form of assurance conclusion thereon.</w:t>
      </w:r>
    </w:p>
    <w:p>
      <w:pPr>
        <w:pStyle w:val="BodyText"/>
        <w:spacing w:before="120"/>
        <w:ind w:left="852" w:right="1086"/>
        <w:jc w:val="both"/>
      </w:pPr>
      <w:r>
        <w:rPr/>
        <w:t>Our responsibility is to read the other information and, in doing so, consider whether the other information</w:t>
      </w:r>
      <w:r>
        <w:rPr>
          <w:spacing w:val="-8"/>
        </w:rPr>
        <w:t> </w:t>
      </w:r>
      <w:r>
        <w:rPr/>
        <w:t>is</w:t>
      </w:r>
      <w:r>
        <w:rPr>
          <w:spacing w:val="-6"/>
        </w:rPr>
        <w:t> </w:t>
      </w:r>
      <w:r>
        <w:rPr/>
        <w:t>materially</w:t>
      </w:r>
      <w:r>
        <w:rPr>
          <w:spacing w:val="-6"/>
        </w:rPr>
        <w:t> </w:t>
      </w:r>
      <w:r>
        <w:rPr/>
        <w:t>inconsistent</w:t>
      </w:r>
      <w:r>
        <w:rPr>
          <w:spacing w:val="-7"/>
        </w:rPr>
        <w:t> </w:t>
      </w:r>
      <w:r>
        <w:rPr/>
        <w:t>with</w:t>
      </w:r>
      <w:r>
        <w:rPr>
          <w:spacing w:val="-8"/>
        </w:rPr>
        <w:t> </w:t>
      </w:r>
      <w:r>
        <w:rPr/>
        <w:t>the</w:t>
      </w:r>
      <w:r>
        <w:rPr>
          <w:spacing w:val="-8"/>
        </w:rPr>
        <w:t> </w:t>
      </w:r>
      <w:r>
        <w:rPr/>
        <w:t>financial</w:t>
      </w:r>
      <w:r>
        <w:rPr>
          <w:spacing w:val="-6"/>
        </w:rPr>
        <w:t> </w:t>
      </w:r>
      <w:r>
        <w:rPr/>
        <w:t>statements</w:t>
      </w:r>
      <w:r>
        <w:rPr>
          <w:spacing w:val="-6"/>
        </w:rPr>
        <w:t> </w:t>
      </w:r>
      <w:r>
        <w:rPr/>
        <w:t>or</w:t>
      </w:r>
      <w:r>
        <w:rPr>
          <w:spacing w:val="-6"/>
        </w:rPr>
        <w:t> </w:t>
      </w:r>
      <w:r>
        <w:rPr/>
        <w:t>our</w:t>
      </w:r>
      <w:r>
        <w:rPr>
          <w:spacing w:val="-6"/>
        </w:rPr>
        <w:t> </w:t>
      </w:r>
      <w:r>
        <w:rPr/>
        <w:t>knowledge</w:t>
      </w:r>
      <w:r>
        <w:rPr>
          <w:spacing w:val="-8"/>
        </w:rPr>
        <w:t> </w:t>
      </w:r>
      <w:r>
        <w:rPr/>
        <w:t>obtained</w:t>
      </w:r>
      <w:r>
        <w:rPr>
          <w:spacing w:val="-8"/>
        </w:rPr>
        <w:t> </w:t>
      </w:r>
      <w:r>
        <w:rPr/>
        <w:t>in</w:t>
      </w:r>
      <w:r>
        <w:rPr>
          <w:spacing w:val="-8"/>
        </w:rPr>
        <w:t> </w:t>
      </w:r>
      <w:r>
        <w:rPr/>
        <w:t>the course of the audit or otherwise appears to be materially misstated.</w:t>
      </w:r>
      <w:r>
        <w:rPr>
          <w:spacing w:val="40"/>
        </w:rPr>
        <w:t> </w:t>
      </w:r>
      <w:r>
        <w:rPr/>
        <w:t>If we identify such material inconsistencies or apparent material misstatements, we are required to determine whether this gives</w:t>
      </w:r>
      <w:r>
        <w:rPr>
          <w:spacing w:val="-3"/>
        </w:rPr>
        <w:t> </w:t>
      </w:r>
      <w:r>
        <w:rPr/>
        <w:t>rise</w:t>
      </w:r>
      <w:r>
        <w:rPr>
          <w:spacing w:val="-4"/>
        </w:rPr>
        <w:t> </w:t>
      </w:r>
      <w:r>
        <w:rPr/>
        <w:t>to</w:t>
      </w:r>
      <w:r>
        <w:rPr>
          <w:spacing w:val="-4"/>
        </w:rPr>
        <w:t> </w:t>
      </w:r>
      <w:r>
        <w:rPr/>
        <w:t>a</w:t>
      </w:r>
      <w:r>
        <w:rPr>
          <w:spacing w:val="-4"/>
        </w:rPr>
        <w:t> </w:t>
      </w:r>
      <w:r>
        <w:rPr/>
        <w:t>material</w:t>
      </w:r>
      <w:r>
        <w:rPr>
          <w:spacing w:val="-3"/>
        </w:rPr>
        <w:t> </w:t>
      </w:r>
      <w:r>
        <w:rPr/>
        <w:t>misstatement</w:t>
      </w:r>
      <w:r>
        <w:rPr>
          <w:spacing w:val="-4"/>
        </w:rPr>
        <w:t> </w:t>
      </w:r>
      <w:r>
        <w:rPr/>
        <w:t>in</w:t>
      </w:r>
      <w:r>
        <w:rPr>
          <w:spacing w:val="-4"/>
        </w:rPr>
        <w:t> </w:t>
      </w:r>
      <w:r>
        <w:rPr/>
        <w:t>the</w:t>
      </w:r>
      <w:r>
        <w:rPr>
          <w:spacing w:val="-4"/>
        </w:rPr>
        <w:t> </w:t>
      </w:r>
      <w:r>
        <w:rPr/>
        <w:t>financial</w:t>
      </w:r>
      <w:r>
        <w:rPr>
          <w:spacing w:val="-5"/>
        </w:rPr>
        <w:t> </w:t>
      </w:r>
      <w:r>
        <w:rPr/>
        <w:t>statements</w:t>
      </w:r>
      <w:r>
        <w:rPr>
          <w:spacing w:val="-3"/>
        </w:rPr>
        <w:t> </w:t>
      </w:r>
      <w:r>
        <w:rPr/>
        <w:t>themselves.</w:t>
      </w:r>
      <w:r>
        <w:rPr>
          <w:spacing w:val="40"/>
        </w:rPr>
        <w:t> </w:t>
      </w:r>
      <w:r>
        <w:rPr/>
        <w:t>If,</w:t>
      </w:r>
      <w:r>
        <w:rPr>
          <w:spacing w:val="-2"/>
        </w:rPr>
        <w:t> </w:t>
      </w:r>
      <w:r>
        <w:rPr/>
        <w:t>based</w:t>
      </w:r>
      <w:r>
        <w:rPr>
          <w:spacing w:val="-4"/>
        </w:rPr>
        <w:t> </w:t>
      </w:r>
      <w:r>
        <w:rPr/>
        <w:t>on</w:t>
      </w:r>
      <w:r>
        <w:rPr>
          <w:spacing w:val="-4"/>
        </w:rPr>
        <w:t> </w:t>
      </w:r>
      <w:r>
        <w:rPr/>
        <w:t>the</w:t>
      </w:r>
      <w:r>
        <w:rPr>
          <w:spacing w:val="-4"/>
        </w:rPr>
        <w:t> </w:t>
      </w:r>
      <w:r>
        <w:rPr/>
        <w:t>work we</w:t>
      </w:r>
      <w:r>
        <w:rPr>
          <w:spacing w:val="-7"/>
        </w:rPr>
        <w:t> </w:t>
      </w:r>
      <w:r>
        <w:rPr/>
        <w:t>have</w:t>
      </w:r>
      <w:r>
        <w:rPr>
          <w:spacing w:val="-4"/>
        </w:rPr>
        <w:t> </w:t>
      </w:r>
      <w:r>
        <w:rPr/>
        <w:t>performed,</w:t>
      </w:r>
      <w:r>
        <w:rPr>
          <w:spacing w:val="-6"/>
        </w:rPr>
        <w:t> </w:t>
      </w:r>
      <w:r>
        <w:rPr/>
        <w:t>we</w:t>
      </w:r>
      <w:r>
        <w:rPr>
          <w:spacing w:val="-4"/>
        </w:rPr>
        <w:t> </w:t>
      </w:r>
      <w:r>
        <w:rPr/>
        <w:t>conclude</w:t>
      </w:r>
      <w:r>
        <w:rPr>
          <w:spacing w:val="-4"/>
        </w:rPr>
        <w:t> </w:t>
      </w:r>
      <w:r>
        <w:rPr/>
        <w:t>that</w:t>
      </w:r>
      <w:r>
        <w:rPr>
          <w:spacing w:val="-4"/>
        </w:rPr>
        <w:t> </w:t>
      </w:r>
      <w:r>
        <w:rPr/>
        <w:t>there</w:t>
      </w:r>
      <w:r>
        <w:rPr>
          <w:spacing w:val="-7"/>
        </w:rPr>
        <w:t> </w:t>
      </w:r>
      <w:r>
        <w:rPr/>
        <w:t>is</w:t>
      </w:r>
      <w:r>
        <w:rPr>
          <w:spacing w:val="-3"/>
        </w:rPr>
        <w:t> </w:t>
      </w:r>
      <w:r>
        <w:rPr/>
        <w:t>a</w:t>
      </w:r>
      <w:r>
        <w:rPr>
          <w:spacing w:val="-7"/>
        </w:rPr>
        <w:t> </w:t>
      </w:r>
      <w:r>
        <w:rPr/>
        <w:t>material</w:t>
      </w:r>
      <w:r>
        <w:rPr>
          <w:spacing w:val="-7"/>
        </w:rPr>
        <w:t> </w:t>
      </w:r>
      <w:r>
        <w:rPr/>
        <w:t>misstatement</w:t>
      </w:r>
      <w:r>
        <w:rPr>
          <w:spacing w:val="-6"/>
        </w:rPr>
        <w:t> </w:t>
      </w:r>
      <w:r>
        <w:rPr/>
        <w:t>of</w:t>
      </w:r>
      <w:r>
        <w:rPr>
          <w:spacing w:val="-4"/>
        </w:rPr>
        <w:t> </w:t>
      </w:r>
      <w:r>
        <w:rPr/>
        <w:t>this</w:t>
      </w:r>
      <w:r>
        <w:rPr>
          <w:spacing w:val="-5"/>
        </w:rPr>
        <w:t> </w:t>
      </w:r>
      <w:r>
        <w:rPr/>
        <w:t>other</w:t>
      </w:r>
      <w:r>
        <w:rPr>
          <w:spacing w:val="-5"/>
        </w:rPr>
        <w:t> </w:t>
      </w:r>
      <w:r>
        <w:rPr/>
        <w:t>information,</w:t>
      </w:r>
      <w:r>
        <w:rPr>
          <w:spacing w:val="-4"/>
        </w:rPr>
        <w:t> </w:t>
      </w:r>
      <w:r>
        <w:rPr/>
        <w:t>we are required to report that fact.</w:t>
      </w:r>
    </w:p>
    <w:p>
      <w:pPr>
        <w:pStyle w:val="BodyText"/>
        <w:spacing w:before="121"/>
        <w:ind w:left="852"/>
        <w:jc w:val="both"/>
      </w:pPr>
      <w:r>
        <w:rPr/>
        <w:t>We</w:t>
      </w:r>
      <w:r>
        <w:rPr>
          <w:spacing w:val="-4"/>
        </w:rPr>
        <w:t> </w:t>
      </w:r>
      <w:r>
        <w:rPr/>
        <w:t>have</w:t>
      </w:r>
      <w:r>
        <w:rPr>
          <w:spacing w:val="-5"/>
        </w:rPr>
        <w:t> </w:t>
      </w:r>
      <w:r>
        <w:rPr/>
        <w:t>nothing</w:t>
      </w:r>
      <w:r>
        <w:rPr>
          <w:spacing w:val="-3"/>
        </w:rPr>
        <w:t> </w:t>
      </w:r>
      <w:r>
        <w:rPr/>
        <w:t>to</w:t>
      </w:r>
      <w:r>
        <w:rPr>
          <w:spacing w:val="-5"/>
        </w:rPr>
        <w:t> </w:t>
      </w:r>
      <w:r>
        <w:rPr/>
        <w:t>report</w:t>
      </w:r>
      <w:r>
        <w:rPr>
          <w:spacing w:val="-4"/>
        </w:rPr>
        <w:t> </w:t>
      </w:r>
      <w:r>
        <w:rPr/>
        <w:t>in</w:t>
      </w:r>
      <w:r>
        <w:rPr>
          <w:spacing w:val="-5"/>
        </w:rPr>
        <w:t> </w:t>
      </w:r>
      <w:r>
        <w:rPr/>
        <w:t>this</w:t>
      </w:r>
      <w:r>
        <w:rPr>
          <w:spacing w:val="-4"/>
        </w:rPr>
        <w:t> </w:t>
      </w:r>
      <w:r>
        <w:rPr>
          <w:spacing w:val="-2"/>
        </w:rPr>
        <w:t>regard.</w:t>
      </w:r>
    </w:p>
    <w:p>
      <w:pPr>
        <w:pStyle w:val="BodyText"/>
        <w:spacing w:after="0"/>
        <w:jc w:val="both"/>
        <w:sectPr>
          <w:headerReference w:type="default" r:id="rId24"/>
          <w:footerReference w:type="default" r:id="rId25"/>
          <w:pgSz w:w="11910" w:h="16850"/>
          <w:pgMar w:header="1004" w:footer="702" w:top="1260" w:bottom="900" w:left="566" w:right="708"/>
        </w:sectPr>
      </w:pPr>
    </w:p>
    <w:p>
      <w:pPr>
        <w:pStyle w:val="BodyText"/>
        <w:spacing w:before="105"/>
      </w:pPr>
    </w:p>
    <w:p>
      <w:pPr>
        <w:pStyle w:val="Heading6"/>
        <w:jc w:val="left"/>
      </w:pPr>
      <w:r>
        <w:rPr/>
        <w:t>Opinion</w:t>
      </w:r>
      <w:r>
        <w:rPr>
          <w:spacing w:val="-7"/>
        </w:rPr>
        <w:t> </w:t>
      </w:r>
      <w:r>
        <w:rPr/>
        <w:t>on</w:t>
      </w:r>
      <w:r>
        <w:rPr>
          <w:spacing w:val="-7"/>
        </w:rPr>
        <w:t> </w:t>
      </w:r>
      <w:r>
        <w:rPr/>
        <w:t>other</w:t>
      </w:r>
      <w:r>
        <w:rPr>
          <w:spacing w:val="-8"/>
        </w:rPr>
        <w:t> </w:t>
      </w:r>
      <w:r>
        <w:rPr/>
        <w:t>matters</w:t>
      </w:r>
      <w:r>
        <w:rPr>
          <w:spacing w:val="-4"/>
        </w:rPr>
        <w:t> </w:t>
      </w:r>
      <w:r>
        <w:rPr/>
        <w:t>prescribed</w:t>
      </w:r>
      <w:r>
        <w:rPr>
          <w:spacing w:val="-6"/>
        </w:rPr>
        <w:t> </w:t>
      </w:r>
      <w:r>
        <w:rPr/>
        <w:t>by</w:t>
      </w:r>
      <w:r>
        <w:rPr>
          <w:spacing w:val="-8"/>
        </w:rPr>
        <w:t> </w:t>
      </w:r>
      <w:r>
        <w:rPr/>
        <w:t>the</w:t>
      </w:r>
      <w:r>
        <w:rPr>
          <w:spacing w:val="-7"/>
        </w:rPr>
        <w:t> </w:t>
      </w:r>
      <w:r>
        <w:rPr/>
        <w:t>Office</w:t>
      </w:r>
      <w:r>
        <w:rPr>
          <w:spacing w:val="-8"/>
        </w:rPr>
        <w:t> </w:t>
      </w:r>
      <w:r>
        <w:rPr/>
        <w:t>for</w:t>
      </w:r>
      <w:r>
        <w:rPr>
          <w:spacing w:val="-8"/>
        </w:rPr>
        <w:t> </w:t>
      </w:r>
      <w:r>
        <w:rPr/>
        <w:t>Students’</w:t>
      </w:r>
      <w:r>
        <w:rPr>
          <w:spacing w:val="-6"/>
        </w:rPr>
        <w:t> </w:t>
      </w:r>
      <w:r>
        <w:rPr/>
        <w:t>Accounts</w:t>
      </w:r>
      <w:r>
        <w:rPr>
          <w:spacing w:val="-8"/>
        </w:rPr>
        <w:t> </w:t>
      </w:r>
      <w:r>
        <w:rPr>
          <w:spacing w:val="-2"/>
        </w:rPr>
        <w:t>Direction</w:t>
      </w:r>
    </w:p>
    <w:p>
      <w:pPr>
        <w:pStyle w:val="BodyText"/>
        <w:spacing w:before="120"/>
        <w:ind w:left="852"/>
      </w:pPr>
      <w:r>
        <w:rPr/>
        <w:t>In</w:t>
      </w:r>
      <w:r>
        <w:rPr>
          <w:spacing w:val="-7"/>
        </w:rPr>
        <w:t> </w:t>
      </w:r>
      <w:r>
        <w:rPr/>
        <w:t>our</w:t>
      </w:r>
      <w:r>
        <w:rPr>
          <w:spacing w:val="-3"/>
        </w:rPr>
        <w:t> </w:t>
      </w:r>
      <w:r>
        <w:rPr/>
        <w:t>opinion,</w:t>
      </w:r>
      <w:r>
        <w:rPr>
          <w:spacing w:val="-4"/>
        </w:rPr>
        <w:t> </w:t>
      </w:r>
      <w:r>
        <w:rPr/>
        <w:t>in</w:t>
      </w:r>
      <w:r>
        <w:rPr>
          <w:spacing w:val="-5"/>
        </w:rPr>
        <w:t> </w:t>
      </w:r>
      <w:r>
        <w:rPr/>
        <w:t>all</w:t>
      </w:r>
      <w:r>
        <w:rPr>
          <w:spacing w:val="-7"/>
        </w:rPr>
        <w:t> </w:t>
      </w:r>
      <w:r>
        <w:rPr/>
        <w:t>material</w:t>
      </w:r>
      <w:r>
        <w:rPr>
          <w:spacing w:val="-7"/>
        </w:rPr>
        <w:t> </w:t>
      </w:r>
      <w:r>
        <w:rPr>
          <w:spacing w:val="-2"/>
        </w:rPr>
        <w:t>respects:</w:t>
      </w:r>
    </w:p>
    <w:p>
      <w:pPr>
        <w:pStyle w:val="ListParagraph"/>
        <w:numPr>
          <w:ilvl w:val="0"/>
          <w:numId w:val="8"/>
        </w:numPr>
        <w:tabs>
          <w:tab w:pos="1212" w:val="left" w:leader="none"/>
        </w:tabs>
        <w:spacing w:line="237" w:lineRule="auto" w:before="124" w:after="0"/>
        <w:ind w:left="1212" w:right="1090" w:hanging="360"/>
        <w:jc w:val="both"/>
        <w:rPr>
          <w:sz w:val="20"/>
        </w:rPr>
      </w:pPr>
      <w:r>
        <w:rPr>
          <w:sz w:val="20"/>
        </w:rPr>
        <w:t>funds from whatever source administered by the College for specific purposes have been properly applied to those purposes and managed in accordance with relevant legislation;</w:t>
      </w:r>
    </w:p>
    <w:p>
      <w:pPr>
        <w:pStyle w:val="ListParagraph"/>
        <w:numPr>
          <w:ilvl w:val="0"/>
          <w:numId w:val="8"/>
        </w:numPr>
        <w:tabs>
          <w:tab w:pos="1212" w:val="left" w:leader="none"/>
        </w:tabs>
        <w:spacing w:line="237" w:lineRule="auto" w:before="122" w:after="0"/>
        <w:ind w:left="1212" w:right="1088" w:hanging="360"/>
        <w:jc w:val="both"/>
        <w:rPr>
          <w:sz w:val="20"/>
        </w:rPr>
      </w:pPr>
      <w:r>
        <w:rPr>
          <w:sz w:val="20"/>
        </w:rPr>
        <w:t>funds provided by the Office for Students, UK Research and Innovation (including Research England), the Education and Skills Funding Agency and Department for Education have been applied in accordance with the relevant terms and conditions; and</w:t>
      </w:r>
    </w:p>
    <w:p>
      <w:pPr>
        <w:pStyle w:val="ListParagraph"/>
        <w:numPr>
          <w:ilvl w:val="0"/>
          <w:numId w:val="8"/>
        </w:numPr>
        <w:tabs>
          <w:tab w:pos="1212" w:val="left" w:leader="none"/>
        </w:tabs>
        <w:spacing w:line="237" w:lineRule="auto" w:before="125" w:after="0"/>
        <w:ind w:left="1212" w:right="1085" w:hanging="360"/>
        <w:jc w:val="both"/>
        <w:rPr>
          <w:sz w:val="20"/>
        </w:rPr>
      </w:pPr>
      <w:r>
        <w:rPr>
          <w:sz w:val="20"/>
        </w:rPr>
        <w:t>the requirements of the Office for Students’ accounts direction for the relevant year’s financial statements have been met.</w:t>
      </w:r>
    </w:p>
    <w:p>
      <w:pPr>
        <w:pStyle w:val="Heading6"/>
        <w:spacing w:before="120"/>
        <w:jc w:val="left"/>
      </w:pPr>
      <w:r>
        <w:rPr/>
        <w:t>Matters</w:t>
      </w:r>
      <w:r>
        <w:rPr>
          <w:spacing w:val="-5"/>
        </w:rPr>
        <w:t> </w:t>
      </w:r>
      <w:r>
        <w:rPr/>
        <w:t>on</w:t>
      </w:r>
      <w:r>
        <w:rPr>
          <w:spacing w:val="-5"/>
        </w:rPr>
        <w:t> </w:t>
      </w:r>
      <w:r>
        <w:rPr/>
        <w:t>which</w:t>
      </w:r>
      <w:r>
        <w:rPr>
          <w:spacing w:val="-6"/>
        </w:rPr>
        <w:t> </w:t>
      </w:r>
      <w:r>
        <w:rPr/>
        <w:t>we</w:t>
      </w:r>
      <w:r>
        <w:rPr>
          <w:spacing w:val="-4"/>
        </w:rPr>
        <w:t> </w:t>
      </w:r>
      <w:r>
        <w:rPr/>
        <w:t>are</w:t>
      </w:r>
      <w:r>
        <w:rPr>
          <w:spacing w:val="-5"/>
        </w:rPr>
        <w:t> </w:t>
      </w:r>
      <w:r>
        <w:rPr/>
        <w:t>required</w:t>
      </w:r>
      <w:r>
        <w:rPr>
          <w:spacing w:val="-5"/>
        </w:rPr>
        <w:t> </w:t>
      </w:r>
      <w:r>
        <w:rPr/>
        <w:t>to</w:t>
      </w:r>
      <w:r>
        <w:rPr>
          <w:spacing w:val="-6"/>
        </w:rPr>
        <w:t> </w:t>
      </w:r>
      <w:r>
        <w:rPr/>
        <w:t>report</w:t>
      </w:r>
      <w:r>
        <w:rPr>
          <w:spacing w:val="-5"/>
        </w:rPr>
        <w:t> </w:t>
      </w:r>
      <w:r>
        <w:rPr/>
        <w:t>by</w:t>
      </w:r>
      <w:r>
        <w:rPr>
          <w:spacing w:val="-4"/>
        </w:rPr>
        <w:t> </w:t>
      </w:r>
      <w:r>
        <w:rPr>
          <w:spacing w:val="-2"/>
        </w:rPr>
        <w:t>exception</w:t>
      </w:r>
    </w:p>
    <w:p>
      <w:pPr>
        <w:pStyle w:val="BodyText"/>
        <w:spacing w:before="121"/>
        <w:ind w:left="852" w:right="1085"/>
        <w:jc w:val="both"/>
      </w:pPr>
      <w:r>
        <w:rPr/>
        <w:t>We have nothing to report in respect of the following matters where the Post-16 Audit Code of Practice issued by the Education and Skills Funding Agency requires us to report to you if, in our </w:t>
      </w:r>
      <w:r>
        <w:rPr>
          <w:spacing w:val="-2"/>
        </w:rPr>
        <w:t>opinion:</w:t>
      </w:r>
    </w:p>
    <w:p>
      <w:pPr>
        <w:pStyle w:val="ListParagraph"/>
        <w:numPr>
          <w:ilvl w:val="1"/>
          <w:numId w:val="8"/>
        </w:numPr>
        <w:tabs>
          <w:tab w:pos="1572" w:val="left" w:leader="none"/>
        </w:tabs>
        <w:spacing w:line="240" w:lineRule="auto" w:before="122" w:after="0"/>
        <w:ind w:left="1572" w:right="0" w:hanging="360"/>
        <w:jc w:val="left"/>
        <w:rPr>
          <w:sz w:val="20"/>
        </w:rPr>
      </w:pPr>
      <w:r>
        <w:rPr>
          <w:sz w:val="20"/>
        </w:rPr>
        <w:t>adequate</w:t>
      </w:r>
      <w:r>
        <w:rPr>
          <w:spacing w:val="-7"/>
          <w:sz w:val="20"/>
        </w:rPr>
        <w:t> </w:t>
      </w:r>
      <w:r>
        <w:rPr>
          <w:sz w:val="20"/>
        </w:rPr>
        <w:t>accounting</w:t>
      </w:r>
      <w:r>
        <w:rPr>
          <w:spacing w:val="-7"/>
          <w:sz w:val="20"/>
        </w:rPr>
        <w:t> </w:t>
      </w:r>
      <w:r>
        <w:rPr>
          <w:sz w:val="20"/>
        </w:rPr>
        <w:t>records</w:t>
      </w:r>
      <w:r>
        <w:rPr>
          <w:spacing w:val="-7"/>
          <w:sz w:val="20"/>
        </w:rPr>
        <w:t> </w:t>
      </w:r>
      <w:r>
        <w:rPr>
          <w:sz w:val="20"/>
        </w:rPr>
        <w:t>have</w:t>
      </w:r>
      <w:r>
        <w:rPr>
          <w:spacing w:val="-7"/>
          <w:sz w:val="20"/>
        </w:rPr>
        <w:t> </w:t>
      </w:r>
      <w:r>
        <w:rPr>
          <w:sz w:val="20"/>
        </w:rPr>
        <w:t>not</w:t>
      </w:r>
      <w:r>
        <w:rPr>
          <w:spacing w:val="-7"/>
          <w:sz w:val="20"/>
        </w:rPr>
        <w:t> </w:t>
      </w:r>
      <w:r>
        <w:rPr>
          <w:sz w:val="20"/>
        </w:rPr>
        <w:t>been</w:t>
      </w:r>
      <w:r>
        <w:rPr>
          <w:spacing w:val="-5"/>
          <w:sz w:val="20"/>
        </w:rPr>
        <w:t> </w:t>
      </w:r>
      <w:r>
        <w:rPr>
          <w:spacing w:val="-2"/>
          <w:sz w:val="20"/>
        </w:rPr>
        <w:t>kept;</w:t>
      </w:r>
    </w:p>
    <w:p>
      <w:pPr>
        <w:pStyle w:val="ListParagraph"/>
        <w:numPr>
          <w:ilvl w:val="1"/>
          <w:numId w:val="8"/>
        </w:numPr>
        <w:tabs>
          <w:tab w:pos="1571" w:val="left" w:leader="none"/>
        </w:tabs>
        <w:spacing w:line="240" w:lineRule="auto" w:before="117" w:after="0"/>
        <w:ind w:left="1571" w:right="0" w:hanging="360"/>
        <w:jc w:val="left"/>
        <w:rPr>
          <w:sz w:val="20"/>
        </w:rPr>
      </w:pPr>
      <w:r>
        <w:rPr>
          <w:sz w:val="20"/>
        </w:rPr>
        <w:t>the</w:t>
      </w:r>
      <w:r>
        <w:rPr>
          <w:spacing w:val="-8"/>
          <w:sz w:val="20"/>
        </w:rPr>
        <w:t> </w:t>
      </w:r>
      <w:r>
        <w:rPr>
          <w:sz w:val="20"/>
        </w:rPr>
        <w:t>financial</w:t>
      </w:r>
      <w:r>
        <w:rPr>
          <w:spacing w:val="-8"/>
          <w:sz w:val="20"/>
        </w:rPr>
        <w:t> </w:t>
      </w:r>
      <w:r>
        <w:rPr>
          <w:sz w:val="20"/>
        </w:rPr>
        <w:t>statements</w:t>
      </w:r>
      <w:r>
        <w:rPr>
          <w:spacing w:val="-7"/>
          <w:sz w:val="20"/>
        </w:rPr>
        <w:t> </w:t>
      </w:r>
      <w:r>
        <w:rPr>
          <w:sz w:val="20"/>
        </w:rPr>
        <w:t>are</w:t>
      </w:r>
      <w:r>
        <w:rPr>
          <w:spacing w:val="-5"/>
          <w:sz w:val="20"/>
        </w:rPr>
        <w:t> </w:t>
      </w:r>
      <w:r>
        <w:rPr>
          <w:sz w:val="20"/>
        </w:rPr>
        <w:t>not</w:t>
      </w:r>
      <w:r>
        <w:rPr>
          <w:spacing w:val="-6"/>
          <w:sz w:val="20"/>
        </w:rPr>
        <w:t> </w:t>
      </w:r>
      <w:r>
        <w:rPr>
          <w:sz w:val="20"/>
        </w:rPr>
        <w:t>in</w:t>
      </w:r>
      <w:r>
        <w:rPr>
          <w:spacing w:val="-5"/>
          <w:sz w:val="20"/>
        </w:rPr>
        <w:t> </w:t>
      </w:r>
      <w:r>
        <w:rPr>
          <w:sz w:val="20"/>
        </w:rPr>
        <w:t>agreement</w:t>
      </w:r>
      <w:r>
        <w:rPr>
          <w:spacing w:val="-8"/>
          <w:sz w:val="20"/>
        </w:rPr>
        <w:t> </w:t>
      </w:r>
      <w:r>
        <w:rPr>
          <w:sz w:val="20"/>
        </w:rPr>
        <w:t>with</w:t>
      </w:r>
      <w:r>
        <w:rPr>
          <w:spacing w:val="-7"/>
          <w:sz w:val="20"/>
        </w:rPr>
        <w:t> </w:t>
      </w:r>
      <w:r>
        <w:rPr>
          <w:sz w:val="20"/>
        </w:rPr>
        <w:t>the</w:t>
      </w:r>
      <w:r>
        <w:rPr>
          <w:spacing w:val="-5"/>
          <w:sz w:val="20"/>
        </w:rPr>
        <w:t> </w:t>
      </w:r>
      <w:r>
        <w:rPr>
          <w:sz w:val="20"/>
        </w:rPr>
        <w:t>accounting</w:t>
      </w:r>
      <w:r>
        <w:rPr>
          <w:spacing w:val="-8"/>
          <w:sz w:val="20"/>
        </w:rPr>
        <w:t> </w:t>
      </w:r>
      <w:r>
        <w:rPr>
          <w:sz w:val="20"/>
        </w:rPr>
        <w:t>records;</w:t>
      </w:r>
      <w:r>
        <w:rPr>
          <w:spacing w:val="-5"/>
          <w:sz w:val="20"/>
        </w:rPr>
        <w:t> or</w:t>
      </w:r>
    </w:p>
    <w:p>
      <w:pPr>
        <w:pStyle w:val="ListParagraph"/>
        <w:numPr>
          <w:ilvl w:val="1"/>
          <w:numId w:val="8"/>
        </w:numPr>
        <w:tabs>
          <w:tab w:pos="1571" w:val="left" w:leader="none"/>
        </w:tabs>
        <w:spacing w:line="240" w:lineRule="auto" w:before="118" w:after="0"/>
        <w:ind w:left="1571" w:right="0" w:hanging="360"/>
        <w:jc w:val="left"/>
        <w:rPr>
          <w:sz w:val="20"/>
        </w:rPr>
      </w:pPr>
      <w:r>
        <w:rPr>
          <w:sz w:val="20"/>
        </w:rPr>
        <w:t>we</w:t>
      </w:r>
      <w:r>
        <w:rPr>
          <w:spacing w:val="-7"/>
          <w:sz w:val="20"/>
        </w:rPr>
        <w:t> </w:t>
      </w:r>
      <w:r>
        <w:rPr>
          <w:sz w:val="20"/>
        </w:rPr>
        <w:t>have</w:t>
      </w:r>
      <w:r>
        <w:rPr>
          <w:spacing w:val="-4"/>
          <w:sz w:val="20"/>
        </w:rPr>
        <w:t> </w:t>
      </w:r>
      <w:r>
        <w:rPr>
          <w:sz w:val="20"/>
        </w:rPr>
        <w:t>not</w:t>
      </w:r>
      <w:r>
        <w:rPr>
          <w:spacing w:val="-4"/>
          <w:sz w:val="20"/>
        </w:rPr>
        <w:t> </w:t>
      </w:r>
      <w:r>
        <w:rPr>
          <w:sz w:val="20"/>
        </w:rPr>
        <w:t>received</w:t>
      </w:r>
      <w:r>
        <w:rPr>
          <w:spacing w:val="-6"/>
          <w:sz w:val="20"/>
        </w:rPr>
        <w:t> </w:t>
      </w:r>
      <w:r>
        <w:rPr>
          <w:sz w:val="20"/>
        </w:rPr>
        <w:t>all</w:t>
      </w:r>
      <w:r>
        <w:rPr>
          <w:spacing w:val="-7"/>
          <w:sz w:val="20"/>
        </w:rPr>
        <w:t> </w:t>
      </w:r>
      <w:r>
        <w:rPr>
          <w:sz w:val="20"/>
        </w:rPr>
        <w:t>the</w:t>
      </w:r>
      <w:r>
        <w:rPr>
          <w:spacing w:val="-6"/>
          <w:sz w:val="20"/>
        </w:rPr>
        <w:t> </w:t>
      </w:r>
      <w:r>
        <w:rPr>
          <w:sz w:val="20"/>
        </w:rPr>
        <w:t>information</w:t>
      </w:r>
      <w:r>
        <w:rPr>
          <w:spacing w:val="-7"/>
          <w:sz w:val="20"/>
        </w:rPr>
        <w:t> </w:t>
      </w:r>
      <w:r>
        <w:rPr>
          <w:sz w:val="20"/>
        </w:rPr>
        <w:t>and</w:t>
      </w:r>
      <w:r>
        <w:rPr>
          <w:spacing w:val="-6"/>
          <w:sz w:val="20"/>
        </w:rPr>
        <w:t> </w:t>
      </w:r>
      <w:r>
        <w:rPr>
          <w:sz w:val="20"/>
        </w:rPr>
        <w:t>explanations</w:t>
      </w:r>
      <w:r>
        <w:rPr>
          <w:spacing w:val="-5"/>
          <w:sz w:val="20"/>
        </w:rPr>
        <w:t> </w:t>
      </w:r>
      <w:r>
        <w:rPr>
          <w:sz w:val="20"/>
        </w:rPr>
        <w:t>required</w:t>
      </w:r>
      <w:r>
        <w:rPr>
          <w:spacing w:val="-4"/>
          <w:sz w:val="20"/>
        </w:rPr>
        <w:t> </w:t>
      </w:r>
      <w:r>
        <w:rPr>
          <w:sz w:val="20"/>
        </w:rPr>
        <w:t>for</w:t>
      </w:r>
      <w:r>
        <w:rPr>
          <w:spacing w:val="-5"/>
          <w:sz w:val="20"/>
        </w:rPr>
        <w:t> </w:t>
      </w:r>
      <w:r>
        <w:rPr>
          <w:sz w:val="20"/>
        </w:rPr>
        <w:t>our</w:t>
      </w:r>
      <w:r>
        <w:rPr>
          <w:spacing w:val="-6"/>
          <w:sz w:val="20"/>
        </w:rPr>
        <w:t> </w:t>
      </w:r>
      <w:r>
        <w:rPr>
          <w:spacing w:val="-2"/>
          <w:sz w:val="20"/>
        </w:rPr>
        <w:t>audit.</w:t>
      </w:r>
    </w:p>
    <w:p>
      <w:pPr>
        <w:pStyle w:val="BodyText"/>
        <w:spacing w:before="118"/>
        <w:ind w:left="852" w:right="537"/>
      </w:pPr>
      <w:r>
        <w:rPr/>
        <w:t>We</w:t>
      </w:r>
      <w:r>
        <w:rPr>
          <w:spacing w:val="-14"/>
        </w:rPr>
        <w:t> </w:t>
      </w:r>
      <w:r>
        <w:rPr/>
        <w:t>have</w:t>
      </w:r>
      <w:r>
        <w:rPr>
          <w:spacing w:val="-14"/>
        </w:rPr>
        <w:t> </w:t>
      </w:r>
      <w:r>
        <w:rPr/>
        <w:t>nothing</w:t>
      </w:r>
      <w:r>
        <w:rPr>
          <w:spacing w:val="-14"/>
        </w:rPr>
        <w:t> </w:t>
      </w:r>
      <w:r>
        <w:rPr/>
        <w:t>to</w:t>
      </w:r>
      <w:r>
        <w:rPr>
          <w:spacing w:val="-14"/>
        </w:rPr>
        <w:t> </w:t>
      </w:r>
      <w:r>
        <w:rPr/>
        <w:t>report</w:t>
      </w:r>
      <w:r>
        <w:rPr>
          <w:spacing w:val="-14"/>
        </w:rPr>
        <w:t> </w:t>
      </w:r>
      <w:r>
        <w:rPr/>
        <w:t>in</w:t>
      </w:r>
      <w:r>
        <w:rPr>
          <w:spacing w:val="-14"/>
        </w:rPr>
        <w:t> </w:t>
      </w:r>
      <w:r>
        <w:rPr/>
        <w:t>respect</w:t>
      </w:r>
      <w:r>
        <w:rPr>
          <w:spacing w:val="-14"/>
        </w:rPr>
        <w:t> </w:t>
      </w:r>
      <w:r>
        <w:rPr/>
        <w:t>of</w:t>
      </w:r>
      <w:r>
        <w:rPr>
          <w:spacing w:val="-14"/>
        </w:rPr>
        <w:t> </w:t>
      </w:r>
      <w:r>
        <w:rPr/>
        <w:t>the</w:t>
      </w:r>
      <w:r>
        <w:rPr>
          <w:spacing w:val="-14"/>
        </w:rPr>
        <w:t> </w:t>
      </w:r>
      <w:r>
        <w:rPr/>
        <w:t>following</w:t>
      </w:r>
      <w:r>
        <w:rPr>
          <w:spacing w:val="-13"/>
        </w:rPr>
        <w:t> </w:t>
      </w:r>
      <w:r>
        <w:rPr/>
        <w:t>matters</w:t>
      </w:r>
      <w:r>
        <w:rPr>
          <w:spacing w:val="-14"/>
        </w:rPr>
        <w:t> </w:t>
      </w:r>
      <w:r>
        <w:rPr/>
        <w:t>where</w:t>
      </w:r>
      <w:r>
        <w:rPr>
          <w:spacing w:val="-14"/>
        </w:rPr>
        <w:t> </w:t>
      </w:r>
      <w:r>
        <w:rPr/>
        <w:t>the</w:t>
      </w:r>
      <w:r>
        <w:rPr>
          <w:spacing w:val="-14"/>
        </w:rPr>
        <w:t> </w:t>
      </w:r>
      <w:r>
        <w:rPr/>
        <w:t>Office</w:t>
      </w:r>
      <w:r>
        <w:rPr>
          <w:spacing w:val="-14"/>
        </w:rPr>
        <w:t> </w:t>
      </w:r>
      <w:r>
        <w:rPr/>
        <w:t>for</w:t>
      </w:r>
      <w:r>
        <w:rPr>
          <w:spacing w:val="-14"/>
        </w:rPr>
        <w:t> </w:t>
      </w:r>
      <w:r>
        <w:rPr/>
        <w:t>Students’</w:t>
      </w:r>
      <w:r>
        <w:rPr>
          <w:spacing w:val="-14"/>
        </w:rPr>
        <w:t> </w:t>
      </w:r>
      <w:r>
        <w:rPr/>
        <w:t>accounts direction requires us to report to you if:</w:t>
      </w:r>
    </w:p>
    <w:p>
      <w:pPr>
        <w:pStyle w:val="ListParagraph"/>
        <w:numPr>
          <w:ilvl w:val="0"/>
          <w:numId w:val="8"/>
        </w:numPr>
        <w:tabs>
          <w:tab w:pos="1211" w:val="left" w:leader="none"/>
        </w:tabs>
        <w:spacing w:line="237" w:lineRule="auto" w:before="124" w:after="0"/>
        <w:ind w:left="1211" w:right="1091" w:hanging="360"/>
        <w:jc w:val="both"/>
        <w:rPr>
          <w:sz w:val="20"/>
        </w:rPr>
      </w:pPr>
      <w:r>
        <w:rPr>
          <w:sz w:val="20"/>
        </w:rPr>
        <w:t>the College’s grant and fee income, as disclosed in the note 4 to the financial statements, has been materially misstated.</w:t>
      </w:r>
    </w:p>
    <w:p>
      <w:pPr>
        <w:pStyle w:val="ListParagraph"/>
        <w:numPr>
          <w:ilvl w:val="0"/>
          <w:numId w:val="8"/>
        </w:numPr>
        <w:tabs>
          <w:tab w:pos="1211" w:val="left" w:leader="none"/>
        </w:tabs>
        <w:spacing w:line="237" w:lineRule="auto" w:before="123" w:after="0"/>
        <w:ind w:left="1211" w:right="1086" w:hanging="360"/>
        <w:jc w:val="both"/>
        <w:rPr>
          <w:sz w:val="20"/>
        </w:rPr>
      </w:pPr>
      <w:r>
        <w:rPr>
          <w:sz w:val="20"/>
        </w:rPr>
        <w:t>the</w:t>
      </w:r>
      <w:r>
        <w:rPr>
          <w:spacing w:val="-2"/>
          <w:sz w:val="20"/>
        </w:rPr>
        <w:t> </w:t>
      </w:r>
      <w:r>
        <w:rPr>
          <w:sz w:val="20"/>
        </w:rPr>
        <w:t>College’s expenditure on</w:t>
      </w:r>
      <w:r>
        <w:rPr>
          <w:spacing w:val="-2"/>
          <w:sz w:val="20"/>
        </w:rPr>
        <w:t> </w:t>
      </w:r>
      <w:r>
        <w:rPr>
          <w:sz w:val="20"/>
        </w:rPr>
        <w:t>access and</w:t>
      </w:r>
      <w:r>
        <w:rPr>
          <w:spacing w:val="-2"/>
          <w:sz w:val="20"/>
        </w:rPr>
        <w:t> </w:t>
      </w:r>
      <w:r>
        <w:rPr>
          <w:sz w:val="20"/>
        </w:rPr>
        <w:t>participation activities for the financial</w:t>
      </w:r>
      <w:r>
        <w:rPr>
          <w:spacing w:val="-3"/>
          <w:sz w:val="20"/>
        </w:rPr>
        <w:t> </w:t>
      </w:r>
      <w:r>
        <w:rPr>
          <w:sz w:val="20"/>
        </w:rPr>
        <w:t>year</w:t>
      </w:r>
      <w:r>
        <w:rPr>
          <w:spacing w:val="-1"/>
          <w:sz w:val="20"/>
        </w:rPr>
        <w:t> </w:t>
      </w:r>
      <w:r>
        <w:rPr>
          <w:sz w:val="20"/>
        </w:rPr>
        <w:t>has been materially misstated.</w:t>
      </w:r>
    </w:p>
    <w:p>
      <w:pPr>
        <w:pStyle w:val="Heading6"/>
        <w:spacing w:before="119"/>
      </w:pPr>
      <w:r>
        <w:rPr/>
        <w:t>Responsibilities</w:t>
      </w:r>
      <w:r>
        <w:rPr>
          <w:spacing w:val="-9"/>
        </w:rPr>
        <w:t> </w:t>
      </w:r>
      <w:r>
        <w:rPr/>
        <w:t>of</w:t>
      </w:r>
      <w:r>
        <w:rPr>
          <w:spacing w:val="-9"/>
        </w:rPr>
        <w:t> </w:t>
      </w:r>
      <w:r>
        <w:rPr/>
        <w:t>the</w:t>
      </w:r>
      <w:r>
        <w:rPr>
          <w:spacing w:val="-8"/>
        </w:rPr>
        <w:t> </w:t>
      </w:r>
      <w:r>
        <w:rPr/>
        <w:t>Corporation</w:t>
      </w:r>
      <w:r>
        <w:rPr>
          <w:spacing w:val="-9"/>
        </w:rPr>
        <w:t> </w:t>
      </w:r>
      <w:r>
        <w:rPr/>
        <w:t>of</w:t>
      </w:r>
      <w:r>
        <w:rPr>
          <w:spacing w:val="-8"/>
        </w:rPr>
        <w:t> </w:t>
      </w:r>
      <w:r>
        <w:rPr/>
        <w:t>Hull</w:t>
      </w:r>
      <w:r>
        <w:rPr>
          <w:spacing w:val="-9"/>
        </w:rPr>
        <w:t> </w:t>
      </w:r>
      <w:r>
        <w:rPr/>
        <w:t>College</w:t>
      </w:r>
      <w:r>
        <w:rPr>
          <w:spacing w:val="-7"/>
        </w:rPr>
        <w:t> </w:t>
      </w:r>
      <w:r>
        <w:rPr/>
        <w:t>Further</w:t>
      </w:r>
      <w:r>
        <w:rPr>
          <w:spacing w:val="-10"/>
        </w:rPr>
        <w:t> </w:t>
      </w:r>
      <w:r>
        <w:rPr/>
        <w:t>Education</w:t>
      </w:r>
      <w:r>
        <w:rPr>
          <w:spacing w:val="-8"/>
        </w:rPr>
        <w:t> </w:t>
      </w:r>
      <w:r>
        <w:rPr>
          <w:spacing w:val="-2"/>
        </w:rPr>
        <w:t>Corporation</w:t>
      </w:r>
    </w:p>
    <w:p>
      <w:pPr>
        <w:pStyle w:val="BodyText"/>
        <w:spacing w:before="121"/>
        <w:ind w:left="852" w:right="1087"/>
        <w:jc w:val="both"/>
      </w:pPr>
      <w:r>
        <w:rPr/>
        <w:t>As explained more fully in the Statement of the Corporation’s Responsibilities set out on page 30 the</w:t>
      </w:r>
      <w:r>
        <w:rPr>
          <w:spacing w:val="-11"/>
        </w:rPr>
        <w:t> </w:t>
      </w:r>
      <w:r>
        <w:rPr/>
        <w:t>Corporation</w:t>
      </w:r>
      <w:r>
        <w:rPr>
          <w:spacing w:val="-9"/>
        </w:rPr>
        <w:t> </w:t>
      </w:r>
      <w:r>
        <w:rPr/>
        <w:t>is</w:t>
      </w:r>
      <w:r>
        <w:rPr>
          <w:spacing w:val="-10"/>
        </w:rPr>
        <w:t> </w:t>
      </w:r>
      <w:r>
        <w:rPr/>
        <w:t>responsible</w:t>
      </w:r>
      <w:r>
        <w:rPr>
          <w:spacing w:val="-11"/>
        </w:rPr>
        <w:t> </w:t>
      </w:r>
      <w:r>
        <w:rPr/>
        <w:t>for</w:t>
      </w:r>
      <w:r>
        <w:rPr>
          <w:spacing w:val="-10"/>
        </w:rPr>
        <w:t> </w:t>
      </w:r>
      <w:r>
        <w:rPr/>
        <w:t>the</w:t>
      </w:r>
      <w:r>
        <w:rPr>
          <w:spacing w:val="-11"/>
        </w:rPr>
        <w:t> </w:t>
      </w:r>
      <w:r>
        <w:rPr/>
        <w:t>preparation</w:t>
      </w:r>
      <w:r>
        <w:rPr>
          <w:spacing w:val="-9"/>
        </w:rPr>
        <w:t> </w:t>
      </w:r>
      <w:r>
        <w:rPr/>
        <w:t>of</w:t>
      </w:r>
      <w:r>
        <w:rPr>
          <w:spacing w:val="-11"/>
        </w:rPr>
        <w:t> </w:t>
      </w:r>
      <w:r>
        <w:rPr/>
        <w:t>financial</w:t>
      </w:r>
      <w:r>
        <w:rPr>
          <w:spacing w:val="-12"/>
        </w:rPr>
        <w:t> </w:t>
      </w:r>
      <w:r>
        <w:rPr/>
        <w:t>statements</w:t>
      </w:r>
      <w:r>
        <w:rPr>
          <w:spacing w:val="-10"/>
        </w:rPr>
        <w:t> </w:t>
      </w:r>
      <w:r>
        <w:rPr/>
        <w:t>and</w:t>
      </w:r>
      <w:r>
        <w:rPr>
          <w:spacing w:val="-11"/>
        </w:rPr>
        <w:t> </w:t>
      </w:r>
      <w:r>
        <w:rPr/>
        <w:t>for</w:t>
      </w:r>
      <w:r>
        <w:rPr>
          <w:spacing w:val="-10"/>
        </w:rPr>
        <w:t> </w:t>
      </w:r>
      <w:r>
        <w:rPr/>
        <w:t>being</w:t>
      </w:r>
      <w:r>
        <w:rPr>
          <w:spacing w:val="-11"/>
        </w:rPr>
        <w:t> </w:t>
      </w:r>
      <w:r>
        <w:rPr/>
        <w:t>satisfied</w:t>
      </w:r>
      <w:r>
        <w:rPr>
          <w:spacing w:val="-9"/>
        </w:rPr>
        <w:t> </w:t>
      </w:r>
      <w:r>
        <w:rPr/>
        <w:t>that they give a true and fair view, and for such internal control as the Corporation determine is necessary to enable the preparation of financial statements that are free from material misstatement, whether due to fraud or error.</w:t>
      </w:r>
    </w:p>
    <w:p>
      <w:pPr>
        <w:pStyle w:val="BodyText"/>
        <w:spacing w:before="120"/>
        <w:ind w:left="852" w:right="1088"/>
        <w:jc w:val="both"/>
      </w:pPr>
      <w:r>
        <w:rPr/>
        <w:t>In</w:t>
      </w:r>
      <w:r>
        <w:rPr>
          <w:spacing w:val="-5"/>
        </w:rPr>
        <w:t> </w:t>
      </w:r>
      <w:r>
        <w:rPr/>
        <w:t>preparing</w:t>
      </w:r>
      <w:r>
        <w:rPr>
          <w:spacing w:val="-5"/>
        </w:rPr>
        <w:t> </w:t>
      </w:r>
      <w:r>
        <w:rPr/>
        <w:t>the</w:t>
      </w:r>
      <w:r>
        <w:rPr>
          <w:spacing w:val="-5"/>
        </w:rPr>
        <w:t> </w:t>
      </w:r>
      <w:r>
        <w:rPr/>
        <w:t>financial</w:t>
      </w:r>
      <w:r>
        <w:rPr>
          <w:spacing w:val="-5"/>
        </w:rPr>
        <w:t> </w:t>
      </w:r>
      <w:r>
        <w:rPr/>
        <w:t>statements,</w:t>
      </w:r>
      <w:r>
        <w:rPr>
          <w:spacing w:val="-5"/>
        </w:rPr>
        <w:t> </w:t>
      </w:r>
      <w:r>
        <w:rPr/>
        <w:t>the</w:t>
      </w:r>
      <w:r>
        <w:rPr>
          <w:spacing w:val="-5"/>
        </w:rPr>
        <w:t> </w:t>
      </w:r>
      <w:r>
        <w:rPr/>
        <w:t>Corporation</w:t>
      </w:r>
      <w:r>
        <w:rPr>
          <w:spacing w:val="-5"/>
        </w:rPr>
        <w:t> </w:t>
      </w:r>
      <w:r>
        <w:rPr/>
        <w:t>is</w:t>
      </w:r>
      <w:r>
        <w:rPr>
          <w:spacing w:val="-4"/>
        </w:rPr>
        <w:t> </w:t>
      </w:r>
      <w:r>
        <w:rPr/>
        <w:t>responsible</w:t>
      </w:r>
      <w:r>
        <w:rPr>
          <w:spacing w:val="-5"/>
        </w:rPr>
        <w:t> </w:t>
      </w:r>
      <w:r>
        <w:rPr/>
        <w:t>for</w:t>
      </w:r>
      <w:r>
        <w:rPr>
          <w:spacing w:val="-4"/>
        </w:rPr>
        <w:t> </w:t>
      </w:r>
      <w:r>
        <w:rPr/>
        <w:t>assessing</w:t>
      </w:r>
      <w:r>
        <w:rPr>
          <w:spacing w:val="-3"/>
        </w:rPr>
        <w:t> </w:t>
      </w:r>
      <w:r>
        <w:rPr/>
        <w:t>the</w:t>
      </w:r>
      <w:r>
        <w:rPr>
          <w:spacing w:val="-5"/>
        </w:rPr>
        <w:t> </w:t>
      </w:r>
      <w:r>
        <w:rPr/>
        <w:t>Group’s</w:t>
      </w:r>
      <w:r>
        <w:rPr>
          <w:spacing w:val="-4"/>
        </w:rPr>
        <w:t> </w:t>
      </w:r>
      <w:r>
        <w:rPr/>
        <w:t>and the College’s ability to continue as a going concern, disclosing, as applicable, matters related to going</w:t>
      </w:r>
      <w:r>
        <w:rPr>
          <w:spacing w:val="-14"/>
        </w:rPr>
        <w:t> </w:t>
      </w:r>
      <w:r>
        <w:rPr/>
        <w:t>concern</w:t>
      </w:r>
      <w:r>
        <w:rPr>
          <w:spacing w:val="-11"/>
        </w:rPr>
        <w:t> </w:t>
      </w:r>
      <w:r>
        <w:rPr/>
        <w:t>and</w:t>
      </w:r>
      <w:r>
        <w:rPr>
          <w:spacing w:val="-11"/>
        </w:rPr>
        <w:t> </w:t>
      </w:r>
      <w:r>
        <w:rPr/>
        <w:t>using</w:t>
      </w:r>
      <w:r>
        <w:rPr>
          <w:spacing w:val="-11"/>
        </w:rPr>
        <w:t> </w:t>
      </w:r>
      <w:r>
        <w:rPr/>
        <w:t>the</w:t>
      </w:r>
      <w:r>
        <w:rPr>
          <w:spacing w:val="-14"/>
        </w:rPr>
        <w:t> </w:t>
      </w:r>
      <w:r>
        <w:rPr/>
        <w:t>going</w:t>
      </w:r>
      <w:r>
        <w:rPr>
          <w:spacing w:val="-13"/>
        </w:rPr>
        <w:t> </w:t>
      </w:r>
      <w:r>
        <w:rPr/>
        <w:t>concern</w:t>
      </w:r>
      <w:r>
        <w:rPr>
          <w:spacing w:val="-14"/>
        </w:rPr>
        <w:t> </w:t>
      </w:r>
      <w:r>
        <w:rPr/>
        <w:t>basis</w:t>
      </w:r>
      <w:r>
        <w:rPr>
          <w:spacing w:val="-12"/>
        </w:rPr>
        <w:t> </w:t>
      </w:r>
      <w:r>
        <w:rPr/>
        <w:t>of</w:t>
      </w:r>
      <w:r>
        <w:rPr>
          <w:spacing w:val="-14"/>
        </w:rPr>
        <w:t> </w:t>
      </w:r>
      <w:r>
        <w:rPr/>
        <w:t>accounting</w:t>
      </w:r>
      <w:r>
        <w:rPr>
          <w:spacing w:val="-11"/>
        </w:rPr>
        <w:t> </w:t>
      </w:r>
      <w:r>
        <w:rPr/>
        <w:t>unless</w:t>
      </w:r>
      <w:r>
        <w:rPr>
          <w:spacing w:val="-12"/>
        </w:rPr>
        <w:t> </w:t>
      </w:r>
      <w:r>
        <w:rPr/>
        <w:t>the</w:t>
      </w:r>
      <w:r>
        <w:rPr>
          <w:spacing w:val="-14"/>
        </w:rPr>
        <w:t> </w:t>
      </w:r>
      <w:r>
        <w:rPr/>
        <w:t>Corporation</w:t>
      </w:r>
      <w:r>
        <w:rPr>
          <w:spacing w:val="-11"/>
        </w:rPr>
        <w:t> </w:t>
      </w:r>
      <w:r>
        <w:rPr/>
        <w:t>either</w:t>
      </w:r>
      <w:r>
        <w:rPr>
          <w:spacing w:val="-10"/>
        </w:rPr>
        <w:t> </w:t>
      </w:r>
      <w:r>
        <w:rPr/>
        <w:t>intend to liquidate the Group or the College or to cease operations, or have no realistic alternative but to do so.</w:t>
      </w:r>
    </w:p>
    <w:p>
      <w:pPr>
        <w:pStyle w:val="Heading6"/>
        <w:spacing w:before="120"/>
      </w:pPr>
      <w:r>
        <w:rPr/>
        <w:t>Auditor’s</w:t>
      </w:r>
      <w:r>
        <w:rPr>
          <w:spacing w:val="-9"/>
        </w:rPr>
        <w:t> </w:t>
      </w:r>
      <w:r>
        <w:rPr/>
        <w:t>responsibilities</w:t>
      </w:r>
      <w:r>
        <w:rPr>
          <w:spacing w:val="-6"/>
        </w:rPr>
        <w:t> </w:t>
      </w:r>
      <w:r>
        <w:rPr/>
        <w:t>for</w:t>
      </w:r>
      <w:r>
        <w:rPr>
          <w:spacing w:val="-10"/>
        </w:rPr>
        <w:t> </w:t>
      </w:r>
      <w:r>
        <w:rPr/>
        <w:t>the</w:t>
      </w:r>
      <w:r>
        <w:rPr>
          <w:spacing w:val="-8"/>
        </w:rPr>
        <w:t> </w:t>
      </w:r>
      <w:r>
        <w:rPr/>
        <w:t>audit</w:t>
      </w:r>
      <w:r>
        <w:rPr>
          <w:spacing w:val="-7"/>
        </w:rPr>
        <w:t> </w:t>
      </w:r>
      <w:r>
        <w:rPr/>
        <w:t>of</w:t>
      </w:r>
      <w:r>
        <w:rPr>
          <w:spacing w:val="-8"/>
        </w:rPr>
        <w:t> </w:t>
      </w:r>
      <w:r>
        <w:rPr/>
        <w:t>the</w:t>
      </w:r>
      <w:r>
        <w:rPr>
          <w:spacing w:val="-8"/>
        </w:rPr>
        <w:t> </w:t>
      </w:r>
      <w:r>
        <w:rPr/>
        <w:t>financial</w:t>
      </w:r>
      <w:r>
        <w:rPr>
          <w:spacing w:val="-8"/>
        </w:rPr>
        <w:t> </w:t>
      </w:r>
      <w:r>
        <w:rPr>
          <w:spacing w:val="-2"/>
        </w:rPr>
        <w:t>statements</w:t>
      </w:r>
    </w:p>
    <w:p>
      <w:pPr>
        <w:pStyle w:val="BodyText"/>
        <w:spacing w:before="120"/>
        <w:ind w:left="852" w:right="1087"/>
        <w:jc w:val="both"/>
      </w:pPr>
      <w:r>
        <w:rPr/>
        <w:t>Our objectives are to obtain reasonable assurance about whether the financial statements as a whole</w:t>
      </w:r>
      <w:r>
        <w:rPr>
          <w:spacing w:val="-1"/>
        </w:rPr>
        <w:t> </w:t>
      </w:r>
      <w:r>
        <w:rPr/>
        <w:t>are</w:t>
      </w:r>
      <w:r>
        <w:rPr>
          <w:spacing w:val="-1"/>
        </w:rPr>
        <w:t> </w:t>
      </w:r>
      <w:r>
        <w:rPr/>
        <w:t>free</w:t>
      </w:r>
      <w:r>
        <w:rPr>
          <w:spacing w:val="-1"/>
        </w:rPr>
        <w:t> </w:t>
      </w:r>
      <w:r>
        <w:rPr/>
        <w:t>from</w:t>
      </w:r>
      <w:r>
        <w:rPr>
          <w:spacing w:val="-1"/>
        </w:rPr>
        <w:t> </w:t>
      </w:r>
      <w:r>
        <w:rPr/>
        <w:t>material</w:t>
      </w:r>
      <w:r>
        <w:rPr>
          <w:spacing w:val="-2"/>
        </w:rPr>
        <w:t> </w:t>
      </w:r>
      <w:r>
        <w:rPr/>
        <w:t>misstatement,</w:t>
      </w:r>
      <w:r>
        <w:rPr>
          <w:spacing w:val="-1"/>
        </w:rPr>
        <w:t> </w:t>
      </w:r>
      <w:r>
        <w:rPr/>
        <w:t>whether due</w:t>
      </w:r>
      <w:r>
        <w:rPr>
          <w:spacing w:val="-1"/>
        </w:rPr>
        <w:t> </w:t>
      </w:r>
      <w:r>
        <w:rPr/>
        <w:t>to</w:t>
      </w:r>
      <w:r>
        <w:rPr>
          <w:spacing w:val="-1"/>
        </w:rPr>
        <w:t> </w:t>
      </w:r>
      <w:r>
        <w:rPr/>
        <w:t>fraud</w:t>
      </w:r>
      <w:r>
        <w:rPr>
          <w:spacing w:val="-1"/>
        </w:rPr>
        <w:t> </w:t>
      </w:r>
      <w:r>
        <w:rPr/>
        <w:t>or error,</w:t>
      </w:r>
      <w:r>
        <w:rPr>
          <w:spacing w:val="-1"/>
        </w:rPr>
        <w:t> </w:t>
      </w:r>
      <w:r>
        <w:rPr/>
        <w:t>and</w:t>
      </w:r>
      <w:r>
        <w:rPr>
          <w:spacing w:val="-1"/>
        </w:rPr>
        <w:t> </w:t>
      </w:r>
      <w:r>
        <w:rPr/>
        <w:t>to</w:t>
      </w:r>
      <w:r>
        <w:rPr>
          <w:spacing w:val="-1"/>
        </w:rPr>
        <w:t> </w:t>
      </w:r>
      <w:r>
        <w:rPr/>
        <w:t>issue</w:t>
      </w:r>
      <w:r>
        <w:rPr>
          <w:spacing w:val="-1"/>
        </w:rPr>
        <w:t> </w:t>
      </w:r>
      <w:r>
        <w:rPr/>
        <w:t>an</w:t>
      </w:r>
      <w:r>
        <w:rPr>
          <w:spacing w:val="-1"/>
        </w:rPr>
        <w:t> </w:t>
      </w:r>
      <w:r>
        <w:rPr/>
        <w:t>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pPr>
        <w:pStyle w:val="BodyText"/>
        <w:spacing w:after="0"/>
        <w:jc w:val="both"/>
        <w:sectPr>
          <w:headerReference w:type="default" r:id="rId26"/>
          <w:footerReference w:type="default" r:id="rId27"/>
          <w:pgSz w:w="11910" w:h="16850"/>
          <w:pgMar w:header="728" w:footer="702" w:top="1260" w:bottom="900" w:left="566" w:right="708"/>
        </w:sectPr>
      </w:pPr>
    </w:p>
    <w:p>
      <w:pPr>
        <w:pStyle w:val="BodyText"/>
        <w:spacing w:before="105"/>
      </w:pPr>
    </w:p>
    <w:p>
      <w:pPr>
        <w:pStyle w:val="Heading6"/>
        <w:ind w:right="1088"/>
      </w:pPr>
      <w:r>
        <w:rPr/>
        <w:t>The extent to which the audit was considered capable of detecting irregularities, including </w:t>
      </w:r>
      <w:r>
        <w:rPr>
          <w:spacing w:val="-2"/>
        </w:rPr>
        <w:t>fraud</w:t>
      </w:r>
    </w:p>
    <w:p>
      <w:pPr>
        <w:pStyle w:val="BodyText"/>
        <w:spacing w:before="118"/>
        <w:ind w:left="852" w:right="1083"/>
        <w:jc w:val="both"/>
      </w:pPr>
      <w:r>
        <w:rPr/>
        <w:t>Irregularities</w:t>
      </w:r>
      <w:r>
        <w:rPr>
          <w:spacing w:val="-10"/>
        </w:rPr>
        <w:t> </w:t>
      </w:r>
      <w:r>
        <w:rPr/>
        <w:t>are</w:t>
      </w:r>
      <w:r>
        <w:rPr>
          <w:spacing w:val="-9"/>
        </w:rPr>
        <w:t> </w:t>
      </w:r>
      <w:r>
        <w:rPr/>
        <w:t>instances</w:t>
      </w:r>
      <w:r>
        <w:rPr>
          <w:spacing w:val="-7"/>
        </w:rPr>
        <w:t> </w:t>
      </w:r>
      <w:r>
        <w:rPr/>
        <w:t>of</w:t>
      </w:r>
      <w:r>
        <w:rPr>
          <w:spacing w:val="-11"/>
        </w:rPr>
        <w:t> </w:t>
      </w:r>
      <w:r>
        <w:rPr/>
        <w:t>non-compliance</w:t>
      </w:r>
      <w:r>
        <w:rPr>
          <w:spacing w:val="-9"/>
        </w:rPr>
        <w:t> </w:t>
      </w:r>
      <w:r>
        <w:rPr/>
        <w:t>with</w:t>
      </w:r>
      <w:r>
        <w:rPr>
          <w:spacing w:val="-11"/>
        </w:rPr>
        <w:t> </w:t>
      </w:r>
      <w:r>
        <w:rPr/>
        <w:t>laws</w:t>
      </w:r>
      <w:r>
        <w:rPr>
          <w:spacing w:val="-10"/>
        </w:rPr>
        <w:t> </w:t>
      </w:r>
      <w:r>
        <w:rPr/>
        <w:t>and</w:t>
      </w:r>
      <w:r>
        <w:rPr>
          <w:spacing w:val="-11"/>
        </w:rPr>
        <w:t> </w:t>
      </w:r>
      <w:r>
        <w:rPr/>
        <w:t>regulations.</w:t>
      </w:r>
      <w:r>
        <w:rPr>
          <w:spacing w:val="-11"/>
        </w:rPr>
        <w:t> </w:t>
      </w:r>
      <w:r>
        <w:rPr/>
        <w:t>The</w:t>
      </w:r>
      <w:r>
        <w:rPr>
          <w:spacing w:val="-9"/>
        </w:rPr>
        <w:t> </w:t>
      </w:r>
      <w:r>
        <w:rPr/>
        <w:t>objectives</w:t>
      </w:r>
      <w:r>
        <w:rPr>
          <w:spacing w:val="-10"/>
        </w:rPr>
        <w:t> </w:t>
      </w:r>
      <w:r>
        <w:rPr/>
        <w:t>of</w:t>
      </w:r>
      <w:r>
        <w:rPr>
          <w:spacing w:val="-11"/>
        </w:rPr>
        <w:t> </w:t>
      </w:r>
      <w:r>
        <w:rPr/>
        <w:t>our</w:t>
      </w:r>
      <w:r>
        <w:rPr>
          <w:spacing w:val="-10"/>
        </w:rPr>
        <w:t> </w:t>
      </w:r>
      <w:r>
        <w:rPr/>
        <w:t>audit are to obtain sufficient appropriate audit evidence regarding compliance with laws and regulations that have a direct effect on the determination of material amounts and disclosures in the financial statements, to perform audit procedures to help identify instances of non-compliance with other laws and regulations that may have a material effect on the financial statements, and to respond appropriately</w:t>
      </w:r>
      <w:r>
        <w:rPr>
          <w:spacing w:val="-1"/>
        </w:rPr>
        <w:t> </w:t>
      </w:r>
      <w:r>
        <w:rPr/>
        <w:t>to identified</w:t>
      </w:r>
      <w:r>
        <w:rPr>
          <w:spacing w:val="-3"/>
        </w:rPr>
        <w:t> </w:t>
      </w:r>
      <w:r>
        <w:rPr/>
        <w:t>or</w:t>
      </w:r>
      <w:r>
        <w:rPr>
          <w:spacing w:val="-2"/>
        </w:rPr>
        <w:t> </w:t>
      </w:r>
      <w:r>
        <w:rPr/>
        <w:t>suspected non-compliance</w:t>
      </w:r>
      <w:r>
        <w:rPr>
          <w:spacing w:val="-3"/>
        </w:rPr>
        <w:t> </w:t>
      </w:r>
      <w:r>
        <w:rPr/>
        <w:t>with laws and regulations</w:t>
      </w:r>
      <w:r>
        <w:rPr>
          <w:spacing w:val="-1"/>
        </w:rPr>
        <w:t> </w:t>
      </w:r>
      <w:r>
        <w:rPr/>
        <w:t>identified during the audit.</w:t>
      </w:r>
    </w:p>
    <w:p>
      <w:pPr>
        <w:pStyle w:val="BodyText"/>
        <w:spacing w:before="121"/>
        <w:ind w:left="852" w:right="1086"/>
        <w:jc w:val="both"/>
      </w:pPr>
      <w:r>
        <w:rPr/>
        <w:t>In relation to fraud, the objectives of our audit are to identify and assess the risk of material misstatement</w:t>
      </w:r>
      <w:r>
        <w:rPr>
          <w:spacing w:val="-14"/>
        </w:rPr>
        <w:t> </w:t>
      </w:r>
      <w:r>
        <w:rPr/>
        <w:t>of</w:t>
      </w:r>
      <w:r>
        <w:rPr>
          <w:spacing w:val="-14"/>
        </w:rPr>
        <w:t> </w:t>
      </w:r>
      <w:r>
        <w:rPr/>
        <w:t>the</w:t>
      </w:r>
      <w:r>
        <w:rPr>
          <w:spacing w:val="-13"/>
        </w:rPr>
        <w:t> </w:t>
      </w:r>
      <w:r>
        <w:rPr/>
        <w:t>financial</w:t>
      </w:r>
      <w:r>
        <w:rPr>
          <w:spacing w:val="-14"/>
        </w:rPr>
        <w:t> </w:t>
      </w:r>
      <w:r>
        <w:rPr/>
        <w:t>statements</w:t>
      </w:r>
      <w:r>
        <w:rPr>
          <w:spacing w:val="-12"/>
        </w:rPr>
        <w:t> </w:t>
      </w:r>
      <w:r>
        <w:rPr/>
        <w:t>due</w:t>
      </w:r>
      <w:r>
        <w:rPr>
          <w:spacing w:val="-14"/>
        </w:rPr>
        <w:t> </w:t>
      </w:r>
      <w:r>
        <w:rPr/>
        <w:t>to</w:t>
      </w:r>
      <w:r>
        <w:rPr>
          <w:spacing w:val="-14"/>
        </w:rPr>
        <w:t> </w:t>
      </w:r>
      <w:r>
        <w:rPr/>
        <w:t>fraud,</w:t>
      </w:r>
      <w:r>
        <w:rPr>
          <w:spacing w:val="-13"/>
        </w:rPr>
        <w:t> </w:t>
      </w:r>
      <w:r>
        <w:rPr/>
        <w:t>to</w:t>
      </w:r>
      <w:r>
        <w:rPr>
          <w:spacing w:val="-14"/>
        </w:rPr>
        <w:t> </w:t>
      </w:r>
      <w:r>
        <w:rPr/>
        <w:t>obtain</w:t>
      </w:r>
      <w:r>
        <w:rPr>
          <w:spacing w:val="-14"/>
        </w:rPr>
        <w:t> </w:t>
      </w:r>
      <w:r>
        <w:rPr/>
        <w:t>sufficient</w:t>
      </w:r>
      <w:r>
        <w:rPr>
          <w:spacing w:val="-13"/>
        </w:rPr>
        <w:t> </w:t>
      </w:r>
      <w:r>
        <w:rPr/>
        <w:t>appropriate</w:t>
      </w:r>
      <w:r>
        <w:rPr>
          <w:spacing w:val="-14"/>
        </w:rPr>
        <w:t> </w:t>
      </w:r>
      <w:r>
        <w:rPr/>
        <w:t>audit</w:t>
      </w:r>
      <w:r>
        <w:rPr>
          <w:spacing w:val="-14"/>
        </w:rPr>
        <w:t> </w:t>
      </w:r>
      <w:r>
        <w:rPr/>
        <w:t>evidence regarding the assessed risks of material misstatement due to fraud through designing and implementing appropriate responses and to respond appropriately to fraud or suspected fraud identified during the audit.</w:t>
      </w:r>
    </w:p>
    <w:p>
      <w:pPr>
        <w:pStyle w:val="BodyText"/>
        <w:spacing w:before="120"/>
        <w:ind w:left="852" w:right="1087"/>
        <w:jc w:val="both"/>
      </w:pPr>
      <w:r>
        <w:rPr/>
        <w:t>However, it is the primary responsibility of management, with the oversight of those charged with governance,</w:t>
      </w:r>
      <w:r>
        <w:rPr>
          <w:spacing w:val="-4"/>
        </w:rPr>
        <w:t> </w:t>
      </w:r>
      <w:r>
        <w:rPr/>
        <w:t>to</w:t>
      </w:r>
      <w:r>
        <w:rPr>
          <w:spacing w:val="-4"/>
        </w:rPr>
        <w:t> </w:t>
      </w:r>
      <w:r>
        <w:rPr/>
        <w:t>ensure</w:t>
      </w:r>
      <w:r>
        <w:rPr>
          <w:spacing w:val="-4"/>
        </w:rPr>
        <w:t> </w:t>
      </w:r>
      <w:r>
        <w:rPr/>
        <w:t>that</w:t>
      </w:r>
      <w:r>
        <w:rPr>
          <w:spacing w:val="-2"/>
        </w:rPr>
        <w:t> </w:t>
      </w:r>
      <w:r>
        <w:rPr/>
        <w:t>the</w:t>
      </w:r>
      <w:r>
        <w:rPr>
          <w:spacing w:val="-4"/>
        </w:rPr>
        <w:t> </w:t>
      </w:r>
      <w:r>
        <w:rPr/>
        <w:t>entity's</w:t>
      </w:r>
      <w:r>
        <w:rPr>
          <w:spacing w:val="-3"/>
        </w:rPr>
        <w:t> </w:t>
      </w:r>
      <w:r>
        <w:rPr/>
        <w:t>operations</w:t>
      </w:r>
      <w:r>
        <w:rPr>
          <w:spacing w:val="-3"/>
        </w:rPr>
        <w:t> </w:t>
      </w:r>
      <w:r>
        <w:rPr/>
        <w:t>are</w:t>
      </w:r>
      <w:r>
        <w:rPr>
          <w:spacing w:val="-4"/>
        </w:rPr>
        <w:t> </w:t>
      </w:r>
      <w:r>
        <w:rPr/>
        <w:t>conducted</w:t>
      </w:r>
      <w:r>
        <w:rPr>
          <w:spacing w:val="-4"/>
        </w:rPr>
        <w:t> </w:t>
      </w:r>
      <w:r>
        <w:rPr/>
        <w:t>in</w:t>
      </w:r>
      <w:r>
        <w:rPr>
          <w:spacing w:val="-4"/>
        </w:rPr>
        <w:t> </w:t>
      </w:r>
      <w:r>
        <w:rPr/>
        <w:t>accordance</w:t>
      </w:r>
      <w:r>
        <w:rPr>
          <w:spacing w:val="-4"/>
        </w:rPr>
        <w:t> </w:t>
      </w:r>
      <w:r>
        <w:rPr/>
        <w:t>with</w:t>
      </w:r>
      <w:r>
        <w:rPr>
          <w:spacing w:val="-4"/>
        </w:rPr>
        <w:t> </w:t>
      </w:r>
      <w:r>
        <w:rPr/>
        <w:t>the</w:t>
      </w:r>
      <w:r>
        <w:rPr>
          <w:spacing w:val="-4"/>
        </w:rPr>
        <w:t> </w:t>
      </w:r>
      <w:r>
        <w:rPr/>
        <w:t>provisions of laws and regulations and for the prevention and detection of fraud.</w:t>
      </w:r>
    </w:p>
    <w:p>
      <w:pPr>
        <w:pStyle w:val="BodyText"/>
        <w:spacing w:before="122"/>
        <w:ind w:left="852" w:right="1086"/>
        <w:jc w:val="both"/>
      </w:pPr>
      <w:r>
        <w:rPr/>
        <w:t>In identifying and assessing risks of material misstatement in respect of irregularities, including fraud, the Group audit engagement team:</w:t>
      </w:r>
    </w:p>
    <w:p>
      <w:pPr>
        <w:pStyle w:val="ListParagraph"/>
        <w:numPr>
          <w:ilvl w:val="0"/>
          <w:numId w:val="9"/>
        </w:numPr>
        <w:tabs>
          <w:tab w:pos="1920" w:val="left" w:leader="none"/>
        </w:tabs>
        <w:spacing w:line="237" w:lineRule="auto" w:before="124" w:after="0"/>
        <w:ind w:left="1920" w:right="1088" w:hanging="360"/>
        <w:jc w:val="both"/>
        <w:rPr>
          <w:sz w:val="20"/>
        </w:rPr>
      </w:pPr>
      <w:r>
        <w:rPr>
          <w:sz w:val="20"/>
        </w:rPr>
        <w:t>obtained</w:t>
      </w:r>
      <w:r>
        <w:rPr>
          <w:spacing w:val="-14"/>
          <w:sz w:val="20"/>
        </w:rPr>
        <w:t> </w:t>
      </w:r>
      <w:r>
        <w:rPr>
          <w:sz w:val="20"/>
        </w:rPr>
        <w:t>an</w:t>
      </w:r>
      <w:r>
        <w:rPr>
          <w:spacing w:val="-14"/>
          <w:sz w:val="20"/>
        </w:rPr>
        <w:t> </w:t>
      </w:r>
      <w:r>
        <w:rPr>
          <w:sz w:val="20"/>
        </w:rPr>
        <w:t>understanding</w:t>
      </w:r>
      <w:r>
        <w:rPr>
          <w:spacing w:val="-11"/>
          <w:sz w:val="20"/>
        </w:rPr>
        <w:t> </w:t>
      </w:r>
      <w:r>
        <w:rPr>
          <w:sz w:val="20"/>
        </w:rPr>
        <w:t>of</w:t>
      </w:r>
      <w:r>
        <w:rPr>
          <w:spacing w:val="-14"/>
          <w:sz w:val="20"/>
        </w:rPr>
        <w:t> </w:t>
      </w:r>
      <w:r>
        <w:rPr>
          <w:sz w:val="20"/>
        </w:rPr>
        <w:t>the</w:t>
      </w:r>
      <w:r>
        <w:rPr>
          <w:spacing w:val="-11"/>
          <w:sz w:val="20"/>
        </w:rPr>
        <w:t> </w:t>
      </w:r>
      <w:r>
        <w:rPr>
          <w:sz w:val="20"/>
        </w:rPr>
        <w:t>nature</w:t>
      </w:r>
      <w:r>
        <w:rPr>
          <w:spacing w:val="-14"/>
          <w:sz w:val="20"/>
        </w:rPr>
        <w:t> </w:t>
      </w:r>
      <w:r>
        <w:rPr>
          <w:sz w:val="20"/>
        </w:rPr>
        <w:t>of</w:t>
      </w:r>
      <w:r>
        <w:rPr>
          <w:spacing w:val="-11"/>
          <w:sz w:val="20"/>
        </w:rPr>
        <w:t> </w:t>
      </w:r>
      <w:r>
        <w:rPr>
          <w:sz w:val="20"/>
        </w:rPr>
        <w:t>the</w:t>
      </w:r>
      <w:r>
        <w:rPr>
          <w:spacing w:val="-14"/>
          <w:sz w:val="20"/>
        </w:rPr>
        <w:t> </w:t>
      </w:r>
      <w:r>
        <w:rPr>
          <w:sz w:val="20"/>
        </w:rPr>
        <w:t>sector,</w:t>
      </w:r>
      <w:r>
        <w:rPr>
          <w:spacing w:val="-14"/>
          <w:sz w:val="20"/>
        </w:rPr>
        <w:t> </w:t>
      </w:r>
      <w:r>
        <w:rPr>
          <w:sz w:val="20"/>
        </w:rPr>
        <w:t>including</w:t>
      </w:r>
      <w:r>
        <w:rPr>
          <w:spacing w:val="-11"/>
          <w:sz w:val="20"/>
        </w:rPr>
        <w:t> </w:t>
      </w:r>
      <w:r>
        <w:rPr>
          <w:sz w:val="20"/>
        </w:rPr>
        <w:t>the</w:t>
      </w:r>
      <w:r>
        <w:rPr>
          <w:spacing w:val="-11"/>
          <w:sz w:val="20"/>
        </w:rPr>
        <w:t> </w:t>
      </w:r>
      <w:r>
        <w:rPr>
          <w:sz w:val="20"/>
        </w:rPr>
        <w:t>legal</w:t>
      </w:r>
      <w:r>
        <w:rPr>
          <w:spacing w:val="-14"/>
          <w:sz w:val="20"/>
        </w:rPr>
        <w:t> </w:t>
      </w:r>
      <w:r>
        <w:rPr>
          <w:sz w:val="20"/>
        </w:rPr>
        <w:t>and</w:t>
      </w:r>
      <w:r>
        <w:rPr>
          <w:spacing w:val="-14"/>
          <w:sz w:val="20"/>
        </w:rPr>
        <w:t> </w:t>
      </w:r>
      <w:r>
        <w:rPr>
          <w:sz w:val="20"/>
        </w:rPr>
        <w:t>regulatory frameworks that the Group and College operates in and how the Group and College are complying with the legal and regulatory frameworks;</w:t>
      </w:r>
    </w:p>
    <w:p>
      <w:pPr>
        <w:pStyle w:val="ListParagraph"/>
        <w:numPr>
          <w:ilvl w:val="0"/>
          <w:numId w:val="9"/>
        </w:numPr>
        <w:tabs>
          <w:tab w:pos="1920" w:val="left" w:leader="none"/>
        </w:tabs>
        <w:spacing w:line="237" w:lineRule="auto" w:before="125" w:after="0"/>
        <w:ind w:left="1920" w:right="1088" w:hanging="360"/>
        <w:jc w:val="both"/>
        <w:rPr>
          <w:sz w:val="20"/>
        </w:rPr>
      </w:pPr>
      <w:r>
        <w:rPr>
          <w:sz w:val="20"/>
        </w:rPr>
        <w:t>inquired of management, and those charged with governance, about their own identification and assessment of the risks of irregularities, including</w:t>
      </w:r>
      <w:r>
        <w:rPr>
          <w:spacing w:val="-1"/>
          <w:sz w:val="20"/>
        </w:rPr>
        <w:t> </w:t>
      </w:r>
      <w:r>
        <w:rPr>
          <w:sz w:val="20"/>
        </w:rPr>
        <w:t>any known actual, suspected or alleged instances of fraud;</w:t>
      </w:r>
    </w:p>
    <w:p>
      <w:pPr>
        <w:pStyle w:val="ListParagraph"/>
        <w:numPr>
          <w:ilvl w:val="0"/>
          <w:numId w:val="9"/>
        </w:numPr>
        <w:tabs>
          <w:tab w:pos="1920" w:val="left" w:leader="none"/>
        </w:tabs>
        <w:spacing w:line="237" w:lineRule="auto" w:before="125" w:after="0"/>
        <w:ind w:left="1920" w:right="1088" w:hanging="360"/>
        <w:jc w:val="both"/>
        <w:rPr>
          <w:sz w:val="20"/>
        </w:rPr>
      </w:pPr>
      <w:r>
        <w:rPr>
          <w:sz w:val="20"/>
        </w:rPr>
        <w:t>discussed matters about non-compliance with laws and regulations and how fraud might occur including assessment of how and where the financial statements may be susceptible to fraud.</w:t>
      </w:r>
    </w:p>
    <w:p>
      <w:pPr>
        <w:pStyle w:val="BodyText"/>
        <w:spacing w:before="123"/>
        <w:ind w:left="852" w:right="1087"/>
        <w:jc w:val="both"/>
      </w:pPr>
      <w:r>
        <w:rPr/>
        <w:t>As a result of these procedures we consider the most significant laws and regulations that have a direct impact on the financial statements are FRS 102, Further and Higher Education SORP, the College</w:t>
      </w:r>
      <w:r>
        <w:rPr>
          <w:spacing w:val="-2"/>
        </w:rPr>
        <w:t> </w:t>
      </w:r>
      <w:r>
        <w:rPr/>
        <w:t>Accounts</w:t>
      </w:r>
      <w:r>
        <w:rPr>
          <w:spacing w:val="-1"/>
        </w:rPr>
        <w:t> </w:t>
      </w:r>
      <w:r>
        <w:rPr/>
        <w:t>Direction</w:t>
      </w:r>
      <w:r>
        <w:rPr>
          <w:spacing w:val="-2"/>
        </w:rPr>
        <w:t> </w:t>
      </w:r>
      <w:r>
        <w:rPr/>
        <w:t>published</w:t>
      </w:r>
      <w:r>
        <w:rPr>
          <w:spacing w:val="-2"/>
        </w:rPr>
        <w:t> </w:t>
      </w:r>
      <w:r>
        <w:rPr/>
        <w:t>by</w:t>
      </w:r>
      <w:r>
        <w:rPr>
          <w:spacing w:val="-3"/>
        </w:rPr>
        <w:t> </w:t>
      </w:r>
      <w:r>
        <w:rPr/>
        <w:t>the</w:t>
      </w:r>
      <w:r>
        <w:rPr>
          <w:spacing w:val="-2"/>
        </w:rPr>
        <w:t> </w:t>
      </w:r>
      <w:r>
        <w:rPr/>
        <w:t>Education</w:t>
      </w:r>
      <w:r>
        <w:rPr>
          <w:spacing w:val="-4"/>
        </w:rPr>
        <w:t> </w:t>
      </w:r>
      <w:r>
        <w:rPr/>
        <w:t>and</w:t>
      </w:r>
      <w:r>
        <w:rPr>
          <w:spacing w:val="-2"/>
        </w:rPr>
        <w:t> </w:t>
      </w:r>
      <w:r>
        <w:rPr/>
        <w:t>Skills</w:t>
      </w:r>
      <w:r>
        <w:rPr>
          <w:spacing w:val="-3"/>
        </w:rPr>
        <w:t> </w:t>
      </w:r>
      <w:r>
        <w:rPr/>
        <w:t>Funding</w:t>
      </w:r>
      <w:r>
        <w:rPr>
          <w:spacing w:val="-2"/>
        </w:rPr>
        <w:t> </w:t>
      </w:r>
      <w:r>
        <w:rPr/>
        <w:t>Agency</w:t>
      </w:r>
      <w:r>
        <w:rPr>
          <w:spacing w:val="-3"/>
        </w:rPr>
        <w:t> </w:t>
      </w:r>
      <w:r>
        <w:rPr/>
        <w:t>and</w:t>
      </w:r>
      <w:r>
        <w:rPr>
          <w:spacing w:val="-2"/>
        </w:rPr>
        <w:t> </w:t>
      </w:r>
      <w:r>
        <w:rPr/>
        <w:t>Regulatory Advice</w:t>
      </w:r>
      <w:r>
        <w:rPr>
          <w:spacing w:val="-10"/>
        </w:rPr>
        <w:t> </w:t>
      </w:r>
      <w:r>
        <w:rPr/>
        <w:t>9:</w:t>
      </w:r>
      <w:r>
        <w:rPr>
          <w:spacing w:val="-10"/>
        </w:rPr>
        <w:t> </w:t>
      </w:r>
      <w:r>
        <w:rPr/>
        <w:t>Accounts</w:t>
      </w:r>
      <w:r>
        <w:rPr>
          <w:spacing w:val="-11"/>
        </w:rPr>
        <w:t> </w:t>
      </w:r>
      <w:r>
        <w:rPr/>
        <w:t>Direction</w:t>
      </w:r>
      <w:r>
        <w:rPr>
          <w:spacing w:val="-12"/>
        </w:rPr>
        <w:t> </w:t>
      </w:r>
      <w:r>
        <w:rPr/>
        <w:t>published</w:t>
      </w:r>
      <w:r>
        <w:rPr>
          <w:spacing w:val="-10"/>
        </w:rPr>
        <w:t> </w:t>
      </w:r>
      <w:r>
        <w:rPr/>
        <w:t>by</w:t>
      </w:r>
      <w:r>
        <w:rPr>
          <w:spacing w:val="-11"/>
        </w:rPr>
        <w:t> </w:t>
      </w:r>
      <w:r>
        <w:rPr/>
        <w:t>the</w:t>
      </w:r>
      <w:r>
        <w:rPr>
          <w:spacing w:val="-10"/>
        </w:rPr>
        <w:t> </w:t>
      </w:r>
      <w:r>
        <w:rPr/>
        <w:t>Office</w:t>
      </w:r>
      <w:r>
        <w:rPr>
          <w:spacing w:val="-10"/>
        </w:rPr>
        <w:t> </w:t>
      </w:r>
      <w:r>
        <w:rPr/>
        <w:t>for</w:t>
      </w:r>
      <w:r>
        <w:rPr>
          <w:spacing w:val="-9"/>
        </w:rPr>
        <w:t> </w:t>
      </w:r>
      <w:r>
        <w:rPr/>
        <w:t>Students’.</w:t>
      </w:r>
      <w:r>
        <w:rPr>
          <w:spacing w:val="35"/>
        </w:rPr>
        <w:t> </w:t>
      </w:r>
      <w:r>
        <w:rPr/>
        <w:t>We</w:t>
      </w:r>
      <w:r>
        <w:rPr>
          <w:spacing w:val="-10"/>
        </w:rPr>
        <w:t> </w:t>
      </w:r>
      <w:r>
        <w:rPr/>
        <w:t>performed</w:t>
      </w:r>
      <w:r>
        <w:rPr>
          <w:spacing w:val="-10"/>
        </w:rPr>
        <w:t> </w:t>
      </w:r>
      <w:r>
        <w:rPr/>
        <w:t>audit</w:t>
      </w:r>
      <w:r>
        <w:rPr>
          <w:spacing w:val="-10"/>
        </w:rPr>
        <w:t> </w:t>
      </w:r>
      <w:r>
        <w:rPr/>
        <w:t>procedures to detect non-compliances which may have a material impact on the financial statements which included reviewing financial statement disclosures.</w:t>
      </w:r>
    </w:p>
    <w:p>
      <w:pPr>
        <w:pStyle w:val="BodyText"/>
        <w:spacing w:before="120"/>
        <w:ind w:left="852" w:right="1087"/>
        <w:jc w:val="both"/>
      </w:pPr>
      <w:r>
        <w:rPr/>
        <w:t>The most significant laws and regulations that have an indirect impact on the financial statements are those which are in relation to the Education Inspection Framework under the Education and Inspections Act 2006, Keeping Children Safe in Education under the Education Act 2002 and the UK General Data Protection Regulation (UK GDPR) and the Data Protection Act 2018. We performed audit procedures to inquire of management whether the Group is in compliance with these laws and regulations and inspected correspondence with licensing or regulatory authorities in order to draw a conclusion.</w:t>
      </w:r>
    </w:p>
    <w:p>
      <w:pPr>
        <w:pStyle w:val="BodyText"/>
        <w:spacing w:before="119"/>
        <w:ind w:left="852" w:right="1087"/>
        <w:jc w:val="both"/>
      </w:pPr>
      <w:r>
        <w:rPr/>
        <w:t>The Group audit engagement team identified the risk of management override of controls and revenue</w:t>
      </w:r>
      <w:r>
        <w:rPr>
          <w:spacing w:val="-4"/>
        </w:rPr>
        <w:t> </w:t>
      </w:r>
      <w:r>
        <w:rPr/>
        <w:t>recognition</w:t>
      </w:r>
      <w:r>
        <w:rPr>
          <w:spacing w:val="-4"/>
        </w:rPr>
        <w:t> </w:t>
      </w:r>
      <w:r>
        <w:rPr/>
        <w:t>as</w:t>
      </w:r>
      <w:r>
        <w:rPr>
          <w:spacing w:val="-3"/>
        </w:rPr>
        <w:t> </w:t>
      </w:r>
      <w:r>
        <w:rPr/>
        <w:t>the</w:t>
      </w:r>
      <w:r>
        <w:rPr>
          <w:spacing w:val="-2"/>
        </w:rPr>
        <w:t> </w:t>
      </w:r>
      <w:r>
        <w:rPr/>
        <w:t>areas</w:t>
      </w:r>
      <w:r>
        <w:rPr>
          <w:spacing w:val="-3"/>
        </w:rPr>
        <w:t> </w:t>
      </w:r>
      <w:r>
        <w:rPr/>
        <w:t>where</w:t>
      </w:r>
      <w:r>
        <w:rPr>
          <w:spacing w:val="-4"/>
        </w:rPr>
        <w:t> </w:t>
      </w:r>
      <w:r>
        <w:rPr/>
        <w:t>the</w:t>
      </w:r>
      <w:r>
        <w:rPr>
          <w:spacing w:val="-4"/>
        </w:rPr>
        <w:t> </w:t>
      </w:r>
      <w:r>
        <w:rPr/>
        <w:t>financial</w:t>
      </w:r>
      <w:r>
        <w:rPr>
          <w:spacing w:val="-3"/>
        </w:rPr>
        <w:t> </w:t>
      </w:r>
      <w:r>
        <w:rPr/>
        <w:t>statements</w:t>
      </w:r>
      <w:r>
        <w:rPr>
          <w:spacing w:val="-3"/>
        </w:rPr>
        <w:t> </w:t>
      </w:r>
      <w:r>
        <w:rPr/>
        <w:t>were</w:t>
      </w:r>
      <w:r>
        <w:rPr>
          <w:spacing w:val="-4"/>
        </w:rPr>
        <w:t> </w:t>
      </w:r>
      <w:r>
        <w:rPr/>
        <w:t>most</w:t>
      </w:r>
      <w:r>
        <w:rPr>
          <w:spacing w:val="-4"/>
        </w:rPr>
        <w:t> </w:t>
      </w:r>
      <w:r>
        <w:rPr/>
        <w:t>susceptible</w:t>
      </w:r>
      <w:r>
        <w:rPr>
          <w:spacing w:val="-4"/>
        </w:rPr>
        <w:t> </w:t>
      </w:r>
      <w:r>
        <w:rPr/>
        <w:t>to</w:t>
      </w:r>
      <w:r>
        <w:rPr>
          <w:spacing w:val="-4"/>
        </w:rPr>
        <w:t> </w:t>
      </w:r>
      <w:r>
        <w:rPr/>
        <w:t>material misstatement due to fraud.</w:t>
      </w:r>
      <w:r>
        <w:rPr>
          <w:spacing w:val="40"/>
        </w:rPr>
        <w:t> </w:t>
      </w:r>
      <w:r>
        <w:rPr/>
        <w:t>Audit procedures performed included but were not limited to testing manual journal entries and other adjustments and evaluating the business rationale in relation to significant, unusual transactions and transactions entered into outside the normal course of business and challenging judgments and estimates and performing tests of detail on a sample of revenue</w:t>
      </w:r>
      <w:r>
        <w:rPr>
          <w:spacing w:val="-2"/>
        </w:rPr>
        <w:t> </w:t>
      </w:r>
      <w:r>
        <w:rPr/>
        <w:t>transactions together</w:t>
      </w:r>
      <w:r>
        <w:rPr>
          <w:spacing w:val="-1"/>
        </w:rPr>
        <w:t> </w:t>
      </w:r>
      <w:r>
        <w:rPr/>
        <w:t>with performing</w:t>
      </w:r>
      <w:r>
        <w:rPr>
          <w:spacing w:val="-2"/>
        </w:rPr>
        <w:t> </w:t>
      </w:r>
      <w:r>
        <w:rPr/>
        <w:t>a</w:t>
      </w:r>
      <w:r>
        <w:rPr>
          <w:spacing w:val="-2"/>
        </w:rPr>
        <w:t> </w:t>
      </w:r>
      <w:r>
        <w:rPr/>
        <w:t>review</w:t>
      </w:r>
      <w:r>
        <w:rPr>
          <w:spacing w:val="-1"/>
        </w:rPr>
        <w:t> </w:t>
      </w:r>
      <w:r>
        <w:rPr/>
        <w:t>of</w:t>
      </w:r>
      <w:r>
        <w:rPr>
          <w:spacing w:val="-2"/>
        </w:rPr>
        <w:t> </w:t>
      </w:r>
      <w:r>
        <w:rPr/>
        <w:t>the</w:t>
      </w:r>
      <w:r>
        <w:rPr>
          <w:spacing w:val="-2"/>
        </w:rPr>
        <w:t> </w:t>
      </w:r>
      <w:r>
        <w:rPr/>
        <w:t>appropriate</w:t>
      </w:r>
      <w:r>
        <w:rPr>
          <w:spacing w:val="-2"/>
        </w:rPr>
        <w:t> </w:t>
      </w:r>
      <w:r>
        <w:rPr/>
        <w:t>application</w:t>
      </w:r>
      <w:r>
        <w:rPr>
          <w:spacing w:val="-2"/>
        </w:rPr>
        <w:t> </w:t>
      </w:r>
      <w:r>
        <w:rPr/>
        <w:t>of</w:t>
      </w:r>
      <w:r>
        <w:rPr>
          <w:spacing w:val="-2"/>
        </w:rPr>
        <w:t> </w:t>
      </w:r>
      <w:r>
        <w:rPr/>
        <w:t>the</w:t>
      </w:r>
      <w:r>
        <w:rPr>
          <w:spacing w:val="-2"/>
        </w:rPr>
        <w:t> </w:t>
      </w:r>
      <w:r>
        <w:rPr/>
        <w:t>Group and College’s revenue recognition policy.</w:t>
      </w:r>
    </w:p>
    <w:p>
      <w:pPr>
        <w:pStyle w:val="BodyText"/>
        <w:spacing w:before="121"/>
        <w:ind w:left="852" w:right="1088"/>
        <w:jc w:val="both"/>
      </w:pPr>
      <w:r>
        <w:rPr/>
        <w:t>A</w:t>
      </w:r>
      <w:r>
        <w:rPr>
          <w:spacing w:val="-7"/>
        </w:rPr>
        <w:t> </w:t>
      </w:r>
      <w:r>
        <w:rPr/>
        <w:t>further</w:t>
      </w:r>
      <w:r>
        <w:rPr>
          <w:spacing w:val="-5"/>
        </w:rPr>
        <w:t> </w:t>
      </w:r>
      <w:r>
        <w:rPr/>
        <w:t>description</w:t>
      </w:r>
      <w:r>
        <w:rPr>
          <w:spacing w:val="-4"/>
        </w:rPr>
        <w:t> </w:t>
      </w:r>
      <w:r>
        <w:rPr/>
        <w:t>of</w:t>
      </w:r>
      <w:r>
        <w:rPr>
          <w:spacing w:val="-6"/>
        </w:rPr>
        <w:t> </w:t>
      </w:r>
      <w:r>
        <w:rPr/>
        <w:t>our</w:t>
      </w:r>
      <w:r>
        <w:rPr>
          <w:spacing w:val="-3"/>
        </w:rPr>
        <w:t> </w:t>
      </w:r>
      <w:r>
        <w:rPr/>
        <w:t>responsibilities</w:t>
      </w:r>
      <w:r>
        <w:rPr>
          <w:spacing w:val="-5"/>
        </w:rPr>
        <w:t> </w:t>
      </w:r>
      <w:r>
        <w:rPr/>
        <w:t>for</w:t>
      </w:r>
      <w:r>
        <w:rPr>
          <w:spacing w:val="-5"/>
        </w:rPr>
        <w:t> </w:t>
      </w:r>
      <w:r>
        <w:rPr/>
        <w:t>the</w:t>
      </w:r>
      <w:r>
        <w:rPr>
          <w:spacing w:val="-4"/>
        </w:rPr>
        <w:t> </w:t>
      </w:r>
      <w:r>
        <w:rPr/>
        <w:t>audit</w:t>
      </w:r>
      <w:r>
        <w:rPr>
          <w:spacing w:val="-4"/>
        </w:rPr>
        <w:t> </w:t>
      </w:r>
      <w:r>
        <w:rPr/>
        <w:t>of</w:t>
      </w:r>
      <w:r>
        <w:rPr>
          <w:spacing w:val="-6"/>
        </w:rPr>
        <w:t> </w:t>
      </w:r>
      <w:r>
        <w:rPr/>
        <w:t>the</w:t>
      </w:r>
      <w:r>
        <w:rPr>
          <w:spacing w:val="-7"/>
        </w:rPr>
        <w:t> </w:t>
      </w:r>
      <w:r>
        <w:rPr/>
        <w:t>financial</w:t>
      </w:r>
      <w:r>
        <w:rPr>
          <w:spacing w:val="-7"/>
        </w:rPr>
        <w:t> </w:t>
      </w:r>
      <w:r>
        <w:rPr/>
        <w:t>statements</w:t>
      </w:r>
      <w:r>
        <w:rPr>
          <w:spacing w:val="-3"/>
        </w:rPr>
        <w:t> </w:t>
      </w:r>
      <w:r>
        <w:rPr/>
        <w:t>is</w:t>
      </w:r>
      <w:r>
        <w:rPr>
          <w:spacing w:val="-5"/>
        </w:rPr>
        <w:t> </w:t>
      </w:r>
      <w:r>
        <w:rPr/>
        <w:t>located</w:t>
      </w:r>
      <w:r>
        <w:rPr>
          <w:spacing w:val="-4"/>
        </w:rPr>
        <w:t> </w:t>
      </w:r>
      <w:r>
        <w:rPr/>
        <w:t>on</w:t>
      </w:r>
      <w:r>
        <w:rPr>
          <w:spacing w:val="-4"/>
        </w:rPr>
        <w:t> </w:t>
      </w:r>
      <w:r>
        <w:rPr/>
        <w:t>the Financial Reporting Council’s website at </w:t>
      </w:r>
      <w:hyperlink r:id="rId28">
        <w:r>
          <w:rPr>
            <w:color w:val="0000FF"/>
            <w:u w:val="single" w:color="0000FF"/>
          </w:rPr>
          <w:t>http://www.frc.org.uk/auditorsresponsibilities</w:t>
        </w:r>
        <w:r>
          <w:rPr>
            <w:u w:val="none"/>
          </w:rPr>
          <w:t>.</w:t>
        </w:r>
      </w:hyperlink>
      <w:r>
        <w:rPr>
          <w:u w:val="none"/>
        </w:rPr>
        <w:t> This description forms part of our auditor’s report.</w:t>
      </w:r>
    </w:p>
    <w:p>
      <w:pPr>
        <w:pStyle w:val="BodyText"/>
        <w:spacing w:after="0"/>
        <w:jc w:val="both"/>
        <w:sectPr>
          <w:pgSz w:w="11910" w:h="16850"/>
          <w:pgMar w:header="728" w:footer="702" w:top="1260" w:bottom="900" w:left="566" w:right="708"/>
        </w:sectPr>
      </w:pPr>
    </w:p>
    <w:p>
      <w:pPr>
        <w:pStyle w:val="BodyText"/>
        <w:spacing w:before="105"/>
      </w:pPr>
    </w:p>
    <w:p>
      <w:pPr>
        <w:pStyle w:val="Heading6"/>
      </w:pPr>
      <w:r>
        <w:rPr/>
        <w:t>Use</w:t>
      </w:r>
      <w:r>
        <w:rPr>
          <w:spacing w:val="-5"/>
        </w:rPr>
        <w:t> </w:t>
      </w:r>
      <w:r>
        <w:rPr/>
        <w:t>of</w:t>
      </w:r>
      <w:r>
        <w:rPr>
          <w:spacing w:val="-3"/>
        </w:rPr>
        <w:t> </w:t>
      </w:r>
      <w:r>
        <w:rPr/>
        <w:t>our</w:t>
      </w:r>
      <w:r>
        <w:rPr>
          <w:spacing w:val="-2"/>
        </w:rPr>
        <w:t> report</w:t>
      </w:r>
    </w:p>
    <w:p>
      <w:pPr>
        <w:pStyle w:val="BodyText"/>
        <w:spacing w:before="60"/>
        <w:ind w:left="852" w:right="1088"/>
        <w:jc w:val="both"/>
      </w:pPr>
      <w:r>
        <w:rPr/>
        <w:t>This</w:t>
      </w:r>
      <w:r>
        <w:rPr>
          <w:spacing w:val="-11"/>
        </w:rPr>
        <w:t> </w:t>
      </w:r>
      <w:r>
        <w:rPr/>
        <w:t>report</w:t>
      </w:r>
      <w:r>
        <w:rPr>
          <w:spacing w:val="-10"/>
        </w:rPr>
        <w:t> </w:t>
      </w:r>
      <w:r>
        <w:rPr/>
        <w:t>is</w:t>
      </w:r>
      <w:r>
        <w:rPr>
          <w:spacing w:val="-10"/>
        </w:rPr>
        <w:t> </w:t>
      </w:r>
      <w:r>
        <w:rPr/>
        <w:t>made</w:t>
      </w:r>
      <w:r>
        <w:rPr>
          <w:spacing w:val="-13"/>
        </w:rPr>
        <w:t> </w:t>
      </w:r>
      <w:r>
        <w:rPr/>
        <w:t>solely</w:t>
      </w:r>
      <w:r>
        <w:rPr>
          <w:spacing w:val="-11"/>
        </w:rPr>
        <w:t> </w:t>
      </w:r>
      <w:r>
        <w:rPr/>
        <w:t>to</w:t>
      </w:r>
      <w:r>
        <w:rPr>
          <w:spacing w:val="-13"/>
        </w:rPr>
        <w:t> </w:t>
      </w:r>
      <w:r>
        <w:rPr/>
        <w:t>the</w:t>
      </w:r>
      <w:r>
        <w:rPr>
          <w:spacing w:val="-10"/>
        </w:rPr>
        <w:t> </w:t>
      </w:r>
      <w:r>
        <w:rPr/>
        <w:t>Corporation,</w:t>
      </w:r>
      <w:r>
        <w:rPr>
          <w:spacing w:val="-10"/>
        </w:rPr>
        <w:t> </w:t>
      </w:r>
      <w:r>
        <w:rPr/>
        <w:t>as</w:t>
      </w:r>
      <w:r>
        <w:rPr>
          <w:spacing w:val="-10"/>
        </w:rPr>
        <w:t> </w:t>
      </w:r>
      <w:r>
        <w:rPr/>
        <w:t>a</w:t>
      </w:r>
      <w:r>
        <w:rPr>
          <w:spacing w:val="-10"/>
        </w:rPr>
        <w:t> </w:t>
      </w:r>
      <w:r>
        <w:rPr/>
        <w:t>body,</w:t>
      </w:r>
      <w:r>
        <w:rPr>
          <w:spacing w:val="-13"/>
        </w:rPr>
        <w:t> </w:t>
      </w:r>
      <w:r>
        <w:rPr/>
        <w:t>in</w:t>
      </w:r>
      <w:r>
        <w:rPr>
          <w:spacing w:val="-10"/>
        </w:rPr>
        <w:t> </w:t>
      </w:r>
      <w:r>
        <w:rPr/>
        <w:t>accordance</w:t>
      </w:r>
      <w:r>
        <w:rPr>
          <w:spacing w:val="-10"/>
        </w:rPr>
        <w:t> </w:t>
      </w:r>
      <w:r>
        <w:rPr/>
        <w:t>with</w:t>
      </w:r>
      <w:r>
        <w:rPr>
          <w:spacing w:val="-13"/>
        </w:rPr>
        <w:t> </w:t>
      </w:r>
      <w:r>
        <w:rPr/>
        <w:t>the</w:t>
      </w:r>
      <w:r>
        <w:rPr>
          <w:spacing w:val="-10"/>
        </w:rPr>
        <w:t> </w:t>
      </w:r>
      <w:r>
        <w:rPr/>
        <w:t>Funding</w:t>
      </w:r>
      <w:r>
        <w:rPr>
          <w:spacing w:val="-10"/>
        </w:rPr>
        <w:t> </w:t>
      </w:r>
      <w:r>
        <w:rPr/>
        <w:t>Agreement published</w:t>
      </w:r>
      <w:r>
        <w:rPr>
          <w:spacing w:val="-12"/>
        </w:rPr>
        <w:t> </w:t>
      </w:r>
      <w:r>
        <w:rPr/>
        <w:t>by</w:t>
      </w:r>
      <w:r>
        <w:rPr>
          <w:spacing w:val="-12"/>
        </w:rPr>
        <w:t> </w:t>
      </w:r>
      <w:r>
        <w:rPr/>
        <w:t>the</w:t>
      </w:r>
      <w:r>
        <w:rPr>
          <w:spacing w:val="-12"/>
        </w:rPr>
        <w:t> </w:t>
      </w:r>
      <w:r>
        <w:rPr/>
        <w:t>Education</w:t>
      </w:r>
      <w:r>
        <w:rPr>
          <w:spacing w:val="-12"/>
        </w:rPr>
        <w:t> </w:t>
      </w:r>
      <w:r>
        <w:rPr/>
        <w:t>and</w:t>
      </w:r>
      <w:r>
        <w:rPr>
          <w:spacing w:val="-12"/>
        </w:rPr>
        <w:t> </w:t>
      </w:r>
      <w:r>
        <w:rPr/>
        <w:t>Skills</w:t>
      </w:r>
      <w:r>
        <w:rPr>
          <w:spacing w:val="-12"/>
        </w:rPr>
        <w:t> </w:t>
      </w:r>
      <w:r>
        <w:rPr/>
        <w:t>Funding</w:t>
      </w:r>
      <w:r>
        <w:rPr>
          <w:spacing w:val="-12"/>
        </w:rPr>
        <w:t> </w:t>
      </w:r>
      <w:r>
        <w:rPr/>
        <w:t>Agency</w:t>
      </w:r>
      <w:r>
        <w:rPr>
          <w:spacing w:val="-12"/>
        </w:rPr>
        <w:t> </w:t>
      </w:r>
      <w:r>
        <w:rPr/>
        <w:t>and</w:t>
      </w:r>
      <w:r>
        <w:rPr>
          <w:spacing w:val="-12"/>
        </w:rPr>
        <w:t> </w:t>
      </w:r>
      <w:r>
        <w:rPr/>
        <w:t>our</w:t>
      </w:r>
      <w:r>
        <w:rPr>
          <w:spacing w:val="-11"/>
        </w:rPr>
        <w:t> </w:t>
      </w:r>
      <w:r>
        <w:rPr/>
        <w:t>engagement</w:t>
      </w:r>
      <w:r>
        <w:rPr>
          <w:spacing w:val="-12"/>
        </w:rPr>
        <w:t> </w:t>
      </w:r>
      <w:r>
        <w:rPr/>
        <w:t>letter</w:t>
      </w:r>
      <w:r>
        <w:rPr>
          <w:spacing w:val="-11"/>
        </w:rPr>
        <w:t> </w:t>
      </w:r>
      <w:r>
        <w:rPr/>
        <w:t>dated</w:t>
      </w:r>
      <w:r>
        <w:rPr>
          <w:spacing w:val="-14"/>
        </w:rPr>
        <w:t> </w:t>
      </w:r>
      <w:r>
        <w:rPr/>
        <w:t>29</w:t>
      </w:r>
      <w:r>
        <w:rPr>
          <w:spacing w:val="-14"/>
        </w:rPr>
        <w:t> </w:t>
      </w:r>
      <w:r>
        <w:rPr/>
        <w:t>October 2021. Our audit work has been undertaken so that we might state to the Corporation, as a body, those</w:t>
      </w:r>
      <w:r>
        <w:rPr>
          <w:spacing w:val="-1"/>
        </w:rPr>
        <w:t> </w:t>
      </w:r>
      <w:r>
        <w:rPr/>
        <w:t>matters we</w:t>
      </w:r>
      <w:r>
        <w:rPr>
          <w:spacing w:val="-1"/>
        </w:rPr>
        <w:t> </w:t>
      </w:r>
      <w:r>
        <w:rPr/>
        <w:t>are</w:t>
      </w:r>
      <w:r>
        <w:rPr>
          <w:spacing w:val="-1"/>
        </w:rPr>
        <w:t> </w:t>
      </w:r>
      <w:r>
        <w:rPr/>
        <w:t>engaged</w:t>
      </w:r>
      <w:r>
        <w:rPr>
          <w:spacing w:val="-1"/>
        </w:rPr>
        <w:t> </w:t>
      </w:r>
      <w:r>
        <w:rPr/>
        <w:t>to</w:t>
      </w:r>
      <w:r>
        <w:rPr>
          <w:spacing w:val="-1"/>
        </w:rPr>
        <w:t> </w:t>
      </w:r>
      <w:r>
        <w:rPr/>
        <w:t>state</w:t>
      </w:r>
      <w:r>
        <w:rPr>
          <w:spacing w:val="-1"/>
        </w:rPr>
        <w:t> </w:t>
      </w:r>
      <w:r>
        <w:rPr/>
        <w:t>to</w:t>
      </w:r>
      <w:r>
        <w:rPr>
          <w:spacing w:val="-1"/>
        </w:rPr>
        <w:t> </w:t>
      </w:r>
      <w:r>
        <w:rPr/>
        <w:t>them in</w:t>
      </w:r>
      <w:r>
        <w:rPr>
          <w:spacing w:val="-1"/>
        </w:rPr>
        <w:t> </w:t>
      </w:r>
      <w:r>
        <w:rPr/>
        <w:t>an</w:t>
      </w:r>
      <w:r>
        <w:rPr>
          <w:spacing w:val="-1"/>
        </w:rPr>
        <w:t> </w:t>
      </w:r>
      <w:r>
        <w:rPr/>
        <w:t>auditor’s report</w:t>
      </w:r>
      <w:r>
        <w:rPr>
          <w:spacing w:val="-1"/>
        </w:rPr>
        <w:t> </w:t>
      </w:r>
      <w:r>
        <w:rPr/>
        <w:t>and</w:t>
      </w:r>
      <w:r>
        <w:rPr>
          <w:spacing w:val="-1"/>
        </w:rPr>
        <w:t> </w:t>
      </w:r>
      <w:r>
        <w:rPr/>
        <w:t>for no</w:t>
      </w:r>
      <w:r>
        <w:rPr>
          <w:spacing w:val="-1"/>
        </w:rPr>
        <w:t> </w:t>
      </w:r>
      <w:r>
        <w:rPr/>
        <w:t>other purpose.</w:t>
      </w:r>
      <w:r>
        <w:rPr>
          <w:spacing w:val="40"/>
        </w:rPr>
        <w:t> </w:t>
      </w:r>
      <w:r>
        <w:rPr/>
        <w:t>To the</w:t>
      </w:r>
      <w:r>
        <w:rPr>
          <w:spacing w:val="-4"/>
        </w:rPr>
        <w:t> </w:t>
      </w:r>
      <w:r>
        <w:rPr/>
        <w:t>fullest</w:t>
      </w:r>
      <w:r>
        <w:rPr>
          <w:spacing w:val="-2"/>
        </w:rPr>
        <w:t> </w:t>
      </w:r>
      <w:r>
        <w:rPr/>
        <w:t>extent</w:t>
      </w:r>
      <w:r>
        <w:rPr>
          <w:spacing w:val="-2"/>
        </w:rPr>
        <w:t> </w:t>
      </w:r>
      <w:r>
        <w:rPr/>
        <w:t>permitted by</w:t>
      </w:r>
      <w:r>
        <w:rPr>
          <w:spacing w:val="-3"/>
        </w:rPr>
        <w:t> </w:t>
      </w:r>
      <w:r>
        <w:rPr/>
        <w:t>law,</w:t>
      </w:r>
      <w:r>
        <w:rPr>
          <w:spacing w:val="-4"/>
        </w:rPr>
        <w:t> </w:t>
      </w:r>
      <w:r>
        <w:rPr/>
        <w:t>we</w:t>
      </w:r>
      <w:r>
        <w:rPr>
          <w:spacing w:val="-4"/>
        </w:rPr>
        <w:t> </w:t>
      </w:r>
      <w:r>
        <w:rPr/>
        <w:t>do</w:t>
      </w:r>
      <w:r>
        <w:rPr>
          <w:spacing w:val="-4"/>
        </w:rPr>
        <w:t> </w:t>
      </w:r>
      <w:r>
        <w:rPr/>
        <w:t>not</w:t>
      </w:r>
      <w:r>
        <w:rPr>
          <w:spacing w:val="-2"/>
        </w:rPr>
        <w:t> </w:t>
      </w:r>
      <w:r>
        <w:rPr/>
        <w:t>accept</w:t>
      </w:r>
      <w:r>
        <w:rPr>
          <w:spacing w:val="-2"/>
        </w:rPr>
        <w:t> </w:t>
      </w:r>
      <w:r>
        <w:rPr/>
        <w:t>or</w:t>
      </w:r>
      <w:r>
        <w:rPr>
          <w:spacing w:val="-3"/>
        </w:rPr>
        <w:t> </w:t>
      </w:r>
      <w:r>
        <w:rPr/>
        <w:t>assume</w:t>
      </w:r>
      <w:r>
        <w:rPr>
          <w:spacing w:val="-2"/>
        </w:rPr>
        <w:t> </w:t>
      </w:r>
      <w:r>
        <w:rPr/>
        <w:t>responsibility</w:t>
      </w:r>
      <w:r>
        <w:rPr>
          <w:spacing w:val="-3"/>
        </w:rPr>
        <w:t> </w:t>
      </w:r>
      <w:r>
        <w:rPr/>
        <w:t>to</w:t>
      </w:r>
      <w:r>
        <w:rPr>
          <w:spacing w:val="-2"/>
        </w:rPr>
        <w:t> </w:t>
      </w:r>
      <w:r>
        <w:rPr/>
        <w:t>anyone</w:t>
      </w:r>
      <w:r>
        <w:rPr>
          <w:spacing w:val="-2"/>
        </w:rPr>
        <w:t> </w:t>
      </w:r>
      <w:r>
        <w:rPr/>
        <w:t>other</w:t>
      </w:r>
      <w:r>
        <w:rPr>
          <w:spacing w:val="-3"/>
        </w:rPr>
        <w:t> </w:t>
      </w:r>
      <w:r>
        <w:rPr/>
        <w:t>than the Corporation, as a body, for our audit work, for this report, or for the opinions we have formed.</w:t>
      </w:r>
    </w:p>
    <w:p>
      <w:pPr>
        <w:pStyle w:val="BodyText"/>
      </w:pPr>
    </w:p>
    <w:p>
      <w:pPr>
        <w:pStyle w:val="BodyText"/>
        <w:spacing w:before="86"/>
      </w:pPr>
      <w:r>
        <w:rPr/>
        <w:drawing>
          <wp:anchor distT="0" distB="0" distL="0" distR="0" allowOverlap="1" layoutInCell="1" locked="0" behindDoc="1" simplePos="0" relativeHeight="487593472">
            <wp:simplePos x="0" y="0"/>
            <wp:positionH relativeFrom="page">
              <wp:posOffset>978558</wp:posOffset>
            </wp:positionH>
            <wp:positionV relativeFrom="paragraph">
              <wp:posOffset>216215</wp:posOffset>
            </wp:positionV>
            <wp:extent cx="2880191" cy="539591"/>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29" cstate="print"/>
                    <a:stretch>
                      <a:fillRect/>
                    </a:stretch>
                  </pic:blipFill>
                  <pic:spPr>
                    <a:xfrm>
                      <a:off x="0" y="0"/>
                      <a:ext cx="2880191" cy="539591"/>
                    </a:xfrm>
                    <a:prstGeom prst="rect">
                      <a:avLst/>
                    </a:prstGeom>
                  </pic:spPr>
                </pic:pic>
              </a:graphicData>
            </a:graphic>
          </wp:anchor>
        </w:drawing>
      </w:r>
    </w:p>
    <w:p>
      <w:pPr>
        <w:pStyle w:val="BodyText"/>
        <w:spacing w:before="49"/>
      </w:pPr>
    </w:p>
    <w:p>
      <w:pPr>
        <w:pStyle w:val="BodyText"/>
        <w:ind w:left="852"/>
        <w:jc w:val="both"/>
      </w:pPr>
      <w:r>
        <w:rPr/>
        <w:t>RSM</w:t>
      </w:r>
      <w:r>
        <w:rPr>
          <w:spacing w:val="-5"/>
        </w:rPr>
        <w:t> </w:t>
      </w:r>
      <w:r>
        <w:rPr/>
        <w:t>UK</w:t>
      </w:r>
      <w:r>
        <w:rPr>
          <w:spacing w:val="-4"/>
        </w:rPr>
        <w:t> </w:t>
      </w:r>
      <w:r>
        <w:rPr/>
        <w:t>AUDIT</w:t>
      </w:r>
      <w:r>
        <w:rPr>
          <w:spacing w:val="-4"/>
        </w:rPr>
        <w:t> </w:t>
      </w:r>
      <w:r>
        <w:rPr>
          <w:spacing w:val="-5"/>
        </w:rPr>
        <w:t>LLP</w:t>
      </w:r>
    </w:p>
    <w:p>
      <w:pPr>
        <w:pStyle w:val="BodyText"/>
        <w:spacing w:before="1"/>
        <w:ind w:left="852" w:right="7732"/>
      </w:pPr>
      <w:r>
        <w:rPr/>
        <w:t>Chartered</w:t>
      </w:r>
      <w:r>
        <w:rPr>
          <w:spacing w:val="-14"/>
        </w:rPr>
        <w:t> </w:t>
      </w:r>
      <w:r>
        <w:rPr/>
        <w:t>Accountants First Floor</w:t>
      </w:r>
    </w:p>
    <w:p>
      <w:pPr>
        <w:pStyle w:val="BodyText"/>
        <w:ind w:left="852" w:right="7732"/>
      </w:pPr>
      <w:r>
        <w:rPr/>
        <w:t>Two Humber Quays Wellington</w:t>
      </w:r>
      <w:r>
        <w:rPr>
          <w:spacing w:val="-14"/>
        </w:rPr>
        <w:t> </w:t>
      </w:r>
      <w:r>
        <w:rPr/>
        <w:t>Street</w:t>
      </w:r>
      <w:r>
        <w:rPr>
          <w:spacing w:val="-14"/>
        </w:rPr>
        <w:t> </w:t>
      </w:r>
      <w:r>
        <w:rPr/>
        <w:t>West </w:t>
      </w:r>
      <w:r>
        <w:rPr>
          <w:spacing w:val="-4"/>
        </w:rPr>
        <w:t>Hull</w:t>
      </w:r>
    </w:p>
    <w:p>
      <w:pPr>
        <w:pStyle w:val="BodyText"/>
        <w:ind w:left="852"/>
      </w:pPr>
      <w:r>
        <w:rPr/>
        <w:t>HU1</w:t>
      </w:r>
      <w:r>
        <w:rPr>
          <w:spacing w:val="-7"/>
        </w:rPr>
        <w:t> </w:t>
      </w:r>
      <w:r>
        <w:rPr>
          <w:spacing w:val="-5"/>
        </w:rPr>
        <w:t>2BN</w:t>
      </w:r>
    </w:p>
    <w:p>
      <w:pPr>
        <w:pStyle w:val="BodyText"/>
        <w:spacing w:before="229"/>
        <w:ind w:left="852"/>
      </w:pPr>
      <w:r>
        <w:rPr/>
        <w:t>29</w:t>
      </w:r>
      <w:r>
        <w:rPr>
          <w:spacing w:val="-8"/>
        </w:rPr>
        <w:t> </w:t>
      </w:r>
      <w:r>
        <w:rPr/>
        <w:t>February</w:t>
      </w:r>
      <w:r>
        <w:rPr>
          <w:spacing w:val="-6"/>
        </w:rPr>
        <w:t> </w:t>
      </w:r>
      <w:r>
        <w:rPr>
          <w:spacing w:val="-4"/>
        </w:rPr>
        <w:t>2024</w:t>
      </w:r>
    </w:p>
    <w:p>
      <w:pPr>
        <w:pStyle w:val="BodyText"/>
        <w:spacing w:after="0"/>
        <w:sectPr>
          <w:pgSz w:w="11910" w:h="16850"/>
          <w:pgMar w:header="728" w:footer="702" w:top="1260" w:bottom="900" w:left="566" w:right="708"/>
        </w:sectPr>
      </w:pPr>
    </w:p>
    <w:p>
      <w:pPr>
        <w:pStyle w:val="BodyText"/>
        <w:rPr>
          <w:sz w:val="24"/>
        </w:rPr>
      </w:pPr>
    </w:p>
    <w:p>
      <w:pPr>
        <w:pStyle w:val="BodyText"/>
        <w:rPr>
          <w:sz w:val="24"/>
        </w:rPr>
      </w:pPr>
    </w:p>
    <w:p>
      <w:pPr>
        <w:pStyle w:val="Heading2"/>
      </w:pPr>
      <w:r>
        <w:rPr/>
        <w:t>FOR</w:t>
      </w:r>
      <w:r>
        <w:rPr>
          <w:spacing w:val="-2"/>
        </w:rPr>
        <w:t> </w:t>
      </w:r>
      <w:r>
        <w:rPr/>
        <w:t>THE</w:t>
      </w:r>
      <w:r>
        <w:rPr>
          <w:spacing w:val="-3"/>
        </w:rPr>
        <w:t> </w:t>
      </w:r>
      <w:r>
        <w:rPr/>
        <w:t>YEAR</w:t>
      </w:r>
      <w:r>
        <w:rPr>
          <w:spacing w:val="-1"/>
        </w:rPr>
        <w:t> </w:t>
      </w:r>
      <w:r>
        <w:rPr/>
        <w:t>ENDED</w:t>
      </w:r>
      <w:r>
        <w:rPr>
          <w:spacing w:val="-1"/>
        </w:rPr>
        <w:t> </w:t>
      </w:r>
      <w:r>
        <w:rPr/>
        <w:t>31</w:t>
      </w:r>
      <w:r>
        <w:rPr>
          <w:spacing w:val="-2"/>
        </w:rPr>
        <w:t> </w:t>
      </w:r>
      <w:r>
        <w:rPr/>
        <w:t>JULY </w:t>
      </w:r>
      <w:r>
        <w:rPr>
          <w:spacing w:val="-4"/>
        </w:rPr>
        <w:t>2023</w:t>
      </w:r>
    </w:p>
    <w:p>
      <w:pPr>
        <w:pStyle w:val="BodyText"/>
        <w:spacing w:before="78"/>
        <w:rPr>
          <w:b/>
          <w:sz w:val="19"/>
        </w:rPr>
      </w:pPr>
    </w:p>
    <w:p>
      <w:pPr>
        <w:spacing w:before="0"/>
        <w:ind w:left="852" w:right="0" w:firstLine="0"/>
        <w:jc w:val="left"/>
        <w:rPr>
          <w:b/>
          <w:sz w:val="19"/>
        </w:rPr>
      </w:pPr>
      <w:r>
        <w:rPr>
          <w:b/>
          <w:spacing w:val="-2"/>
          <w:sz w:val="19"/>
        </w:rPr>
        <w:t>CONSOLIDATED</w:t>
      </w:r>
      <w:r>
        <w:rPr>
          <w:b/>
          <w:spacing w:val="1"/>
          <w:sz w:val="19"/>
        </w:rPr>
        <w:t> </w:t>
      </w:r>
      <w:r>
        <w:rPr>
          <w:b/>
          <w:spacing w:val="-2"/>
          <w:sz w:val="19"/>
        </w:rPr>
        <w:t>AND</w:t>
      </w:r>
      <w:r>
        <w:rPr>
          <w:b/>
          <w:spacing w:val="2"/>
          <w:sz w:val="19"/>
        </w:rPr>
        <w:t> </w:t>
      </w:r>
      <w:r>
        <w:rPr>
          <w:b/>
          <w:spacing w:val="-2"/>
          <w:sz w:val="19"/>
        </w:rPr>
        <w:t>COLLEGE</w:t>
      </w:r>
      <w:r>
        <w:rPr>
          <w:b/>
          <w:spacing w:val="2"/>
          <w:sz w:val="19"/>
        </w:rPr>
        <w:t> </w:t>
      </w:r>
      <w:r>
        <w:rPr>
          <w:b/>
          <w:spacing w:val="-2"/>
          <w:sz w:val="19"/>
        </w:rPr>
        <w:t>STATEMENTS</w:t>
      </w:r>
      <w:r>
        <w:rPr>
          <w:b/>
          <w:spacing w:val="3"/>
          <w:sz w:val="19"/>
        </w:rPr>
        <w:t> </w:t>
      </w:r>
      <w:r>
        <w:rPr>
          <w:b/>
          <w:spacing w:val="-2"/>
          <w:sz w:val="19"/>
        </w:rPr>
        <w:t>OF</w:t>
      </w:r>
      <w:r>
        <w:rPr>
          <w:b/>
          <w:spacing w:val="1"/>
          <w:sz w:val="19"/>
        </w:rPr>
        <w:t> </w:t>
      </w:r>
      <w:r>
        <w:rPr>
          <w:b/>
          <w:spacing w:val="-2"/>
          <w:sz w:val="19"/>
        </w:rPr>
        <w:t>COMPREHENSIVE</w:t>
      </w:r>
      <w:r>
        <w:rPr>
          <w:b/>
          <w:spacing w:val="3"/>
          <w:sz w:val="19"/>
        </w:rPr>
        <w:t> </w:t>
      </w:r>
      <w:r>
        <w:rPr>
          <w:b/>
          <w:spacing w:val="-2"/>
          <w:sz w:val="19"/>
        </w:rPr>
        <w:t>INCOME</w:t>
      </w:r>
    </w:p>
    <w:p>
      <w:pPr>
        <w:pStyle w:val="BodyText"/>
        <w:rPr>
          <w:b/>
        </w:rPr>
      </w:pPr>
    </w:p>
    <w:p>
      <w:pPr>
        <w:pStyle w:val="BodyText"/>
        <w:spacing w:before="72"/>
        <w:rPr>
          <w:b/>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65"/>
        <w:gridCol w:w="825"/>
        <w:gridCol w:w="864"/>
        <w:gridCol w:w="276"/>
        <w:gridCol w:w="998"/>
        <w:gridCol w:w="276"/>
        <w:gridCol w:w="859"/>
        <w:gridCol w:w="276"/>
        <w:gridCol w:w="1133"/>
      </w:tblGrid>
      <w:tr>
        <w:trPr>
          <w:trHeight w:val="1099" w:hRule="atLeast"/>
        </w:trPr>
        <w:tc>
          <w:tcPr>
            <w:tcW w:w="4065" w:type="dxa"/>
          </w:tcPr>
          <w:p>
            <w:pPr>
              <w:pStyle w:val="TableParagraph"/>
              <w:rPr>
                <w:b/>
                <w:sz w:val="19"/>
              </w:rPr>
            </w:pPr>
          </w:p>
          <w:p>
            <w:pPr>
              <w:pStyle w:val="TableParagraph"/>
              <w:rPr>
                <w:b/>
                <w:sz w:val="19"/>
              </w:rPr>
            </w:pPr>
          </w:p>
          <w:p>
            <w:pPr>
              <w:pStyle w:val="TableParagraph"/>
              <w:spacing w:before="189"/>
              <w:rPr>
                <w:b/>
                <w:sz w:val="19"/>
              </w:rPr>
            </w:pPr>
          </w:p>
          <w:p>
            <w:pPr>
              <w:pStyle w:val="TableParagraph"/>
              <w:spacing w:before="1"/>
              <w:ind w:left="50"/>
              <w:rPr>
                <w:b/>
                <w:sz w:val="19"/>
              </w:rPr>
            </w:pPr>
            <w:r>
              <w:rPr>
                <w:b/>
                <w:spacing w:val="-2"/>
                <w:sz w:val="19"/>
              </w:rPr>
              <w:t>Income</w:t>
            </w:r>
          </w:p>
        </w:tc>
        <w:tc>
          <w:tcPr>
            <w:tcW w:w="825" w:type="dxa"/>
          </w:tcPr>
          <w:p>
            <w:pPr>
              <w:pStyle w:val="TableParagraph"/>
              <w:rPr>
                <w:b/>
                <w:sz w:val="19"/>
              </w:rPr>
            </w:pPr>
          </w:p>
          <w:p>
            <w:pPr>
              <w:pStyle w:val="TableParagraph"/>
              <w:spacing w:before="122"/>
              <w:rPr>
                <w:b/>
                <w:sz w:val="19"/>
              </w:rPr>
            </w:pPr>
          </w:p>
          <w:p>
            <w:pPr>
              <w:pStyle w:val="TableParagraph"/>
              <w:spacing w:before="1"/>
              <w:ind w:right="134"/>
              <w:jc w:val="right"/>
              <w:rPr>
                <w:b/>
                <w:sz w:val="19"/>
              </w:rPr>
            </w:pPr>
            <w:r>
              <w:rPr>
                <w:b/>
                <w:spacing w:val="-2"/>
                <w:sz w:val="19"/>
              </w:rPr>
              <w:t>Notes</w:t>
            </w:r>
          </w:p>
        </w:tc>
        <w:tc>
          <w:tcPr>
            <w:tcW w:w="864" w:type="dxa"/>
          </w:tcPr>
          <w:p>
            <w:pPr>
              <w:pStyle w:val="TableParagraph"/>
              <w:spacing w:line="212" w:lineRule="exact"/>
              <w:ind w:right="107"/>
              <w:jc w:val="right"/>
              <w:rPr>
                <w:b/>
                <w:sz w:val="19"/>
              </w:rPr>
            </w:pPr>
            <w:r>
              <w:rPr>
                <w:b/>
                <w:spacing w:val="-4"/>
                <w:sz w:val="19"/>
              </w:rPr>
              <w:t>2023</w:t>
            </w:r>
          </w:p>
          <w:p>
            <w:pPr>
              <w:pStyle w:val="TableParagraph"/>
              <w:spacing w:before="64"/>
              <w:ind w:right="109"/>
              <w:jc w:val="right"/>
              <w:rPr>
                <w:b/>
                <w:sz w:val="19"/>
              </w:rPr>
            </w:pPr>
            <w:r>
              <w:rPr>
                <w:b/>
                <w:spacing w:val="-4"/>
                <w:sz w:val="19"/>
              </w:rPr>
              <w:t>Group</w:t>
            </w:r>
          </w:p>
          <w:p>
            <w:pPr>
              <w:pStyle w:val="TableParagraph"/>
              <w:spacing w:before="65"/>
              <w:ind w:right="107"/>
              <w:jc w:val="right"/>
              <w:rPr>
                <w:b/>
                <w:sz w:val="19"/>
              </w:rPr>
            </w:pPr>
            <w:r>
              <w:rPr>
                <w:b/>
                <w:spacing w:val="-2"/>
                <w:sz w:val="19"/>
              </w:rPr>
              <w:t>£’000</w:t>
            </w:r>
          </w:p>
        </w:tc>
        <w:tc>
          <w:tcPr>
            <w:tcW w:w="276" w:type="dxa"/>
          </w:tcPr>
          <w:p>
            <w:pPr>
              <w:pStyle w:val="TableParagraph"/>
              <w:rPr>
                <w:rFonts w:ascii="Times New Roman"/>
                <w:sz w:val="18"/>
              </w:rPr>
            </w:pPr>
          </w:p>
        </w:tc>
        <w:tc>
          <w:tcPr>
            <w:tcW w:w="998" w:type="dxa"/>
          </w:tcPr>
          <w:p>
            <w:pPr>
              <w:pStyle w:val="TableParagraph"/>
              <w:spacing w:line="212" w:lineRule="exact"/>
              <w:ind w:right="104"/>
              <w:jc w:val="right"/>
              <w:rPr>
                <w:b/>
                <w:sz w:val="19"/>
              </w:rPr>
            </w:pPr>
            <w:r>
              <w:rPr>
                <w:b/>
                <w:spacing w:val="-4"/>
                <w:sz w:val="19"/>
              </w:rPr>
              <w:t>2023</w:t>
            </w:r>
          </w:p>
          <w:p>
            <w:pPr>
              <w:pStyle w:val="TableParagraph"/>
              <w:spacing w:before="64"/>
              <w:ind w:right="107"/>
              <w:jc w:val="right"/>
              <w:rPr>
                <w:b/>
                <w:sz w:val="19"/>
              </w:rPr>
            </w:pPr>
            <w:r>
              <w:rPr>
                <w:b/>
                <w:spacing w:val="-2"/>
                <w:sz w:val="19"/>
              </w:rPr>
              <w:t>College</w:t>
            </w:r>
          </w:p>
          <w:p>
            <w:pPr>
              <w:pStyle w:val="TableParagraph"/>
              <w:spacing w:before="65"/>
              <w:ind w:right="104"/>
              <w:jc w:val="right"/>
              <w:rPr>
                <w:b/>
                <w:sz w:val="19"/>
              </w:rPr>
            </w:pPr>
            <w:r>
              <w:rPr>
                <w:b/>
                <w:spacing w:val="-2"/>
                <w:sz w:val="19"/>
              </w:rPr>
              <w:t>£’000</w:t>
            </w:r>
          </w:p>
        </w:tc>
        <w:tc>
          <w:tcPr>
            <w:tcW w:w="276" w:type="dxa"/>
          </w:tcPr>
          <w:p>
            <w:pPr>
              <w:pStyle w:val="TableParagraph"/>
              <w:rPr>
                <w:rFonts w:ascii="Times New Roman"/>
                <w:sz w:val="18"/>
              </w:rPr>
            </w:pPr>
          </w:p>
        </w:tc>
        <w:tc>
          <w:tcPr>
            <w:tcW w:w="859" w:type="dxa"/>
          </w:tcPr>
          <w:p>
            <w:pPr>
              <w:pStyle w:val="TableParagraph"/>
              <w:spacing w:line="212" w:lineRule="exact"/>
              <w:ind w:right="104"/>
              <w:jc w:val="right"/>
              <w:rPr>
                <w:b/>
                <w:sz w:val="19"/>
              </w:rPr>
            </w:pPr>
            <w:r>
              <w:rPr>
                <w:b/>
                <w:spacing w:val="-4"/>
                <w:sz w:val="19"/>
              </w:rPr>
              <w:t>2022</w:t>
            </w:r>
          </w:p>
          <w:p>
            <w:pPr>
              <w:pStyle w:val="TableParagraph"/>
              <w:spacing w:before="64"/>
              <w:ind w:right="106"/>
              <w:jc w:val="right"/>
              <w:rPr>
                <w:b/>
                <w:sz w:val="19"/>
              </w:rPr>
            </w:pPr>
            <w:r>
              <w:rPr>
                <w:b/>
                <w:spacing w:val="-4"/>
                <w:sz w:val="19"/>
              </w:rPr>
              <w:t>Group</w:t>
            </w:r>
          </w:p>
          <w:p>
            <w:pPr>
              <w:pStyle w:val="TableParagraph"/>
              <w:spacing w:before="65"/>
              <w:ind w:right="104"/>
              <w:jc w:val="right"/>
              <w:rPr>
                <w:b/>
                <w:sz w:val="19"/>
              </w:rPr>
            </w:pPr>
            <w:r>
              <w:rPr>
                <w:b/>
                <w:spacing w:val="-2"/>
                <w:sz w:val="19"/>
              </w:rPr>
              <w:t>£’000</w:t>
            </w:r>
          </w:p>
        </w:tc>
        <w:tc>
          <w:tcPr>
            <w:tcW w:w="276" w:type="dxa"/>
          </w:tcPr>
          <w:p>
            <w:pPr>
              <w:pStyle w:val="TableParagraph"/>
              <w:rPr>
                <w:rFonts w:ascii="Times New Roman"/>
                <w:sz w:val="18"/>
              </w:rPr>
            </w:pPr>
          </w:p>
        </w:tc>
        <w:tc>
          <w:tcPr>
            <w:tcW w:w="1133" w:type="dxa"/>
          </w:tcPr>
          <w:p>
            <w:pPr>
              <w:pStyle w:val="TableParagraph"/>
              <w:spacing w:line="212" w:lineRule="exact"/>
              <w:ind w:right="104"/>
              <w:jc w:val="right"/>
              <w:rPr>
                <w:b/>
                <w:sz w:val="19"/>
              </w:rPr>
            </w:pPr>
            <w:r>
              <w:rPr>
                <w:b/>
                <w:spacing w:val="-4"/>
                <w:sz w:val="19"/>
              </w:rPr>
              <w:t>2022</w:t>
            </w:r>
          </w:p>
          <w:p>
            <w:pPr>
              <w:pStyle w:val="TableParagraph"/>
              <w:spacing w:before="64"/>
              <w:ind w:right="107"/>
              <w:jc w:val="right"/>
              <w:rPr>
                <w:b/>
                <w:sz w:val="19"/>
              </w:rPr>
            </w:pPr>
            <w:r>
              <w:rPr>
                <w:b/>
                <w:spacing w:val="-2"/>
                <w:sz w:val="19"/>
              </w:rPr>
              <w:t>College</w:t>
            </w:r>
          </w:p>
          <w:p>
            <w:pPr>
              <w:pStyle w:val="TableParagraph"/>
              <w:spacing w:before="65"/>
              <w:ind w:right="104"/>
              <w:jc w:val="right"/>
              <w:rPr>
                <w:b/>
                <w:sz w:val="19"/>
              </w:rPr>
            </w:pPr>
            <w:r>
              <w:rPr>
                <w:b/>
                <w:spacing w:val="-2"/>
                <w:sz w:val="19"/>
              </w:rPr>
              <w:t>£’000</w:t>
            </w:r>
          </w:p>
        </w:tc>
      </w:tr>
      <w:tr>
        <w:trPr>
          <w:trHeight w:val="283" w:hRule="atLeast"/>
        </w:trPr>
        <w:tc>
          <w:tcPr>
            <w:tcW w:w="4065" w:type="dxa"/>
          </w:tcPr>
          <w:p>
            <w:pPr>
              <w:pStyle w:val="TableParagraph"/>
              <w:spacing w:before="29"/>
              <w:ind w:left="50"/>
              <w:rPr>
                <w:sz w:val="19"/>
              </w:rPr>
            </w:pPr>
            <w:r>
              <w:rPr>
                <w:sz w:val="19"/>
              </w:rPr>
              <w:t>Funding</w:t>
            </w:r>
            <w:r>
              <w:rPr>
                <w:spacing w:val="-6"/>
                <w:sz w:val="19"/>
              </w:rPr>
              <w:t> </w:t>
            </w:r>
            <w:r>
              <w:rPr>
                <w:sz w:val="19"/>
              </w:rPr>
              <w:t>body</w:t>
            </w:r>
            <w:r>
              <w:rPr>
                <w:spacing w:val="-4"/>
                <w:sz w:val="19"/>
              </w:rPr>
              <w:t> </w:t>
            </w:r>
            <w:r>
              <w:rPr>
                <w:spacing w:val="-2"/>
                <w:sz w:val="19"/>
              </w:rPr>
              <w:t>grants</w:t>
            </w:r>
          </w:p>
        </w:tc>
        <w:tc>
          <w:tcPr>
            <w:tcW w:w="825" w:type="dxa"/>
          </w:tcPr>
          <w:p>
            <w:pPr>
              <w:pStyle w:val="TableParagraph"/>
              <w:spacing w:before="29"/>
              <w:ind w:right="90"/>
              <w:jc w:val="right"/>
              <w:rPr>
                <w:sz w:val="19"/>
              </w:rPr>
            </w:pPr>
            <w:r>
              <w:rPr>
                <w:spacing w:val="-10"/>
                <w:sz w:val="19"/>
              </w:rPr>
              <w:t>3</w:t>
            </w:r>
          </w:p>
        </w:tc>
        <w:tc>
          <w:tcPr>
            <w:tcW w:w="864" w:type="dxa"/>
          </w:tcPr>
          <w:p>
            <w:pPr>
              <w:pStyle w:val="TableParagraph"/>
              <w:spacing w:before="29"/>
              <w:ind w:left="173"/>
              <w:rPr>
                <w:sz w:val="19"/>
              </w:rPr>
            </w:pPr>
            <w:r>
              <w:rPr>
                <w:spacing w:val="-2"/>
                <w:sz w:val="19"/>
              </w:rPr>
              <w:t>26,797</w:t>
            </w:r>
          </w:p>
        </w:tc>
        <w:tc>
          <w:tcPr>
            <w:tcW w:w="276" w:type="dxa"/>
          </w:tcPr>
          <w:p>
            <w:pPr>
              <w:pStyle w:val="TableParagraph"/>
              <w:rPr>
                <w:rFonts w:ascii="Times New Roman"/>
                <w:sz w:val="18"/>
              </w:rPr>
            </w:pPr>
          </w:p>
        </w:tc>
        <w:tc>
          <w:tcPr>
            <w:tcW w:w="998" w:type="dxa"/>
          </w:tcPr>
          <w:p>
            <w:pPr>
              <w:pStyle w:val="TableParagraph"/>
              <w:spacing w:before="29"/>
              <w:ind w:left="310"/>
              <w:rPr>
                <w:sz w:val="19"/>
              </w:rPr>
            </w:pPr>
            <w:r>
              <w:rPr>
                <w:spacing w:val="-2"/>
                <w:sz w:val="19"/>
              </w:rPr>
              <w:t>26,797</w:t>
            </w:r>
          </w:p>
        </w:tc>
        <w:tc>
          <w:tcPr>
            <w:tcW w:w="276" w:type="dxa"/>
          </w:tcPr>
          <w:p>
            <w:pPr>
              <w:pStyle w:val="TableParagraph"/>
              <w:rPr>
                <w:rFonts w:ascii="Times New Roman"/>
                <w:sz w:val="18"/>
              </w:rPr>
            </w:pPr>
          </w:p>
        </w:tc>
        <w:tc>
          <w:tcPr>
            <w:tcW w:w="859" w:type="dxa"/>
          </w:tcPr>
          <w:p>
            <w:pPr>
              <w:pStyle w:val="TableParagraph"/>
              <w:spacing w:before="29"/>
              <w:ind w:right="104"/>
              <w:jc w:val="right"/>
              <w:rPr>
                <w:sz w:val="19"/>
              </w:rPr>
            </w:pPr>
            <w:r>
              <w:rPr>
                <w:spacing w:val="-2"/>
                <w:sz w:val="19"/>
              </w:rPr>
              <w:t>25,311</w:t>
            </w:r>
          </w:p>
        </w:tc>
        <w:tc>
          <w:tcPr>
            <w:tcW w:w="276" w:type="dxa"/>
          </w:tcPr>
          <w:p>
            <w:pPr>
              <w:pStyle w:val="TableParagraph"/>
              <w:rPr>
                <w:rFonts w:ascii="Times New Roman"/>
                <w:sz w:val="18"/>
              </w:rPr>
            </w:pPr>
          </w:p>
        </w:tc>
        <w:tc>
          <w:tcPr>
            <w:tcW w:w="1133" w:type="dxa"/>
          </w:tcPr>
          <w:p>
            <w:pPr>
              <w:pStyle w:val="TableParagraph"/>
              <w:spacing w:before="29"/>
              <w:ind w:right="104"/>
              <w:jc w:val="right"/>
              <w:rPr>
                <w:sz w:val="19"/>
              </w:rPr>
            </w:pPr>
            <w:r>
              <w:rPr>
                <w:spacing w:val="-2"/>
                <w:sz w:val="19"/>
              </w:rPr>
              <w:t>25,311</w:t>
            </w:r>
          </w:p>
        </w:tc>
      </w:tr>
      <w:tr>
        <w:trPr>
          <w:trHeight w:val="284" w:hRule="atLeast"/>
        </w:trPr>
        <w:tc>
          <w:tcPr>
            <w:tcW w:w="4065" w:type="dxa"/>
          </w:tcPr>
          <w:p>
            <w:pPr>
              <w:pStyle w:val="TableParagraph"/>
              <w:spacing w:before="29"/>
              <w:ind w:left="50"/>
              <w:rPr>
                <w:sz w:val="19"/>
              </w:rPr>
            </w:pPr>
            <w:r>
              <w:rPr>
                <w:sz w:val="19"/>
              </w:rPr>
              <w:t>Tuition</w:t>
            </w:r>
            <w:r>
              <w:rPr>
                <w:spacing w:val="-5"/>
                <w:sz w:val="19"/>
              </w:rPr>
              <w:t> </w:t>
            </w:r>
            <w:r>
              <w:rPr>
                <w:sz w:val="19"/>
              </w:rPr>
              <w:t>fees</w:t>
            </w:r>
            <w:r>
              <w:rPr>
                <w:spacing w:val="-4"/>
                <w:sz w:val="19"/>
              </w:rPr>
              <w:t> </w:t>
            </w:r>
            <w:r>
              <w:rPr>
                <w:sz w:val="19"/>
              </w:rPr>
              <w:t>and</w:t>
            </w:r>
            <w:r>
              <w:rPr>
                <w:spacing w:val="-4"/>
                <w:sz w:val="19"/>
              </w:rPr>
              <w:t> </w:t>
            </w:r>
            <w:r>
              <w:rPr>
                <w:sz w:val="19"/>
              </w:rPr>
              <w:t>education</w:t>
            </w:r>
            <w:r>
              <w:rPr>
                <w:spacing w:val="-7"/>
                <w:sz w:val="19"/>
              </w:rPr>
              <w:t> </w:t>
            </w:r>
            <w:r>
              <w:rPr>
                <w:spacing w:val="-2"/>
                <w:sz w:val="19"/>
              </w:rPr>
              <w:t>contracts</w:t>
            </w:r>
          </w:p>
        </w:tc>
        <w:tc>
          <w:tcPr>
            <w:tcW w:w="825" w:type="dxa"/>
          </w:tcPr>
          <w:p>
            <w:pPr>
              <w:pStyle w:val="TableParagraph"/>
              <w:spacing w:before="29"/>
              <w:ind w:right="90"/>
              <w:jc w:val="right"/>
              <w:rPr>
                <w:sz w:val="19"/>
              </w:rPr>
            </w:pPr>
            <w:r>
              <w:rPr>
                <w:spacing w:val="-10"/>
                <w:sz w:val="19"/>
              </w:rPr>
              <w:t>4</w:t>
            </w:r>
          </w:p>
        </w:tc>
        <w:tc>
          <w:tcPr>
            <w:tcW w:w="864" w:type="dxa"/>
          </w:tcPr>
          <w:p>
            <w:pPr>
              <w:pStyle w:val="TableParagraph"/>
              <w:spacing w:before="29"/>
              <w:ind w:left="279"/>
              <w:rPr>
                <w:sz w:val="19"/>
              </w:rPr>
            </w:pPr>
            <w:r>
              <w:rPr>
                <w:spacing w:val="-2"/>
                <w:sz w:val="19"/>
              </w:rPr>
              <w:t>3,128</w:t>
            </w:r>
          </w:p>
        </w:tc>
        <w:tc>
          <w:tcPr>
            <w:tcW w:w="276" w:type="dxa"/>
          </w:tcPr>
          <w:p>
            <w:pPr>
              <w:pStyle w:val="TableParagraph"/>
              <w:rPr>
                <w:rFonts w:ascii="Times New Roman"/>
                <w:sz w:val="18"/>
              </w:rPr>
            </w:pPr>
          </w:p>
        </w:tc>
        <w:tc>
          <w:tcPr>
            <w:tcW w:w="998" w:type="dxa"/>
          </w:tcPr>
          <w:p>
            <w:pPr>
              <w:pStyle w:val="TableParagraph"/>
              <w:spacing w:before="29"/>
              <w:ind w:right="104"/>
              <w:jc w:val="right"/>
              <w:rPr>
                <w:sz w:val="19"/>
              </w:rPr>
            </w:pPr>
            <w:r>
              <w:rPr>
                <w:spacing w:val="-2"/>
                <w:sz w:val="19"/>
              </w:rPr>
              <w:t>3,128</w:t>
            </w:r>
          </w:p>
        </w:tc>
        <w:tc>
          <w:tcPr>
            <w:tcW w:w="276" w:type="dxa"/>
          </w:tcPr>
          <w:p>
            <w:pPr>
              <w:pStyle w:val="TableParagraph"/>
              <w:rPr>
                <w:rFonts w:ascii="Times New Roman"/>
                <w:sz w:val="18"/>
              </w:rPr>
            </w:pPr>
          </w:p>
        </w:tc>
        <w:tc>
          <w:tcPr>
            <w:tcW w:w="859" w:type="dxa"/>
          </w:tcPr>
          <w:p>
            <w:pPr>
              <w:pStyle w:val="TableParagraph"/>
              <w:spacing w:before="29"/>
              <w:ind w:right="104"/>
              <w:jc w:val="right"/>
              <w:rPr>
                <w:sz w:val="19"/>
              </w:rPr>
            </w:pPr>
            <w:r>
              <w:rPr>
                <w:spacing w:val="-2"/>
                <w:sz w:val="19"/>
              </w:rPr>
              <w:t>3,790</w:t>
            </w:r>
          </w:p>
        </w:tc>
        <w:tc>
          <w:tcPr>
            <w:tcW w:w="276" w:type="dxa"/>
          </w:tcPr>
          <w:p>
            <w:pPr>
              <w:pStyle w:val="TableParagraph"/>
              <w:rPr>
                <w:rFonts w:ascii="Times New Roman"/>
                <w:sz w:val="18"/>
              </w:rPr>
            </w:pPr>
          </w:p>
        </w:tc>
        <w:tc>
          <w:tcPr>
            <w:tcW w:w="1133" w:type="dxa"/>
          </w:tcPr>
          <w:p>
            <w:pPr>
              <w:pStyle w:val="TableParagraph"/>
              <w:spacing w:before="29"/>
              <w:ind w:right="104"/>
              <w:jc w:val="right"/>
              <w:rPr>
                <w:sz w:val="19"/>
              </w:rPr>
            </w:pPr>
            <w:r>
              <w:rPr>
                <w:spacing w:val="-2"/>
                <w:sz w:val="19"/>
              </w:rPr>
              <w:t>3,790</w:t>
            </w:r>
          </w:p>
        </w:tc>
      </w:tr>
      <w:tr>
        <w:trPr>
          <w:trHeight w:val="284" w:hRule="atLeast"/>
        </w:trPr>
        <w:tc>
          <w:tcPr>
            <w:tcW w:w="4065" w:type="dxa"/>
          </w:tcPr>
          <w:p>
            <w:pPr>
              <w:pStyle w:val="TableParagraph"/>
              <w:spacing w:before="30"/>
              <w:ind w:left="50"/>
              <w:rPr>
                <w:sz w:val="19"/>
              </w:rPr>
            </w:pPr>
            <w:r>
              <w:rPr>
                <w:sz w:val="19"/>
              </w:rPr>
              <w:t>Other</w:t>
            </w:r>
            <w:r>
              <w:rPr>
                <w:spacing w:val="-8"/>
                <w:sz w:val="19"/>
              </w:rPr>
              <w:t> </w:t>
            </w:r>
            <w:r>
              <w:rPr>
                <w:spacing w:val="-2"/>
                <w:sz w:val="19"/>
              </w:rPr>
              <w:t>income</w:t>
            </w:r>
          </w:p>
        </w:tc>
        <w:tc>
          <w:tcPr>
            <w:tcW w:w="825" w:type="dxa"/>
          </w:tcPr>
          <w:p>
            <w:pPr>
              <w:pStyle w:val="TableParagraph"/>
              <w:spacing w:before="30"/>
              <w:ind w:right="90"/>
              <w:jc w:val="right"/>
              <w:rPr>
                <w:sz w:val="19"/>
              </w:rPr>
            </w:pPr>
            <w:r>
              <w:rPr>
                <w:spacing w:val="-10"/>
                <w:sz w:val="19"/>
              </w:rPr>
              <w:t>5</w:t>
            </w:r>
          </w:p>
        </w:tc>
        <w:tc>
          <w:tcPr>
            <w:tcW w:w="864" w:type="dxa"/>
          </w:tcPr>
          <w:p>
            <w:pPr>
              <w:pStyle w:val="TableParagraph"/>
              <w:spacing w:before="30"/>
              <w:ind w:right="107"/>
              <w:jc w:val="right"/>
              <w:rPr>
                <w:sz w:val="19"/>
              </w:rPr>
            </w:pPr>
            <w:r>
              <w:rPr>
                <w:spacing w:val="-5"/>
                <w:sz w:val="19"/>
              </w:rPr>
              <w:t>617</w:t>
            </w:r>
          </w:p>
        </w:tc>
        <w:tc>
          <w:tcPr>
            <w:tcW w:w="276" w:type="dxa"/>
          </w:tcPr>
          <w:p>
            <w:pPr>
              <w:pStyle w:val="TableParagraph"/>
              <w:rPr>
                <w:rFonts w:ascii="Times New Roman"/>
                <w:sz w:val="18"/>
              </w:rPr>
            </w:pPr>
          </w:p>
        </w:tc>
        <w:tc>
          <w:tcPr>
            <w:tcW w:w="998" w:type="dxa"/>
          </w:tcPr>
          <w:p>
            <w:pPr>
              <w:pStyle w:val="TableParagraph"/>
              <w:spacing w:before="30"/>
              <w:ind w:right="104"/>
              <w:jc w:val="right"/>
              <w:rPr>
                <w:sz w:val="19"/>
              </w:rPr>
            </w:pPr>
            <w:r>
              <w:rPr>
                <w:spacing w:val="-5"/>
                <w:sz w:val="19"/>
              </w:rPr>
              <w:t>407</w:t>
            </w:r>
          </w:p>
        </w:tc>
        <w:tc>
          <w:tcPr>
            <w:tcW w:w="276" w:type="dxa"/>
          </w:tcPr>
          <w:p>
            <w:pPr>
              <w:pStyle w:val="TableParagraph"/>
              <w:rPr>
                <w:rFonts w:ascii="Times New Roman"/>
                <w:sz w:val="18"/>
              </w:rPr>
            </w:pPr>
          </w:p>
        </w:tc>
        <w:tc>
          <w:tcPr>
            <w:tcW w:w="859" w:type="dxa"/>
          </w:tcPr>
          <w:p>
            <w:pPr>
              <w:pStyle w:val="TableParagraph"/>
              <w:spacing w:before="30"/>
              <w:ind w:right="104"/>
              <w:jc w:val="right"/>
              <w:rPr>
                <w:sz w:val="19"/>
              </w:rPr>
            </w:pPr>
            <w:r>
              <w:rPr>
                <w:spacing w:val="-2"/>
                <w:sz w:val="19"/>
              </w:rPr>
              <w:t>1,406</w:t>
            </w:r>
          </w:p>
        </w:tc>
        <w:tc>
          <w:tcPr>
            <w:tcW w:w="276" w:type="dxa"/>
          </w:tcPr>
          <w:p>
            <w:pPr>
              <w:pStyle w:val="TableParagraph"/>
              <w:rPr>
                <w:rFonts w:ascii="Times New Roman"/>
                <w:sz w:val="18"/>
              </w:rPr>
            </w:pPr>
          </w:p>
        </w:tc>
        <w:tc>
          <w:tcPr>
            <w:tcW w:w="1133" w:type="dxa"/>
          </w:tcPr>
          <w:p>
            <w:pPr>
              <w:pStyle w:val="TableParagraph"/>
              <w:spacing w:before="30"/>
              <w:ind w:right="104"/>
              <w:jc w:val="right"/>
              <w:rPr>
                <w:sz w:val="19"/>
              </w:rPr>
            </w:pPr>
            <w:r>
              <w:rPr>
                <w:spacing w:val="-2"/>
                <w:sz w:val="19"/>
              </w:rPr>
              <w:t>1,180</w:t>
            </w:r>
          </w:p>
        </w:tc>
      </w:tr>
      <w:tr>
        <w:trPr>
          <w:trHeight w:val="312" w:hRule="atLeast"/>
        </w:trPr>
        <w:tc>
          <w:tcPr>
            <w:tcW w:w="4065" w:type="dxa"/>
          </w:tcPr>
          <w:p>
            <w:pPr>
              <w:pStyle w:val="TableParagraph"/>
              <w:spacing w:before="29"/>
              <w:ind w:left="50"/>
              <w:rPr>
                <w:sz w:val="19"/>
              </w:rPr>
            </w:pPr>
            <w:r>
              <w:rPr>
                <w:sz w:val="19"/>
              </w:rPr>
              <w:t>Investment</w:t>
            </w:r>
            <w:r>
              <w:rPr>
                <w:spacing w:val="-8"/>
                <w:sz w:val="19"/>
              </w:rPr>
              <w:t> </w:t>
            </w:r>
            <w:r>
              <w:rPr>
                <w:spacing w:val="-2"/>
                <w:sz w:val="19"/>
              </w:rPr>
              <w:t>income</w:t>
            </w:r>
          </w:p>
        </w:tc>
        <w:tc>
          <w:tcPr>
            <w:tcW w:w="825" w:type="dxa"/>
          </w:tcPr>
          <w:p>
            <w:pPr>
              <w:pStyle w:val="TableParagraph"/>
              <w:spacing w:before="29"/>
              <w:ind w:right="90"/>
              <w:jc w:val="right"/>
              <w:rPr>
                <w:sz w:val="19"/>
              </w:rPr>
            </w:pPr>
            <w:r>
              <w:rPr>
                <w:spacing w:val="-10"/>
                <w:sz w:val="19"/>
              </w:rPr>
              <w:t>6</w:t>
            </w:r>
          </w:p>
        </w:tc>
        <w:tc>
          <w:tcPr>
            <w:tcW w:w="864" w:type="dxa"/>
            <w:tcBorders>
              <w:bottom w:val="single" w:sz="4" w:space="0" w:color="000000"/>
            </w:tcBorders>
          </w:tcPr>
          <w:p>
            <w:pPr>
              <w:pStyle w:val="TableParagraph"/>
              <w:spacing w:before="29"/>
              <w:ind w:right="107"/>
              <w:jc w:val="right"/>
              <w:rPr>
                <w:sz w:val="19"/>
              </w:rPr>
            </w:pPr>
            <w:r>
              <w:rPr>
                <w:spacing w:val="-5"/>
                <w:sz w:val="19"/>
              </w:rPr>
              <w:t>313</w:t>
            </w:r>
          </w:p>
        </w:tc>
        <w:tc>
          <w:tcPr>
            <w:tcW w:w="276" w:type="dxa"/>
          </w:tcPr>
          <w:p>
            <w:pPr>
              <w:pStyle w:val="TableParagraph"/>
              <w:rPr>
                <w:rFonts w:ascii="Times New Roman"/>
                <w:sz w:val="18"/>
              </w:rPr>
            </w:pPr>
          </w:p>
        </w:tc>
        <w:tc>
          <w:tcPr>
            <w:tcW w:w="998" w:type="dxa"/>
            <w:tcBorders>
              <w:bottom w:val="single" w:sz="4" w:space="0" w:color="000000"/>
            </w:tcBorders>
          </w:tcPr>
          <w:p>
            <w:pPr>
              <w:pStyle w:val="TableParagraph"/>
              <w:spacing w:before="29"/>
              <w:ind w:right="104"/>
              <w:jc w:val="right"/>
              <w:rPr>
                <w:sz w:val="19"/>
              </w:rPr>
            </w:pPr>
            <w:r>
              <w:rPr>
                <w:spacing w:val="-5"/>
                <w:sz w:val="19"/>
              </w:rPr>
              <w:t>390</w:t>
            </w:r>
          </w:p>
        </w:tc>
        <w:tc>
          <w:tcPr>
            <w:tcW w:w="276" w:type="dxa"/>
          </w:tcPr>
          <w:p>
            <w:pPr>
              <w:pStyle w:val="TableParagraph"/>
              <w:rPr>
                <w:rFonts w:ascii="Times New Roman"/>
                <w:sz w:val="18"/>
              </w:rPr>
            </w:pPr>
          </w:p>
        </w:tc>
        <w:tc>
          <w:tcPr>
            <w:tcW w:w="859" w:type="dxa"/>
            <w:tcBorders>
              <w:bottom w:val="single" w:sz="4" w:space="0" w:color="000000"/>
            </w:tcBorders>
          </w:tcPr>
          <w:p>
            <w:pPr>
              <w:pStyle w:val="TableParagraph"/>
              <w:spacing w:before="29"/>
              <w:ind w:right="103"/>
              <w:jc w:val="right"/>
              <w:rPr>
                <w:sz w:val="19"/>
              </w:rPr>
            </w:pPr>
            <w:r>
              <w:rPr>
                <w:spacing w:val="-10"/>
                <w:sz w:val="19"/>
              </w:rPr>
              <w:t>-</w:t>
            </w:r>
          </w:p>
        </w:tc>
        <w:tc>
          <w:tcPr>
            <w:tcW w:w="276" w:type="dxa"/>
          </w:tcPr>
          <w:p>
            <w:pPr>
              <w:pStyle w:val="TableParagraph"/>
              <w:rPr>
                <w:rFonts w:ascii="Times New Roman"/>
                <w:sz w:val="18"/>
              </w:rPr>
            </w:pPr>
          </w:p>
        </w:tc>
        <w:tc>
          <w:tcPr>
            <w:tcW w:w="1133" w:type="dxa"/>
            <w:tcBorders>
              <w:bottom w:val="single" w:sz="4" w:space="0" w:color="000000"/>
            </w:tcBorders>
          </w:tcPr>
          <w:p>
            <w:pPr>
              <w:pStyle w:val="TableParagraph"/>
              <w:spacing w:before="29"/>
              <w:ind w:right="104"/>
              <w:jc w:val="right"/>
              <w:rPr>
                <w:sz w:val="19"/>
              </w:rPr>
            </w:pPr>
            <w:r>
              <w:rPr>
                <w:spacing w:val="-5"/>
                <w:sz w:val="19"/>
              </w:rPr>
              <w:t>29</w:t>
            </w:r>
          </w:p>
        </w:tc>
      </w:tr>
      <w:tr>
        <w:trPr>
          <w:trHeight w:val="275" w:hRule="atLeast"/>
        </w:trPr>
        <w:tc>
          <w:tcPr>
            <w:tcW w:w="4065" w:type="dxa"/>
          </w:tcPr>
          <w:p>
            <w:pPr>
              <w:pStyle w:val="TableParagraph"/>
              <w:spacing w:line="218" w:lineRule="exact"/>
              <w:ind w:left="50"/>
              <w:rPr>
                <w:b/>
                <w:sz w:val="19"/>
              </w:rPr>
            </w:pPr>
            <w:r>
              <w:rPr>
                <w:b/>
                <w:sz w:val="19"/>
              </w:rPr>
              <w:t>Total</w:t>
            </w:r>
            <w:r>
              <w:rPr>
                <w:b/>
                <w:spacing w:val="-6"/>
                <w:sz w:val="19"/>
              </w:rPr>
              <w:t> </w:t>
            </w:r>
            <w:r>
              <w:rPr>
                <w:b/>
                <w:spacing w:val="-2"/>
                <w:sz w:val="19"/>
              </w:rPr>
              <w:t>income</w:t>
            </w:r>
          </w:p>
        </w:tc>
        <w:tc>
          <w:tcPr>
            <w:tcW w:w="825" w:type="dxa"/>
          </w:tcPr>
          <w:p>
            <w:pPr>
              <w:pStyle w:val="TableParagraph"/>
              <w:rPr>
                <w:rFonts w:ascii="Times New Roman"/>
                <w:sz w:val="18"/>
              </w:rPr>
            </w:pPr>
          </w:p>
        </w:tc>
        <w:tc>
          <w:tcPr>
            <w:tcW w:w="864" w:type="dxa"/>
            <w:tcBorders>
              <w:top w:val="single" w:sz="4" w:space="0" w:color="000000"/>
              <w:bottom w:val="single" w:sz="4" w:space="0" w:color="000000"/>
            </w:tcBorders>
          </w:tcPr>
          <w:p>
            <w:pPr>
              <w:pStyle w:val="TableParagraph"/>
              <w:spacing w:line="218" w:lineRule="exact"/>
              <w:ind w:left="173"/>
              <w:rPr>
                <w:sz w:val="19"/>
              </w:rPr>
            </w:pPr>
            <w:r>
              <w:rPr>
                <w:spacing w:val="-2"/>
                <w:sz w:val="19"/>
              </w:rPr>
              <w:t>30,855</w:t>
            </w:r>
          </w:p>
        </w:tc>
        <w:tc>
          <w:tcPr>
            <w:tcW w:w="276" w:type="dxa"/>
          </w:tcPr>
          <w:p>
            <w:pPr>
              <w:pStyle w:val="TableParagraph"/>
              <w:rPr>
                <w:rFonts w:ascii="Times New Roman"/>
                <w:sz w:val="18"/>
              </w:rPr>
            </w:pPr>
          </w:p>
        </w:tc>
        <w:tc>
          <w:tcPr>
            <w:tcW w:w="998" w:type="dxa"/>
            <w:tcBorders>
              <w:top w:val="single" w:sz="4" w:space="0" w:color="000000"/>
              <w:bottom w:val="single" w:sz="4" w:space="0" w:color="000000"/>
            </w:tcBorders>
          </w:tcPr>
          <w:p>
            <w:pPr>
              <w:pStyle w:val="TableParagraph"/>
              <w:spacing w:line="218" w:lineRule="exact"/>
              <w:ind w:left="310"/>
              <w:rPr>
                <w:sz w:val="19"/>
              </w:rPr>
            </w:pPr>
            <w:r>
              <w:rPr>
                <w:spacing w:val="-2"/>
                <w:sz w:val="19"/>
              </w:rPr>
              <w:t>30,722</w:t>
            </w:r>
          </w:p>
        </w:tc>
        <w:tc>
          <w:tcPr>
            <w:tcW w:w="276" w:type="dxa"/>
          </w:tcPr>
          <w:p>
            <w:pPr>
              <w:pStyle w:val="TableParagraph"/>
              <w:rPr>
                <w:rFonts w:ascii="Times New Roman"/>
                <w:sz w:val="18"/>
              </w:rPr>
            </w:pPr>
          </w:p>
        </w:tc>
        <w:tc>
          <w:tcPr>
            <w:tcW w:w="859" w:type="dxa"/>
            <w:tcBorders>
              <w:top w:val="single" w:sz="4" w:space="0" w:color="000000"/>
              <w:bottom w:val="single" w:sz="4" w:space="0" w:color="000000"/>
            </w:tcBorders>
          </w:tcPr>
          <w:p>
            <w:pPr>
              <w:pStyle w:val="TableParagraph"/>
              <w:spacing w:line="218" w:lineRule="exact"/>
              <w:ind w:right="104"/>
              <w:jc w:val="right"/>
              <w:rPr>
                <w:sz w:val="19"/>
              </w:rPr>
            </w:pPr>
            <w:r>
              <w:rPr>
                <w:spacing w:val="-2"/>
                <w:sz w:val="19"/>
              </w:rPr>
              <w:t>30,507</w:t>
            </w:r>
          </w:p>
        </w:tc>
        <w:tc>
          <w:tcPr>
            <w:tcW w:w="276" w:type="dxa"/>
          </w:tcPr>
          <w:p>
            <w:pPr>
              <w:pStyle w:val="TableParagraph"/>
              <w:rPr>
                <w:rFonts w:ascii="Times New Roman"/>
                <w:sz w:val="18"/>
              </w:rPr>
            </w:pPr>
          </w:p>
        </w:tc>
        <w:tc>
          <w:tcPr>
            <w:tcW w:w="1133" w:type="dxa"/>
            <w:tcBorders>
              <w:top w:val="single" w:sz="4" w:space="0" w:color="000000"/>
              <w:bottom w:val="single" w:sz="4" w:space="0" w:color="000000"/>
            </w:tcBorders>
          </w:tcPr>
          <w:p>
            <w:pPr>
              <w:pStyle w:val="TableParagraph"/>
              <w:spacing w:line="218" w:lineRule="exact"/>
              <w:ind w:right="104"/>
              <w:jc w:val="right"/>
              <w:rPr>
                <w:sz w:val="19"/>
              </w:rPr>
            </w:pPr>
            <w:r>
              <w:rPr>
                <w:spacing w:val="-2"/>
                <w:sz w:val="19"/>
              </w:rPr>
              <w:t>30,310</w:t>
            </w:r>
          </w:p>
        </w:tc>
      </w:tr>
      <w:tr>
        <w:trPr>
          <w:trHeight w:val="526" w:hRule="atLeast"/>
        </w:trPr>
        <w:tc>
          <w:tcPr>
            <w:tcW w:w="4065" w:type="dxa"/>
          </w:tcPr>
          <w:p>
            <w:pPr>
              <w:pStyle w:val="TableParagraph"/>
              <w:spacing w:before="54"/>
              <w:rPr>
                <w:b/>
                <w:sz w:val="19"/>
              </w:rPr>
            </w:pPr>
          </w:p>
          <w:p>
            <w:pPr>
              <w:pStyle w:val="TableParagraph"/>
              <w:ind w:left="50"/>
              <w:rPr>
                <w:b/>
                <w:sz w:val="19"/>
              </w:rPr>
            </w:pPr>
            <w:r>
              <w:rPr>
                <w:b/>
                <w:spacing w:val="-2"/>
                <w:sz w:val="19"/>
              </w:rPr>
              <w:t>Expenditure</w:t>
            </w:r>
          </w:p>
        </w:tc>
        <w:tc>
          <w:tcPr>
            <w:tcW w:w="825" w:type="dxa"/>
          </w:tcPr>
          <w:p>
            <w:pPr>
              <w:pStyle w:val="TableParagraph"/>
              <w:rPr>
                <w:rFonts w:ascii="Times New Roman"/>
                <w:sz w:val="18"/>
              </w:rPr>
            </w:pPr>
          </w:p>
        </w:tc>
        <w:tc>
          <w:tcPr>
            <w:tcW w:w="864" w:type="dxa"/>
            <w:tcBorders>
              <w:top w:val="single" w:sz="4" w:space="0" w:color="000000"/>
            </w:tcBorders>
          </w:tcPr>
          <w:p>
            <w:pPr>
              <w:pStyle w:val="TableParagraph"/>
              <w:rPr>
                <w:rFonts w:ascii="Times New Roman"/>
                <w:sz w:val="18"/>
              </w:rPr>
            </w:pPr>
          </w:p>
        </w:tc>
        <w:tc>
          <w:tcPr>
            <w:tcW w:w="276" w:type="dxa"/>
          </w:tcPr>
          <w:p>
            <w:pPr>
              <w:pStyle w:val="TableParagraph"/>
              <w:rPr>
                <w:rFonts w:ascii="Times New Roman"/>
                <w:sz w:val="18"/>
              </w:rPr>
            </w:pPr>
          </w:p>
        </w:tc>
        <w:tc>
          <w:tcPr>
            <w:tcW w:w="998" w:type="dxa"/>
            <w:tcBorders>
              <w:top w:val="single" w:sz="4" w:space="0" w:color="000000"/>
            </w:tcBorders>
          </w:tcPr>
          <w:p>
            <w:pPr>
              <w:pStyle w:val="TableParagraph"/>
              <w:rPr>
                <w:rFonts w:ascii="Times New Roman"/>
                <w:sz w:val="18"/>
              </w:rPr>
            </w:pPr>
          </w:p>
        </w:tc>
        <w:tc>
          <w:tcPr>
            <w:tcW w:w="276" w:type="dxa"/>
          </w:tcPr>
          <w:p>
            <w:pPr>
              <w:pStyle w:val="TableParagraph"/>
              <w:rPr>
                <w:rFonts w:ascii="Times New Roman"/>
                <w:sz w:val="18"/>
              </w:rPr>
            </w:pPr>
          </w:p>
        </w:tc>
        <w:tc>
          <w:tcPr>
            <w:tcW w:w="859" w:type="dxa"/>
            <w:tcBorders>
              <w:top w:val="single" w:sz="4" w:space="0" w:color="000000"/>
            </w:tcBorders>
          </w:tcPr>
          <w:p>
            <w:pPr>
              <w:pStyle w:val="TableParagraph"/>
              <w:rPr>
                <w:rFonts w:ascii="Times New Roman"/>
                <w:sz w:val="18"/>
              </w:rPr>
            </w:pPr>
          </w:p>
        </w:tc>
        <w:tc>
          <w:tcPr>
            <w:tcW w:w="276" w:type="dxa"/>
          </w:tcPr>
          <w:p>
            <w:pPr>
              <w:pStyle w:val="TableParagraph"/>
              <w:rPr>
                <w:rFonts w:ascii="Times New Roman"/>
                <w:sz w:val="18"/>
              </w:rPr>
            </w:pPr>
          </w:p>
        </w:tc>
        <w:tc>
          <w:tcPr>
            <w:tcW w:w="1133" w:type="dxa"/>
            <w:tcBorders>
              <w:top w:val="single" w:sz="4" w:space="0" w:color="000000"/>
            </w:tcBorders>
          </w:tcPr>
          <w:p>
            <w:pPr>
              <w:pStyle w:val="TableParagraph"/>
              <w:rPr>
                <w:rFonts w:ascii="Times New Roman"/>
                <w:sz w:val="18"/>
              </w:rPr>
            </w:pPr>
          </w:p>
        </w:tc>
      </w:tr>
      <w:tr>
        <w:trPr>
          <w:trHeight w:val="284" w:hRule="atLeast"/>
        </w:trPr>
        <w:tc>
          <w:tcPr>
            <w:tcW w:w="4065" w:type="dxa"/>
          </w:tcPr>
          <w:p>
            <w:pPr>
              <w:pStyle w:val="TableParagraph"/>
              <w:spacing w:before="29"/>
              <w:ind w:left="50"/>
              <w:rPr>
                <w:sz w:val="19"/>
              </w:rPr>
            </w:pPr>
            <w:r>
              <w:rPr>
                <w:sz w:val="19"/>
              </w:rPr>
              <w:t>Staff</w:t>
            </w:r>
            <w:r>
              <w:rPr>
                <w:spacing w:val="-4"/>
                <w:sz w:val="19"/>
              </w:rPr>
              <w:t> </w:t>
            </w:r>
            <w:r>
              <w:rPr>
                <w:spacing w:val="-2"/>
                <w:sz w:val="19"/>
              </w:rPr>
              <w:t>costs</w:t>
            </w:r>
          </w:p>
        </w:tc>
        <w:tc>
          <w:tcPr>
            <w:tcW w:w="825" w:type="dxa"/>
          </w:tcPr>
          <w:p>
            <w:pPr>
              <w:pStyle w:val="TableParagraph"/>
              <w:spacing w:before="29"/>
              <w:ind w:right="90"/>
              <w:jc w:val="right"/>
              <w:rPr>
                <w:sz w:val="19"/>
              </w:rPr>
            </w:pPr>
            <w:r>
              <w:rPr>
                <w:spacing w:val="-10"/>
                <w:sz w:val="19"/>
              </w:rPr>
              <w:t>7</w:t>
            </w:r>
          </w:p>
        </w:tc>
        <w:tc>
          <w:tcPr>
            <w:tcW w:w="864" w:type="dxa"/>
          </w:tcPr>
          <w:p>
            <w:pPr>
              <w:pStyle w:val="TableParagraph"/>
              <w:spacing w:before="29"/>
              <w:ind w:left="173"/>
              <w:rPr>
                <w:sz w:val="19"/>
              </w:rPr>
            </w:pPr>
            <w:r>
              <w:rPr>
                <w:spacing w:val="-2"/>
                <w:sz w:val="19"/>
              </w:rPr>
              <w:t>16,236</w:t>
            </w:r>
          </w:p>
        </w:tc>
        <w:tc>
          <w:tcPr>
            <w:tcW w:w="276" w:type="dxa"/>
          </w:tcPr>
          <w:p>
            <w:pPr>
              <w:pStyle w:val="TableParagraph"/>
              <w:rPr>
                <w:rFonts w:ascii="Times New Roman"/>
                <w:sz w:val="18"/>
              </w:rPr>
            </w:pPr>
          </w:p>
        </w:tc>
        <w:tc>
          <w:tcPr>
            <w:tcW w:w="998" w:type="dxa"/>
          </w:tcPr>
          <w:p>
            <w:pPr>
              <w:pStyle w:val="TableParagraph"/>
              <w:spacing w:before="29"/>
              <w:ind w:left="310"/>
              <w:rPr>
                <w:sz w:val="19"/>
              </w:rPr>
            </w:pPr>
            <w:r>
              <w:rPr>
                <w:spacing w:val="-2"/>
                <w:sz w:val="19"/>
              </w:rPr>
              <w:t>16,221</w:t>
            </w:r>
          </w:p>
        </w:tc>
        <w:tc>
          <w:tcPr>
            <w:tcW w:w="276" w:type="dxa"/>
          </w:tcPr>
          <w:p>
            <w:pPr>
              <w:pStyle w:val="TableParagraph"/>
              <w:rPr>
                <w:rFonts w:ascii="Times New Roman"/>
                <w:sz w:val="18"/>
              </w:rPr>
            </w:pPr>
          </w:p>
        </w:tc>
        <w:tc>
          <w:tcPr>
            <w:tcW w:w="859" w:type="dxa"/>
          </w:tcPr>
          <w:p>
            <w:pPr>
              <w:pStyle w:val="TableParagraph"/>
              <w:spacing w:before="29"/>
              <w:ind w:right="104"/>
              <w:jc w:val="right"/>
              <w:rPr>
                <w:sz w:val="19"/>
              </w:rPr>
            </w:pPr>
            <w:r>
              <w:rPr>
                <w:spacing w:val="-2"/>
                <w:sz w:val="19"/>
              </w:rPr>
              <w:t>17,889</w:t>
            </w:r>
          </w:p>
        </w:tc>
        <w:tc>
          <w:tcPr>
            <w:tcW w:w="276" w:type="dxa"/>
          </w:tcPr>
          <w:p>
            <w:pPr>
              <w:pStyle w:val="TableParagraph"/>
              <w:rPr>
                <w:rFonts w:ascii="Times New Roman"/>
                <w:sz w:val="18"/>
              </w:rPr>
            </w:pPr>
          </w:p>
        </w:tc>
        <w:tc>
          <w:tcPr>
            <w:tcW w:w="1133" w:type="dxa"/>
          </w:tcPr>
          <w:p>
            <w:pPr>
              <w:pStyle w:val="TableParagraph"/>
              <w:spacing w:before="29"/>
              <w:ind w:right="104"/>
              <w:jc w:val="right"/>
              <w:rPr>
                <w:sz w:val="19"/>
              </w:rPr>
            </w:pPr>
            <w:r>
              <w:rPr>
                <w:spacing w:val="-2"/>
                <w:sz w:val="19"/>
              </w:rPr>
              <w:t>17,907</w:t>
            </w:r>
          </w:p>
        </w:tc>
      </w:tr>
      <w:tr>
        <w:trPr>
          <w:trHeight w:val="284" w:hRule="atLeast"/>
        </w:trPr>
        <w:tc>
          <w:tcPr>
            <w:tcW w:w="4065" w:type="dxa"/>
          </w:tcPr>
          <w:p>
            <w:pPr>
              <w:pStyle w:val="TableParagraph"/>
              <w:spacing w:before="30"/>
              <w:ind w:left="50"/>
              <w:rPr>
                <w:sz w:val="19"/>
              </w:rPr>
            </w:pPr>
            <w:r>
              <w:rPr>
                <w:sz w:val="19"/>
              </w:rPr>
              <w:t>Restructuring</w:t>
            </w:r>
            <w:r>
              <w:rPr>
                <w:spacing w:val="-12"/>
                <w:sz w:val="19"/>
              </w:rPr>
              <w:t> </w:t>
            </w:r>
            <w:r>
              <w:rPr>
                <w:spacing w:val="-2"/>
                <w:sz w:val="19"/>
              </w:rPr>
              <w:t>costs</w:t>
            </w:r>
          </w:p>
        </w:tc>
        <w:tc>
          <w:tcPr>
            <w:tcW w:w="825" w:type="dxa"/>
          </w:tcPr>
          <w:p>
            <w:pPr>
              <w:pStyle w:val="TableParagraph"/>
              <w:spacing w:before="30"/>
              <w:ind w:right="90"/>
              <w:jc w:val="right"/>
              <w:rPr>
                <w:sz w:val="19"/>
              </w:rPr>
            </w:pPr>
            <w:r>
              <w:rPr>
                <w:spacing w:val="-10"/>
                <w:sz w:val="19"/>
              </w:rPr>
              <w:t>7</w:t>
            </w:r>
          </w:p>
        </w:tc>
        <w:tc>
          <w:tcPr>
            <w:tcW w:w="864" w:type="dxa"/>
          </w:tcPr>
          <w:p>
            <w:pPr>
              <w:pStyle w:val="TableParagraph"/>
              <w:spacing w:before="30"/>
              <w:ind w:right="107"/>
              <w:jc w:val="right"/>
              <w:rPr>
                <w:sz w:val="19"/>
              </w:rPr>
            </w:pPr>
            <w:r>
              <w:rPr>
                <w:spacing w:val="-5"/>
                <w:sz w:val="19"/>
              </w:rPr>
              <w:t>74</w:t>
            </w:r>
          </w:p>
        </w:tc>
        <w:tc>
          <w:tcPr>
            <w:tcW w:w="276" w:type="dxa"/>
          </w:tcPr>
          <w:p>
            <w:pPr>
              <w:pStyle w:val="TableParagraph"/>
              <w:rPr>
                <w:rFonts w:ascii="Times New Roman"/>
                <w:sz w:val="18"/>
              </w:rPr>
            </w:pPr>
          </w:p>
        </w:tc>
        <w:tc>
          <w:tcPr>
            <w:tcW w:w="998" w:type="dxa"/>
          </w:tcPr>
          <w:p>
            <w:pPr>
              <w:pStyle w:val="TableParagraph"/>
              <w:spacing w:before="30"/>
              <w:ind w:right="104"/>
              <w:jc w:val="right"/>
              <w:rPr>
                <w:sz w:val="19"/>
              </w:rPr>
            </w:pPr>
            <w:r>
              <w:rPr>
                <w:spacing w:val="-5"/>
                <w:sz w:val="19"/>
              </w:rPr>
              <w:t>74</w:t>
            </w:r>
          </w:p>
        </w:tc>
        <w:tc>
          <w:tcPr>
            <w:tcW w:w="276" w:type="dxa"/>
          </w:tcPr>
          <w:p>
            <w:pPr>
              <w:pStyle w:val="TableParagraph"/>
              <w:rPr>
                <w:rFonts w:ascii="Times New Roman"/>
                <w:sz w:val="18"/>
              </w:rPr>
            </w:pPr>
          </w:p>
        </w:tc>
        <w:tc>
          <w:tcPr>
            <w:tcW w:w="859" w:type="dxa"/>
          </w:tcPr>
          <w:p>
            <w:pPr>
              <w:pStyle w:val="TableParagraph"/>
              <w:spacing w:before="30"/>
              <w:ind w:right="104"/>
              <w:jc w:val="right"/>
              <w:rPr>
                <w:sz w:val="19"/>
              </w:rPr>
            </w:pPr>
            <w:r>
              <w:rPr>
                <w:spacing w:val="-5"/>
                <w:sz w:val="19"/>
              </w:rPr>
              <w:t>213</w:t>
            </w:r>
          </w:p>
        </w:tc>
        <w:tc>
          <w:tcPr>
            <w:tcW w:w="276" w:type="dxa"/>
          </w:tcPr>
          <w:p>
            <w:pPr>
              <w:pStyle w:val="TableParagraph"/>
              <w:rPr>
                <w:rFonts w:ascii="Times New Roman"/>
                <w:sz w:val="18"/>
              </w:rPr>
            </w:pPr>
          </w:p>
        </w:tc>
        <w:tc>
          <w:tcPr>
            <w:tcW w:w="1133" w:type="dxa"/>
          </w:tcPr>
          <w:p>
            <w:pPr>
              <w:pStyle w:val="TableParagraph"/>
              <w:spacing w:before="30"/>
              <w:ind w:right="104"/>
              <w:jc w:val="right"/>
              <w:rPr>
                <w:sz w:val="19"/>
              </w:rPr>
            </w:pPr>
            <w:r>
              <w:rPr>
                <w:spacing w:val="-5"/>
                <w:sz w:val="19"/>
              </w:rPr>
              <w:t>213</w:t>
            </w:r>
          </w:p>
        </w:tc>
      </w:tr>
      <w:tr>
        <w:trPr>
          <w:trHeight w:val="283" w:hRule="atLeast"/>
        </w:trPr>
        <w:tc>
          <w:tcPr>
            <w:tcW w:w="4065" w:type="dxa"/>
          </w:tcPr>
          <w:p>
            <w:pPr>
              <w:pStyle w:val="TableParagraph"/>
              <w:spacing w:before="29"/>
              <w:ind w:left="50"/>
              <w:rPr>
                <w:sz w:val="19"/>
              </w:rPr>
            </w:pPr>
            <w:r>
              <w:rPr>
                <w:sz w:val="19"/>
              </w:rPr>
              <w:t>Other</w:t>
            </w:r>
            <w:r>
              <w:rPr>
                <w:spacing w:val="-8"/>
                <w:sz w:val="19"/>
              </w:rPr>
              <w:t> </w:t>
            </w:r>
            <w:r>
              <w:rPr>
                <w:sz w:val="19"/>
              </w:rPr>
              <w:t>operating</w:t>
            </w:r>
            <w:r>
              <w:rPr>
                <w:spacing w:val="-6"/>
                <w:sz w:val="19"/>
              </w:rPr>
              <w:t> </w:t>
            </w:r>
            <w:r>
              <w:rPr>
                <w:spacing w:val="-2"/>
                <w:sz w:val="19"/>
              </w:rPr>
              <w:t>expenses</w:t>
            </w:r>
          </w:p>
        </w:tc>
        <w:tc>
          <w:tcPr>
            <w:tcW w:w="825" w:type="dxa"/>
          </w:tcPr>
          <w:p>
            <w:pPr>
              <w:pStyle w:val="TableParagraph"/>
              <w:spacing w:before="29"/>
              <w:ind w:right="90"/>
              <w:jc w:val="right"/>
              <w:rPr>
                <w:sz w:val="19"/>
              </w:rPr>
            </w:pPr>
            <w:r>
              <w:rPr>
                <w:spacing w:val="-10"/>
                <w:sz w:val="19"/>
              </w:rPr>
              <w:t>8</w:t>
            </w:r>
          </w:p>
        </w:tc>
        <w:tc>
          <w:tcPr>
            <w:tcW w:w="864" w:type="dxa"/>
          </w:tcPr>
          <w:p>
            <w:pPr>
              <w:pStyle w:val="TableParagraph"/>
              <w:spacing w:before="29"/>
              <w:ind w:left="173"/>
              <w:rPr>
                <w:sz w:val="19"/>
              </w:rPr>
            </w:pPr>
            <w:r>
              <w:rPr>
                <w:spacing w:val="-2"/>
                <w:sz w:val="19"/>
              </w:rPr>
              <w:t>10,895</w:t>
            </w:r>
          </w:p>
        </w:tc>
        <w:tc>
          <w:tcPr>
            <w:tcW w:w="276" w:type="dxa"/>
          </w:tcPr>
          <w:p>
            <w:pPr>
              <w:pStyle w:val="TableParagraph"/>
              <w:rPr>
                <w:rFonts w:ascii="Times New Roman"/>
                <w:sz w:val="18"/>
              </w:rPr>
            </w:pPr>
          </w:p>
        </w:tc>
        <w:tc>
          <w:tcPr>
            <w:tcW w:w="998" w:type="dxa"/>
          </w:tcPr>
          <w:p>
            <w:pPr>
              <w:pStyle w:val="TableParagraph"/>
              <w:spacing w:before="29"/>
              <w:ind w:left="310"/>
              <w:rPr>
                <w:sz w:val="19"/>
              </w:rPr>
            </w:pPr>
            <w:r>
              <w:rPr>
                <w:spacing w:val="-2"/>
                <w:sz w:val="19"/>
              </w:rPr>
              <w:t>10,749</w:t>
            </w:r>
          </w:p>
        </w:tc>
        <w:tc>
          <w:tcPr>
            <w:tcW w:w="276" w:type="dxa"/>
          </w:tcPr>
          <w:p>
            <w:pPr>
              <w:pStyle w:val="TableParagraph"/>
              <w:rPr>
                <w:rFonts w:ascii="Times New Roman"/>
                <w:sz w:val="18"/>
              </w:rPr>
            </w:pPr>
          </w:p>
        </w:tc>
        <w:tc>
          <w:tcPr>
            <w:tcW w:w="859" w:type="dxa"/>
          </w:tcPr>
          <w:p>
            <w:pPr>
              <w:pStyle w:val="TableParagraph"/>
              <w:spacing w:before="29"/>
              <w:ind w:right="104"/>
              <w:jc w:val="right"/>
              <w:rPr>
                <w:sz w:val="19"/>
              </w:rPr>
            </w:pPr>
            <w:r>
              <w:rPr>
                <w:spacing w:val="-2"/>
                <w:sz w:val="19"/>
              </w:rPr>
              <w:t>11,515</w:t>
            </w:r>
          </w:p>
        </w:tc>
        <w:tc>
          <w:tcPr>
            <w:tcW w:w="276" w:type="dxa"/>
          </w:tcPr>
          <w:p>
            <w:pPr>
              <w:pStyle w:val="TableParagraph"/>
              <w:rPr>
                <w:rFonts w:ascii="Times New Roman"/>
                <w:sz w:val="18"/>
              </w:rPr>
            </w:pPr>
          </w:p>
        </w:tc>
        <w:tc>
          <w:tcPr>
            <w:tcW w:w="1133" w:type="dxa"/>
          </w:tcPr>
          <w:p>
            <w:pPr>
              <w:pStyle w:val="TableParagraph"/>
              <w:spacing w:before="29"/>
              <w:ind w:right="104"/>
              <w:jc w:val="right"/>
              <w:rPr>
                <w:sz w:val="19"/>
              </w:rPr>
            </w:pPr>
            <w:r>
              <w:rPr>
                <w:spacing w:val="-2"/>
                <w:sz w:val="19"/>
              </w:rPr>
              <w:t>11,348</w:t>
            </w:r>
          </w:p>
        </w:tc>
      </w:tr>
      <w:tr>
        <w:trPr>
          <w:trHeight w:val="284" w:hRule="atLeast"/>
        </w:trPr>
        <w:tc>
          <w:tcPr>
            <w:tcW w:w="4065" w:type="dxa"/>
          </w:tcPr>
          <w:p>
            <w:pPr>
              <w:pStyle w:val="TableParagraph"/>
              <w:spacing w:before="29"/>
              <w:ind w:left="50"/>
              <w:rPr>
                <w:sz w:val="19"/>
              </w:rPr>
            </w:pPr>
            <w:r>
              <w:rPr>
                <w:spacing w:val="-2"/>
                <w:sz w:val="19"/>
              </w:rPr>
              <w:t>Depreciation</w:t>
            </w:r>
          </w:p>
        </w:tc>
        <w:tc>
          <w:tcPr>
            <w:tcW w:w="825" w:type="dxa"/>
          </w:tcPr>
          <w:p>
            <w:pPr>
              <w:pStyle w:val="TableParagraph"/>
              <w:spacing w:before="29"/>
              <w:ind w:right="90"/>
              <w:jc w:val="right"/>
              <w:rPr>
                <w:sz w:val="19"/>
              </w:rPr>
            </w:pPr>
            <w:r>
              <w:rPr>
                <w:spacing w:val="-5"/>
                <w:sz w:val="19"/>
              </w:rPr>
              <w:t>11</w:t>
            </w:r>
          </w:p>
        </w:tc>
        <w:tc>
          <w:tcPr>
            <w:tcW w:w="864" w:type="dxa"/>
          </w:tcPr>
          <w:p>
            <w:pPr>
              <w:pStyle w:val="TableParagraph"/>
              <w:spacing w:before="29"/>
              <w:ind w:left="279"/>
              <w:rPr>
                <w:sz w:val="19"/>
              </w:rPr>
            </w:pPr>
            <w:r>
              <w:rPr>
                <w:spacing w:val="-2"/>
                <w:sz w:val="19"/>
              </w:rPr>
              <w:t>2,675</w:t>
            </w:r>
          </w:p>
        </w:tc>
        <w:tc>
          <w:tcPr>
            <w:tcW w:w="276" w:type="dxa"/>
          </w:tcPr>
          <w:p>
            <w:pPr>
              <w:pStyle w:val="TableParagraph"/>
              <w:rPr>
                <w:rFonts w:ascii="Times New Roman"/>
                <w:sz w:val="18"/>
              </w:rPr>
            </w:pPr>
          </w:p>
        </w:tc>
        <w:tc>
          <w:tcPr>
            <w:tcW w:w="998" w:type="dxa"/>
          </w:tcPr>
          <w:p>
            <w:pPr>
              <w:pStyle w:val="TableParagraph"/>
              <w:spacing w:before="29"/>
              <w:ind w:right="104"/>
              <w:jc w:val="right"/>
              <w:rPr>
                <w:sz w:val="19"/>
              </w:rPr>
            </w:pPr>
            <w:r>
              <w:rPr>
                <w:spacing w:val="-2"/>
                <w:sz w:val="19"/>
              </w:rPr>
              <w:t>2,675</w:t>
            </w:r>
          </w:p>
        </w:tc>
        <w:tc>
          <w:tcPr>
            <w:tcW w:w="276" w:type="dxa"/>
          </w:tcPr>
          <w:p>
            <w:pPr>
              <w:pStyle w:val="TableParagraph"/>
              <w:rPr>
                <w:rFonts w:ascii="Times New Roman"/>
                <w:sz w:val="18"/>
              </w:rPr>
            </w:pPr>
          </w:p>
        </w:tc>
        <w:tc>
          <w:tcPr>
            <w:tcW w:w="859" w:type="dxa"/>
          </w:tcPr>
          <w:p>
            <w:pPr>
              <w:pStyle w:val="TableParagraph"/>
              <w:spacing w:before="29"/>
              <w:ind w:right="104"/>
              <w:jc w:val="right"/>
              <w:rPr>
                <w:sz w:val="19"/>
              </w:rPr>
            </w:pPr>
            <w:r>
              <w:rPr>
                <w:spacing w:val="-2"/>
                <w:sz w:val="19"/>
              </w:rPr>
              <w:t>2,790</w:t>
            </w:r>
          </w:p>
        </w:tc>
        <w:tc>
          <w:tcPr>
            <w:tcW w:w="276" w:type="dxa"/>
          </w:tcPr>
          <w:p>
            <w:pPr>
              <w:pStyle w:val="TableParagraph"/>
              <w:rPr>
                <w:rFonts w:ascii="Times New Roman"/>
                <w:sz w:val="18"/>
              </w:rPr>
            </w:pPr>
          </w:p>
        </w:tc>
        <w:tc>
          <w:tcPr>
            <w:tcW w:w="1133" w:type="dxa"/>
          </w:tcPr>
          <w:p>
            <w:pPr>
              <w:pStyle w:val="TableParagraph"/>
              <w:spacing w:before="29"/>
              <w:ind w:right="104"/>
              <w:jc w:val="right"/>
              <w:rPr>
                <w:sz w:val="19"/>
              </w:rPr>
            </w:pPr>
            <w:r>
              <w:rPr>
                <w:spacing w:val="-2"/>
                <w:sz w:val="19"/>
              </w:rPr>
              <w:t>2,790</w:t>
            </w:r>
          </w:p>
        </w:tc>
      </w:tr>
      <w:tr>
        <w:trPr>
          <w:trHeight w:val="313" w:hRule="atLeast"/>
        </w:trPr>
        <w:tc>
          <w:tcPr>
            <w:tcW w:w="4065" w:type="dxa"/>
          </w:tcPr>
          <w:p>
            <w:pPr>
              <w:pStyle w:val="TableParagraph"/>
              <w:spacing w:before="30"/>
              <w:ind w:left="50"/>
              <w:rPr>
                <w:sz w:val="19"/>
              </w:rPr>
            </w:pPr>
            <w:r>
              <w:rPr>
                <w:sz w:val="19"/>
              </w:rPr>
              <w:t>Interest</w:t>
            </w:r>
            <w:r>
              <w:rPr>
                <w:spacing w:val="-5"/>
                <w:sz w:val="19"/>
              </w:rPr>
              <w:t> </w:t>
            </w:r>
            <w:r>
              <w:rPr>
                <w:sz w:val="19"/>
              </w:rPr>
              <w:t>and</w:t>
            </w:r>
            <w:r>
              <w:rPr>
                <w:spacing w:val="-5"/>
                <w:sz w:val="19"/>
              </w:rPr>
              <w:t> </w:t>
            </w:r>
            <w:r>
              <w:rPr>
                <w:sz w:val="19"/>
              </w:rPr>
              <w:t>other</w:t>
            </w:r>
            <w:r>
              <w:rPr>
                <w:spacing w:val="-5"/>
                <w:sz w:val="19"/>
              </w:rPr>
              <w:t> </w:t>
            </w:r>
            <w:r>
              <w:rPr>
                <w:sz w:val="19"/>
              </w:rPr>
              <w:t>finance</w:t>
            </w:r>
            <w:r>
              <w:rPr>
                <w:spacing w:val="-4"/>
                <w:sz w:val="19"/>
              </w:rPr>
              <w:t> costs</w:t>
            </w:r>
          </w:p>
        </w:tc>
        <w:tc>
          <w:tcPr>
            <w:tcW w:w="825" w:type="dxa"/>
          </w:tcPr>
          <w:p>
            <w:pPr>
              <w:pStyle w:val="TableParagraph"/>
              <w:spacing w:before="30"/>
              <w:ind w:right="90"/>
              <w:jc w:val="right"/>
              <w:rPr>
                <w:sz w:val="19"/>
              </w:rPr>
            </w:pPr>
            <w:r>
              <w:rPr>
                <w:spacing w:val="-10"/>
                <w:sz w:val="19"/>
              </w:rPr>
              <w:t>9</w:t>
            </w:r>
          </w:p>
        </w:tc>
        <w:tc>
          <w:tcPr>
            <w:tcW w:w="864" w:type="dxa"/>
            <w:tcBorders>
              <w:bottom w:val="single" w:sz="4" w:space="0" w:color="000000"/>
            </w:tcBorders>
          </w:tcPr>
          <w:p>
            <w:pPr>
              <w:pStyle w:val="TableParagraph"/>
              <w:spacing w:before="30"/>
              <w:ind w:right="106"/>
              <w:jc w:val="right"/>
              <w:rPr>
                <w:sz w:val="19"/>
              </w:rPr>
            </w:pPr>
            <w:r>
              <w:rPr>
                <w:spacing w:val="-10"/>
                <w:sz w:val="19"/>
              </w:rPr>
              <w:t>-</w:t>
            </w:r>
          </w:p>
        </w:tc>
        <w:tc>
          <w:tcPr>
            <w:tcW w:w="276" w:type="dxa"/>
          </w:tcPr>
          <w:p>
            <w:pPr>
              <w:pStyle w:val="TableParagraph"/>
              <w:rPr>
                <w:rFonts w:ascii="Times New Roman"/>
                <w:sz w:val="18"/>
              </w:rPr>
            </w:pPr>
          </w:p>
        </w:tc>
        <w:tc>
          <w:tcPr>
            <w:tcW w:w="998" w:type="dxa"/>
            <w:tcBorders>
              <w:bottom w:val="single" w:sz="4" w:space="0" w:color="000000"/>
            </w:tcBorders>
          </w:tcPr>
          <w:p>
            <w:pPr>
              <w:pStyle w:val="TableParagraph"/>
              <w:spacing w:before="30"/>
              <w:ind w:right="104"/>
              <w:jc w:val="right"/>
              <w:rPr>
                <w:sz w:val="19"/>
              </w:rPr>
            </w:pPr>
            <w:r>
              <w:rPr>
                <w:spacing w:val="-10"/>
                <w:sz w:val="19"/>
              </w:rPr>
              <w:t>-</w:t>
            </w:r>
          </w:p>
        </w:tc>
        <w:tc>
          <w:tcPr>
            <w:tcW w:w="276" w:type="dxa"/>
          </w:tcPr>
          <w:p>
            <w:pPr>
              <w:pStyle w:val="TableParagraph"/>
              <w:rPr>
                <w:rFonts w:ascii="Times New Roman"/>
                <w:sz w:val="18"/>
              </w:rPr>
            </w:pPr>
          </w:p>
        </w:tc>
        <w:tc>
          <w:tcPr>
            <w:tcW w:w="859" w:type="dxa"/>
            <w:tcBorders>
              <w:bottom w:val="single" w:sz="4" w:space="0" w:color="000000"/>
            </w:tcBorders>
          </w:tcPr>
          <w:p>
            <w:pPr>
              <w:pStyle w:val="TableParagraph"/>
              <w:spacing w:before="30"/>
              <w:ind w:right="104"/>
              <w:jc w:val="right"/>
              <w:rPr>
                <w:sz w:val="19"/>
              </w:rPr>
            </w:pPr>
            <w:r>
              <w:rPr>
                <w:spacing w:val="-5"/>
                <w:sz w:val="19"/>
              </w:rPr>
              <w:t>398</w:t>
            </w:r>
          </w:p>
        </w:tc>
        <w:tc>
          <w:tcPr>
            <w:tcW w:w="276" w:type="dxa"/>
          </w:tcPr>
          <w:p>
            <w:pPr>
              <w:pStyle w:val="TableParagraph"/>
              <w:rPr>
                <w:rFonts w:ascii="Times New Roman"/>
                <w:sz w:val="18"/>
              </w:rPr>
            </w:pPr>
          </w:p>
        </w:tc>
        <w:tc>
          <w:tcPr>
            <w:tcW w:w="1133" w:type="dxa"/>
            <w:tcBorders>
              <w:bottom w:val="single" w:sz="4" w:space="0" w:color="000000"/>
            </w:tcBorders>
          </w:tcPr>
          <w:p>
            <w:pPr>
              <w:pStyle w:val="TableParagraph"/>
              <w:spacing w:before="30"/>
              <w:ind w:right="104"/>
              <w:jc w:val="right"/>
              <w:rPr>
                <w:sz w:val="19"/>
              </w:rPr>
            </w:pPr>
            <w:r>
              <w:rPr>
                <w:spacing w:val="-5"/>
                <w:sz w:val="19"/>
              </w:rPr>
              <w:t>398</w:t>
            </w:r>
          </w:p>
        </w:tc>
      </w:tr>
      <w:tr>
        <w:trPr>
          <w:trHeight w:val="273" w:hRule="atLeast"/>
        </w:trPr>
        <w:tc>
          <w:tcPr>
            <w:tcW w:w="4065" w:type="dxa"/>
          </w:tcPr>
          <w:p>
            <w:pPr>
              <w:pStyle w:val="TableParagraph"/>
              <w:spacing w:line="218" w:lineRule="exact"/>
              <w:ind w:left="50"/>
              <w:rPr>
                <w:b/>
                <w:sz w:val="19"/>
              </w:rPr>
            </w:pPr>
            <w:r>
              <w:rPr>
                <w:b/>
                <w:sz w:val="19"/>
              </w:rPr>
              <w:t>Total</w:t>
            </w:r>
            <w:r>
              <w:rPr>
                <w:b/>
                <w:spacing w:val="-6"/>
                <w:sz w:val="19"/>
              </w:rPr>
              <w:t> </w:t>
            </w:r>
            <w:r>
              <w:rPr>
                <w:b/>
                <w:spacing w:val="-2"/>
                <w:sz w:val="19"/>
              </w:rPr>
              <w:t>expenditure</w:t>
            </w:r>
          </w:p>
        </w:tc>
        <w:tc>
          <w:tcPr>
            <w:tcW w:w="825" w:type="dxa"/>
          </w:tcPr>
          <w:p>
            <w:pPr>
              <w:pStyle w:val="TableParagraph"/>
              <w:rPr>
                <w:rFonts w:ascii="Times New Roman"/>
                <w:sz w:val="18"/>
              </w:rPr>
            </w:pPr>
          </w:p>
        </w:tc>
        <w:tc>
          <w:tcPr>
            <w:tcW w:w="864" w:type="dxa"/>
            <w:tcBorders>
              <w:top w:val="single" w:sz="4" w:space="0" w:color="000000"/>
              <w:bottom w:val="single" w:sz="4" w:space="0" w:color="000000"/>
            </w:tcBorders>
          </w:tcPr>
          <w:p>
            <w:pPr>
              <w:pStyle w:val="TableParagraph"/>
              <w:spacing w:line="218" w:lineRule="exact"/>
              <w:ind w:left="173"/>
              <w:rPr>
                <w:sz w:val="19"/>
              </w:rPr>
            </w:pPr>
            <w:r>
              <w:rPr>
                <w:spacing w:val="-2"/>
                <w:sz w:val="19"/>
              </w:rPr>
              <w:t>29,880</w:t>
            </w:r>
          </w:p>
        </w:tc>
        <w:tc>
          <w:tcPr>
            <w:tcW w:w="276" w:type="dxa"/>
          </w:tcPr>
          <w:p>
            <w:pPr>
              <w:pStyle w:val="TableParagraph"/>
              <w:rPr>
                <w:rFonts w:ascii="Times New Roman"/>
                <w:sz w:val="18"/>
              </w:rPr>
            </w:pPr>
          </w:p>
        </w:tc>
        <w:tc>
          <w:tcPr>
            <w:tcW w:w="998" w:type="dxa"/>
            <w:tcBorders>
              <w:top w:val="single" w:sz="4" w:space="0" w:color="000000"/>
              <w:bottom w:val="single" w:sz="4" w:space="0" w:color="000000"/>
            </w:tcBorders>
          </w:tcPr>
          <w:p>
            <w:pPr>
              <w:pStyle w:val="TableParagraph"/>
              <w:spacing w:line="218" w:lineRule="exact"/>
              <w:ind w:left="310"/>
              <w:rPr>
                <w:sz w:val="19"/>
              </w:rPr>
            </w:pPr>
            <w:r>
              <w:rPr>
                <w:spacing w:val="-2"/>
                <w:sz w:val="19"/>
              </w:rPr>
              <w:t>29,719</w:t>
            </w:r>
          </w:p>
        </w:tc>
        <w:tc>
          <w:tcPr>
            <w:tcW w:w="276" w:type="dxa"/>
          </w:tcPr>
          <w:p>
            <w:pPr>
              <w:pStyle w:val="TableParagraph"/>
              <w:rPr>
                <w:rFonts w:ascii="Times New Roman"/>
                <w:sz w:val="18"/>
              </w:rPr>
            </w:pPr>
          </w:p>
        </w:tc>
        <w:tc>
          <w:tcPr>
            <w:tcW w:w="859" w:type="dxa"/>
            <w:tcBorders>
              <w:top w:val="single" w:sz="4" w:space="0" w:color="000000"/>
              <w:bottom w:val="single" w:sz="4" w:space="0" w:color="000000"/>
            </w:tcBorders>
          </w:tcPr>
          <w:p>
            <w:pPr>
              <w:pStyle w:val="TableParagraph"/>
              <w:spacing w:line="218" w:lineRule="exact"/>
              <w:ind w:right="104"/>
              <w:jc w:val="right"/>
              <w:rPr>
                <w:sz w:val="19"/>
              </w:rPr>
            </w:pPr>
            <w:r>
              <w:rPr>
                <w:spacing w:val="-2"/>
                <w:sz w:val="19"/>
              </w:rPr>
              <w:t>32,805</w:t>
            </w:r>
          </w:p>
        </w:tc>
        <w:tc>
          <w:tcPr>
            <w:tcW w:w="276" w:type="dxa"/>
          </w:tcPr>
          <w:p>
            <w:pPr>
              <w:pStyle w:val="TableParagraph"/>
              <w:rPr>
                <w:rFonts w:ascii="Times New Roman"/>
                <w:sz w:val="18"/>
              </w:rPr>
            </w:pPr>
          </w:p>
        </w:tc>
        <w:tc>
          <w:tcPr>
            <w:tcW w:w="1133" w:type="dxa"/>
            <w:tcBorders>
              <w:top w:val="single" w:sz="4" w:space="0" w:color="000000"/>
              <w:bottom w:val="single" w:sz="4" w:space="0" w:color="000000"/>
            </w:tcBorders>
          </w:tcPr>
          <w:p>
            <w:pPr>
              <w:pStyle w:val="TableParagraph"/>
              <w:spacing w:line="218" w:lineRule="exact"/>
              <w:ind w:right="104"/>
              <w:jc w:val="right"/>
              <w:rPr>
                <w:sz w:val="19"/>
              </w:rPr>
            </w:pPr>
            <w:r>
              <w:rPr>
                <w:spacing w:val="-2"/>
                <w:sz w:val="19"/>
              </w:rPr>
              <w:t>32,656</w:t>
            </w:r>
          </w:p>
        </w:tc>
      </w:tr>
      <w:tr>
        <w:trPr>
          <w:trHeight w:val="456" w:hRule="atLeast"/>
        </w:trPr>
        <w:tc>
          <w:tcPr>
            <w:tcW w:w="4065" w:type="dxa"/>
          </w:tcPr>
          <w:p>
            <w:pPr>
              <w:pStyle w:val="TableParagraph"/>
              <w:spacing w:before="198"/>
              <w:ind w:left="50"/>
              <w:rPr>
                <w:b/>
                <w:sz w:val="19"/>
              </w:rPr>
            </w:pPr>
            <w:r>
              <w:rPr>
                <w:b/>
                <w:sz w:val="19"/>
              </w:rPr>
              <w:t>Surplus/(deficit)</w:t>
            </w:r>
            <w:r>
              <w:rPr>
                <w:b/>
                <w:spacing w:val="-14"/>
                <w:sz w:val="19"/>
              </w:rPr>
              <w:t> </w:t>
            </w:r>
            <w:r>
              <w:rPr>
                <w:b/>
                <w:sz w:val="19"/>
              </w:rPr>
              <w:t>before</w:t>
            </w:r>
            <w:r>
              <w:rPr>
                <w:b/>
                <w:spacing w:val="-12"/>
                <w:sz w:val="19"/>
              </w:rPr>
              <w:t> </w:t>
            </w:r>
            <w:r>
              <w:rPr>
                <w:b/>
                <w:spacing w:val="-5"/>
                <w:sz w:val="19"/>
              </w:rPr>
              <w:t>tax</w:t>
            </w:r>
          </w:p>
        </w:tc>
        <w:tc>
          <w:tcPr>
            <w:tcW w:w="825" w:type="dxa"/>
          </w:tcPr>
          <w:p>
            <w:pPr>
              <w:pStyle w:val="TableParagraph"/>
              <w:rPr>
                <w:rFonts w:ascii="Times New Roman"/>
                <w:sz w:val="18"/>
              </w:rPr>
            </w:pPr>
          </w:p>
        </w:tc>
        <w:tc>
          <w:tcPr>
            <w:tcW w:w="864" w:type="dxa"/>
            <w:tcBorders>
              <w:top w:val="single" w:sz="4" w:space="0" w:color="000000"/>
            </w:tcBorders>
          </w:tcPr>
          <w:p>
            <w:pPr>
              <w:pStyle w:val="TableParagraph"/>
              <w:spacing w:before="198"/>
              <w:ind w:right="107"/>
              <w:jc w:val="right"/>
              <w:rPr>
                <w:sz w:val="19"/>
              </w:rPr>
            </w:pPr>
            <w:r>
              <w:rPr>
                <w:spacing w:val="-5"/>
                <w:sz w:val="19"/>
              </w:rPr>
              <w:t>975</w:t>
            </w:r>
          </w:p>
        </w:tc>
        <w:tc>
          <w:tcPr>
            <w:tcW w:w="276" w:type="dxa"/>
          </w:tcPr>
          <w:p>
            <w:pPr>
              <w:pStyle w:val="TableParagraph"/>
              <w:rPr>
                <w:rFonts w:ascii="Times New Roman"/>
                <w:sz w:val="18"/>
              </w:rPr>
            </w:pPr>
          </w:p>
        </w:tc>
        <w:tc>
          <w:tcPr>
            <w:tcW w:w="998" w:type="dxa"/>
            <w:tcBorders>
              <w:top w:val="single" w:sz="4" w:space="0" w:color="000000"/>
            </w:tcBorders>
          </w:tcPr>
          <w:p>
            <w:pPr>
              <w:pStyle w:val="TableParagraph"/>
              <w:spacing w:before="198"/>
              <w:ind w:right="104"/>
              <w:jc w:val="right"/>
              <w:rPr>
                <w:sz w:val="19"/>
              </w:rPr>
            </w:pPr>
            <w:r>
              <w:rPr>
                <w:spacing w:val="-2"/>
                <w:sz w:val="19"/>
              </w:rPr>
              <w:t>1,003</w:t>
            </w:r>
          </w:p>
        </w:tc>
        <w:tc>
          <w:tcPr>
            <w:tcW w:w="276" w:type="dxa"/>
          </w:tcPr>
          <w:p>
            <w:pPr>
              <w:pStyle w:val="TableParagraph"/>
              <w:rPr>
                <w:rFonts w:ascii="Times New Roman"/>
                <w:sz w:val="18"/>
              </w:rPr>
            </w:pPr>
          </w:p>
        </w:tc>
        <w:tc>
          <w:tcPr>
            <w:tcW w:w="859" w:type="dxa"/>
            <w:tcBorders>
              <w:top w:val="single" w:sz="4" w:space="0" w:color="000000"/>
            </w:tcBorders>
          </w:tcPr>
          <w:p>
            <w:pPr>
              <w:pStyle w:val="TableParagraph"/>
              <w:spacing w:before="198"/>
              <w:ind w:right="50"/>
              <w:jc w:val="right"/>
              <w:rPr>
                <w:sz w:val="19"/>
              </w:rPr>
            </w:pPr>
            <w:r>
              <w:rPr>
                <w:spacing w:val="-2"/>
                <w:sz w:val="19"/>
              </w:rPr>
              <w:t>(2,298)</w:t>
            </w:r>
          </w:p>
        </w:tc>
        <w:tc>
          <w:tcPr>
            <w:tcW w:w="276" w:type="dxa"/>
          </w:tcPr>
          <w:p>
            <w:pPr>
              <w:pStyle w:val="TableParagraph"/>
              <w:rPr>
                <w:rFonts w:ascii="Times New Roman"/>
                <w:sz w:val="18"/>
              </w:rPr>
            </w:pPr>
          </w:p>
        </w:tc>
        <w:tc>
          <w:tcPr>
            <w:tcW w:w="1133" w:type="dxa"/>
            <w:tcBorders>
              <w:top w:val="single" w:sz="4" w:space="0" w:color="000000"/>
            </w:tcBorders>
          </w:tcPr>
          <w:p>
            <w:pPr>
              <w:pStyle w:val="TableParagraph"/>
              <w:spacing w:before="198"/>
              <w:ind w:right="48"/>
              <w:jc w:val="right"/>
              <w:rPr>
                <w:sz w:val="19"/>
              </w:rPr>
            </w:pPr>
            <w:r>
              <w:rPr>
                <w:spacing w:val="-2"/>
                <w:sz w:val="19"/>
              </w:rPr>
              <w:t>(2,346)</w:t>
            </w:r>
          </w:p>
        </w:tc>
      </w:tr>
      <w:tr>
        <w:trPr>
          <w:trHeight w:val="318" w:hRule="atLeast"/>
        </w:trPr>
        <w:tc>
          <w:tcPr>
            <w:tcW w:w="4065" w:type="dxa"/>
          </w:tcPr>
          <w:p>
            <w:pPr>
              <w:pStyle w:val="TableParagraph"/>
              <w:spacing w:before="32"/>
              <w:ind w:left="50"/>
              <w:rPr>
                <w:sz w:val="19"/>
              </w:rPr>
            </w:pPr>
            <w:r>
              <w:rPr>
                <w:spacing w:val="-2"/>
                <w:sz w:val="19"/>
              </w:rPr>
              <w:t>Taxation</w:t>
            </w:r>
          </w:p>
        </w:tc>
        <w:tc>
          <w:tcPr>
            <w:tcW w:w="825" w:type="dxa"/>
          </w:tcPr>
          <w:p>
            <w:pPr>
              <w:pStyle w:val="TableParagraph"/>
              <w:spacing w:before="32"/>
              <w:ind w:right="90"/>
              <w:jc w:val="right"/>
              <w:rPr>
                <w:sz w:val="19"/>
              </w:rPr>
            </w:pPr>
            <w:r>
              <w:rPr>
                <w:spacing w:val="-5"/>
                <w:sz w:val="19"/>
              </w:rPr>
              <w:t>10</w:t>
            </w:r>
          </w:p>
        </w:tc>
        <w:tc>
          <w:tcPr>
            <w:tcW w:w="864" w:type="dxa"/>
            <w:tcBorders>
              <w:bottom w:val="single" w:sz="4" w:space="0" w:color="000000"/>
            </w:tcBorders>
          </w:tcPr>
          <w:p>
            <w:pPr>
              <w:pStyle w:val="TableParagraph"/>
              <w:spacing w:before="32"/>
              <w:ind w:right="106"/>
              <w:jc w:val="right"/>
              <w:rPr>
                <w:sz w:val="19"/>
              </w:rPr>
            </w:pPr>
            <w:r>
              <w:rPr>
                <w:spacing w:val="-10"/>
                <w:sz w:val="19"/>
              </w:rPr>
              <w:t>-</w:t>
            </w:r>
          </w:p>
        </w:tc>
        <w:tc>
          <w:tcPr>
            <w:tcW w:w="276" w:type="dxa"/>
          </w:tcPr>
          <w:p>
            <w:pPr>
              <w:pStyle w:val="TableParagraph"/>
              <w:rPr>
                <w:rFonts w:ascii="Times New Roman"/>
                <w:sz w:val="18"/>
              </w:rPr>
            </w:pPr>
          </w:p>
        </w:tc>
        <w:tc>
          <w:tcPr>
            <w:tcW w:w="998" w:type="dxa"/>
            <w:tcBorders>
              <w:bottom w:val="single" w:sz="4" w:space="0" w:color="000000"/>
            </w:tcBorders>
          </w:tcPr>
          <w:p>
            <w:pPr>
              <w:pStyle w:val="TableParagraph"/>
              <w:spacing w:before="32"/>
              <w:ind w:right="104"/>
              <w:jc w:val="right"/>
              <w:rPr>
                <w:sz w:val="19"/>
              </w:rPr>
            </w:pPr>
            <w:r>
              <w:rPr>
                <w:spacing w:val="-10"/>
                <w:sz w:val="19"/>
              </w:rPr>
              <w:t>-</w:t>
            </w:r>
          </w:p>
        </w:tc>
        <w:tc>
          <w:tcPr>
            <w:tcW w:w="276" w:type="dxa"/>
          </w:tcPr>
          <w:p>
            <w:pPr>
              <w:pStyle w:val="TableParagraph"/>
              <w:rPr>
                <w:rFonts w:ascii="Times New Roman"/>
                <w:sz w:val="18"/>
              </w:rPr>
            </w:pPr>
          </w:p>
        </w:tc>
        <w:tc>
          <w:tcPr>
            <w:tcW w:w="859" w:type="dxa"/>
            <w:tcBorders>
              <w:bottom w:val="single" w:sz="4" w:space="0" w:color="000000"/>
            </w:tcBorders>
          </w:tcPr>
          <w:p>
            <w:pPr>
              <w:pStyle w:val="TableParagraph"/>
              <w:spacing w:before="32"/>
              <w:ind w:right="103"/>
              <w:jc w:val="right"/>
              <w:rPr>
                <w:sz w:val="19"/>
              </w:rPr>
            </w:pPr>
            <w:r>
              <w:rPr>
                <w:spacing w:val="-10"/>
                <w:sz w:val="19"/>
              </w:rPr>
              <w:t>-</w:t>
            </w:r>
          </w:p>
        </w:tc>
        <w:tc>
          <w:tcPr>
            <w:tcW w:w="276" w:type="dxa"/>
          </w:tcPr>
          <w:p>
            <w:pPr>
              <w:pStyle w:val="TableParagraph"/>
              <w:rPr>
                <w:rFonts w:ascii="Times New Roman"/>
                <w:sz w:val="18"/>
              </w:rPr>
            </w:pPr>
          </w:p>
        </w:tc>
        <w:tc>
          <w:tcPr>
            <w:tcW w:w="1133" w:type="dxa"/>
            <w:tcBorders>
              <w:bottom w:val="single" w:sz="4" w:space="0" w:color="000000"/>
            </w:tcBorders>
          </w:tcPr>
          <w:p>
            <w:pPr>
              <w:pStyle w:val="TableParagraph"/>
              <w:spacing w:before="32"/>
              <w:ind w:right="104"/>
              <w:jc w:val="right"/>
              <w:rPr>
                <w:sz w:val="19"/>
              </w:rPr>
            </w:pPr>
            <w:r>
              <w:rPr>
                <w:spacing w:val="-10"/>
                <w:sz w:val="19"/>
              </w:rPr>
              <w:t>-</w:t>
            </w:r>
          </w:p>
        </w:tc>
      </w:tr>
      <w:tr>
        <w:trPr>
          <w:trHeight w:val="618" w:hRule="atLeast"/>
        </w:trPr>
        <w:tc>
          <w:tcPr>
            <w:tcW w:w="4065" w:type="dxa"/>
          </w:tcPr>
          <w:p>
            <w:pPr>
              <w:pStyle w:val="TableParagraph"/>
              <w:spacing w:before="42"/>
              <w:rPr>
                <w:b/>
                <w:sz w:val="19"/>
              </w:rPr>
            </w:pPr>
          </w:p>
          <w:p>
            <w:pPr>
              <w:pStyle w:val="TableParagraph"/>
              <w:ind w:left="50"/>
              <w:rPr>
                <w:b/>
                <w:sz w:val="19"/>
              </w:rPr>
            </w:pPr>
            <w:r>
              <w:rPr>
                <w:b/>
                <w:sz w:val="19"/>
              </w:rPr>
              <w:t>Surplus/(deficit)</w:t>
            </w:r>
            <w:r>
              <w:rPr>
                <w:b/>
                <w:spacing w:val="-10"/>
                <w:sz w:val="19"/>
              </w:rPr>
              <w:t> </w:t>
            </w:r>
            <w:r>
              <w:rPr>
                <w:b/>
                <w:sz w:val="19"/>
              </w:rPr>
              <w:t>for</w:t>
            </w:r>
            <w:r>
              <w:rPr>
                <w:b/>
                <w:spacing w:val="-6"/>
                <w:sz w:val="19"/>
              </w:rPr>
              <w:t> </w:t>
            </w:r>
            <w:r>
              <w:rPr>
                <w:b/>
                <w:sz w:val="19"/>
              </w:rPr>
              <w:t>the</w:t>
            </w:r>
            <w:r>
              <w:rPr>
                <w:b/>
                <w:spacing w:val="-9"/>
                <w:sz w:val="19"/>
              </w:rPr>
              <w:t> </w:t>
            </w:r>
            <w:r>
              <w:rPr>
                <w:b/>
                <w:spacing w:val="-4"/>
                <w:sz w:val="19"/>
              </w:rPr>
              <w:t>year</w:t>
            </w:r>
          </w:p>
        </w:tc>
        <w:tc>
          <w:tcPr>
            <w:tcW w:w="825" w:type="dxa"/>
          </w:tcPr>
          <w:p>
            <w:pPr>
              <w:pStyle w:val="TableParagraph"/>
              <w:rPr>
                <w:rFonts w:ascii="Times New Roman"/>
                <w:sz w:val="18"/>
              </w:rPr>
            </w:pPr>
          </w:p>
        </w:tc>
        <w:tc>
          <w:tcPr>
            <w:tcW w:w="864" w:type="dxa"/>
            <w:tcBorders>
              <w:top w:val="single" w:sz="4" w:space="0" w:color="000000"/>
            </w:tcBorders>
          </w:tcPr>
          <w:p>
            <w:pPr>
              <w:pStyle w:val="TableParagraph"/>
              <w:spacing w:before="42"/>
              <w:rPr>
                <w:b/>
                <w:sz w:val="19"/>
              </w:rPr>
            </w:pPr>
          </w:p>
          <w:p>
            <w:pPr>
              <w:pStyle w:val="TableParagraph"/>
              <w:ind w:right="107"/>
              <w:jc w:val="right"/>
              <w:rPr>
                <w:sz w:val="19"/>
              </w:rPr>
            </w:pPr>
            <w:r>
              <w:rPr>
                <w:spacing w:val="-5"/>
                <w:sz w:val="19"/>
              </w:rPr>
              <w:t>975</w:t>
            </w:r>
          </w:p>
        </w:tc>
        <w:tc>
          <w:tcPr>
            <w:tcW w:w="276" w:type="dxa"/>
          </w:tcPr>
          <w:p>
            <w:pPr>
              <w:pStyle w:val="TableParagraph"/>
              <w:rPr>
                <w:rFonts w:ascii="Times New Roman"/>
                <w:sz w:val="18"/>
              </w:rPr>
            </w:pPr>
          </w:p>
        </w:tc>
        <w:tc>
          <w:tcPr>
            <w:tcW w:w="998" w:type="dxa"/>
            <w:tcBorders>
              <w:top w:val="single" w:sz="4" w:space="0" w:color="000000"/>
            </w:tcBorders>
          </w:tcPr>
          <w:p>
            <w:pPr>
              <w:pStyle w:val="TableParagraph"/>
              <w:spacing w:before="42"/>
              <w:rPr>
                <w:b/>
                <w:sz w:val="19"/>
              </w:rPr>
            </w:pPr>
          </w:p>
          <w:p>
            <w:pPr>
              <w:pStyle w:val="TableParagraph"/>
              <w:ind w:right="104"/>
              <w:jc w:val="right"/>
              <w:rPr>
                <w:sz w:val="19"/>
              </w:rPr>
            </w:pPr>
            <w:r>
              <w:rPr>
                <w:spacing w:val="-2"/>
                <w:sz w:val="19"/>
              </w:rPr>
              <w:t>1,003</w:t>
            </w:r>
          </w:p>
        </w:tc>
        <w:tc>
          <w:tcPr>
            <w:tcW w:w="276" w:type="dxa"/>
          </w:tcPr>
          <w:p>
            <w:pPr>
              <w:pStyle w:val="TableParagraph"/>
              <w:rPr>
                <w:rFonts w:ascii="Times New Roman"/>
                <w:sz w:val="18"/>
              </w:rPr>
            </w:pPr>
          </w:p>
        </w:tc>
        <w:tc>
          <w:tcPr>
            <w:tcW w:w="859" w:type="dxa"/>
            <w:tcBorders>
              <w:top w:val="single" w:sz="4" w:space="0" w:color="000000"/>
            </w:tcBorders>
          </w:tcPr>
          <w:p>
            <w:pPr>
              <w:pStyle w:val="TableParagraph"/>
              <w:spacing w:before="42"/>
              <w:rPr>
                <w:b/>
                <w:sz w:val="19"/>
              </w:rPr>
            </w:pPr>
          </w:p>
          <w:p>
            <w:pPr>
              <w:pStyle w:val="TableParagraph"/>
              <w:ind w:right="50"/>
              <w:jc w:val="right"/>
              <w:rPr>
                <w:sz w:val="19"/>
              </w:rPr>
            </w:pPr>
            <w:r>
              <w:rPr>
                <w:spacing w:val="-2"/>
                <w:sz w:val="19"/>
              </w:rPr>
              <w:t>(2,298)</w:t>
            </w:r>
          </w:p>
        </w:tc>
        <w:tc>
          <w:tcPr>
            <w:tcW w:w="276" w:type="dxa"/>
          </w:tcPr>
          <w:p>
            <w:pPr>
              <w:pStyle w:val="TableParagraph"/>
              <w:rPr>
                <w:rFonts w:ascii="Times New Roman"/>
                <w:sz w:val="18"/>
              </w:rPr>
            </w:pPr>
          </w:p>
        </w:tc>
        <w:tc>
          <w:tcPr>
            <w:tcW w:w="1133" w:type="dxa"/>
            <w:tcBorders>
              <w:top w:val="single" w:sz="4" w:space="0" w:color="000000"/>
            </w:tcBorders>
          </w:tcPr>
          <w:p>
            <w:pPr>
              <w:pStyle w:val="TableParagraph"/>
              <w:spacing w:before="42"/>
              <w:rPr>
                <w:b/>
                <w:sz w:val="19"/>
              </w:rPr>
            </w:pPr>
          </w:p>
          <w:p>
            <w:pPr>
              <w:pStyle w:val="TableParagraph"/>
              <w:ind w:right="48"/>
              <w:jc w:val="right"/>
              <w:rPr>
                <w:sz w:val="19"/>
              </w:rPr>
            </w:pPr>
            <w:r>
              <w:rPr>
                <w:spacing w:val="-2"/>
                <w:sz w:val="19"/>
              </w:rPr>
              <w:t>(2,346)</w:t>
            </w:r>
          </w:p>
        </w:tc>
      </w:tr>
      <w:tr>
        <w:trPr>
          <w:trHeight w:val="353" w:hRule="atLeast"/>
        </w:trPr>
        <w:tc>
          <w:tcPr>
            <w:tcW w:w="4065" w:type="dxa"/>
          </w:tcPr>
          <w:p>
            <w:pPr>
              <w:pStyle w:val="TableParagraph"/>
              <w:spacing w:line="202" w:lineRule="exact" w:before="132"/>
              <w:ind w:left="50"/>
              <w:rPr>
                <w:sz w:val="19"/>
              </w:rPr>
            </w:pPr>
            <w:r>
              <w:rPr>
                <w:sz w:val="19"/>
              </w:rPr>
              <w:t>Re-measurement</w:t>
            </w:r>
            <w:r>
              <w:rPr>
                <w:spacing w:val="-7"/>
                <w:sz w:val="19"/>
              </w:rPr>
              <w:t> </w:t>
            </w:r>
            <w:r>
              <w:rPr>
                <w:sz w:val="19"/>
              </w:rPr>
              <w:t>of</w:t>
            </w:r>
            <w:r>
              <w:rPr>
                <w:spacing w:val="-7"/>
                <w:sz w:val="19"/>
              </w:rPr>
              <w:t> </w:t>
            </w:r>
            <w:r>
              <w:rPr>
                <w:sz w:val="19"/>
              </w:rPr>
              <w:t>net</w:t>
            </w:r>
            <w:r>
              <w:rPr>
                <w:spacing w:val="-6"/>
                <w:sz w:val="19"/>
              </w:rPr>
              <w:t> </w:t>
            </w:r>
            <w:r>
              <w:rPr>
                <w:sz w:val="19"/>
              </w:rPr>
              <w:t>defined</w:t>
            </w:r>
            <w:r>
              <w:rPr>
                <w:spacing w:val="-7"/>
                <w:sz w:val="19"/>
              </w:rPr>
              <w:t> </w:t>
            </w:r>
            <w:r>
              <w:rPr>
                <w:spacing w:val="-2"/>
                <w:sz w:val="19"/>
              </w:rPr>
              <w:t>benefit</w:t>
            </w:r>
          </w:p>
        </w:tc>
        <w:tc>
          <w:tcPr>
            <w:tcW w:w="825" w:type="dxa"/>
          </w:tcPr>
          <w:p>
            <w:pPr>
              <w:pStyle w:val="TableParagraph"/>
              <w:rPr>
                <w:rFonts w:ascii="Times New Roman"/>
                <w:sz w:val="18"/>
              </w:rPr>
            </w:pPr>
          </w:p>
        </w:tc>
        <w:tc>
          <w:tcPr>
            <w:tcW w:w="864" w:type="dxa"/>
          </w:tcPr>
          <w:p>
            <w:pPr>
              <w:pStyle w:val="TableParagraph"/>
              <w:rPr>
                <w:rFonts w:ascii="Times New Roman"/>
                <w:sz w:val="18"/>
              </w:rPr>
            </w:pPr>
          </w:p>
        </w:tc>
        <w:tc>
          <w:tcPr>
            <w:tcW w:w="276" w:type="dxa"/>
          </w:tcPr>
          <w:p>
            <w:pPr>
              <w:pStyle w:val="TableParagraph"/>
              <w:rPr>
                <w:rFonts w:ascii="Times New Roman"/>
                <w:sz w:val="18"/>
              </w:rPr>
            </w:pPr>
          </w:p>
        </w:tc>
        <w:tc>
          <w:tcPr>
            <w:tcW w:w="998" w:type="dxa"/>
          </w:tcPr>
          <w:p>
            <w:pPr>
              <w:pStyle w:val="TableParagraph"/>
              <w:rPr>
                <w:rFonts w:ascii="Times New Roman"/>
                <w:sz w:val="18"/>
              </w:rPr>
            </w:pPr>
          </w:p>
        </w:tc>
        <w:tc>
          <w:tcPr>
            <w:tcW w:w="276" w:type="dxa"/>
          </w:tcPr>
          <w:p>
            <w:pPr>
              <w:pStyle w:val="TableParagraph"/>
              <w:rPr>
                <w:rFonts w:ascii="Times New Roman"/>
                <w:sz w:val="18"/>
              </w:rPr>
            </w:pPr>
          </w:p>
        </w:tc>
        <w:tc>
          <w:tcPr>
            <w:tcW w:w="859" w:type="dxa"/>
          </w:tcPr>
          <w:p>
            <w:pPr>
              <w:pStyle w:val="TableParagraph"/>
              <w:rPr>
                <w:rFonts w:ascii="Times New Roman"/>
                <w:sz w:val="18"/>
              </w:rPr>
            </w:pPr>
          </w:p>
        </w:tc>
        <w:tc>
          <w:tcPr>
            <w:tcW w:w="276" w:type="dxa"/>
          </w:tcPr>
          <w:p>
            <w:pPr>
              <w:pStyle w:val="TableParagraph"/>
              <w:rPr>
                <w:rFonts w:ascii="Times New Roman"/>
                <w:sz w:val="18"/>
              </w:rPr>
            </w:pPr>
          </w:p>
        </w:tc>
        <w:tc>
          <w:tcPr>
            <w:tcW w:w="1133" w:type="dxa"/>
          </w:tcPr>
          <w:p>
            <w:pPr>
              <w:pStyle w:val="TableParagraph"/>
              <w:rPr>
                <w:rFonts w:ascii="Times New Roman"/>
                <w:sz w:val="18"/>
              </w:rPr>
            </w:pPr>
          </w:p>
        </w:tc>
      </w:tr>
      <w:tr>
        <w:trPr>
          <w:trHeight w:val="217" w:hRule="atLeast"/>
        </w:trPr>
        <w:tc>
          <w:tcPr>
            <w:tcW w:w="4065" w:type="dxa"/>
          </w:tcPr>
          <w:p>
            <w:pPr>
              <w:pStyle w:val="TableParagraph"/>
              <w:spacing w:line="198" w:lineRule="exact"/>
              <w:ind w:left="50"/>
              <w:rPr>
                <w:sz w:val="19"/>
              </w:rPr>
            </w:pPr>
            <w:r>
              <w:rPr>
                <w:sz w:val="19"/>
              </w:rPr>
              <w:t>pension</w:t>
            </w:r>
            <w:r>
              <w:rPr>
                <w:spacing w:val="-5"/>
                <w:sz w:val="19"/>
              </w:rPr>
              <w:t> </w:t>
            </w:r>
            <w:r>
              <w:rPr>
                <w:spacing w:val="-2"/>
                <w:sz w:val="19"/>
              </w:rPr>
              <w:t>scheme</w:t>
            </w:r>
          </w:p>
        </w:tc>
        <w:tc>
          <w:tcPr>
            <w:tcW w:w="825" w:type="dxa"/>
          </w:tcPr>
          <w:p>
            <w:pPr>
              <w:pStyle w:val="TableParagraph"/>
              <w:spacing w:line="198" w:lineRule="exact"/>
              <w:ind w:right="90"/>
              <w:jc w:val="right"/>
              <w:rPr>
                <w:sz w:val="19"/>
              </w:rPr>
            </w:pPr>
            <w:r>
              <w:rPr>
                <w:spacing w:val="-5"/>
                <w:sz w:val="19"/>
              </w:rPr>
              <w:t>18</w:t>
            </w:r>
          </w:p>
        </w:tc>
        <w:tc>
          <w:tcPr>
            <w:tcW w:w="864" w:type="dxa"/>
            <w:tcBorders>
              <w:bottom w:val="single" w:sz="4" w:space="0" w:color="000000"/>
            </w:tcBorders>
          </w:tcPr>
          <w:p>
            <w:pPr>
              <w:pStyle w:val="TableParagraph"/>
              <w:spacing w:line="198" w:lineRule="exact"/>
              <w:ind w:left="209"/>
              <w:rPr>
                <w:sz w:val="19"/>
              </w:rPr>
            </w:pPr>
            <w:r>
              <w:rPr>
                <w:spacing w:val="-2"/>
                <w:sz w:val="19"/>
              </w:rPr>
              <w:t>(7,586)</w:t>
            </w:r>
          </w:p>
        </w:tc>
        <w:tc>
          <w:tcPr>
            <w:tcW w:w="276" w:type="dxa"/>
          </w:tcPr>
          <w:p>
            <w:pPr>
              <w:pStyle w:val="TableParagraph"/>
              <w:rPr>
                <w:rFonts w:ascii="Times New Roman"/>
                <w:sz w:val="14"/>
              </w:rPr>
            </w:pPr>
          </w:p>
        </w:tc>
        <w:tc>
          <w:tcPr>
            <w:tcW w:w="998" w:type="dxa"/>
            <w:tcBorders>
              <w:bottom w:val="single" w:sz="4" w:space="0" w:color="000000"/>
            </w:tcBorders>
          </w:tcPr>
          <w:p>
            <w:pPr>
              <w:pStyle w:val="TableParagraph"/>
              <w:spacing w:line="198" w:lineRule="exact"/>
              <w:ind w:right="48"/>
              <w:jc w:val="right"/>
              <w:rPr>
                <w:sz w:val="19"/>
              </w:rPr>
            </w:pPr>
            <w:r>
              <w:rPr>
                <w:spacing w:val="-2"/>
                <w:sz w:val="19"/>
              </w:rPr>
              <w:t>(7,586)</w:t>
            </w:r>
          </w:p>
        </w:tc>
        <w:tc>
          <w:tcPr>
            <w:tcW w:w="276" w:type="dxa"/>
          </w:tcPr>
          <w:p>
            <w:pPr>
              <w:pStyle w:val="TableParagraph"/>
              <w:rPr>
                <w:rFonts w:ascii="Times New Roman"/>
                <w:sz w:val="14"/>
              </w:rPr>
            </w:pPr>
          </w:p>
        </w:tc>
        <w:tc>
          <w:tcPr>
            <w:tcW w:w="859" w:type="dxa"/>
            <w:tcBorders>
              <w:bottom w:val="single" w:sz="4" w:space="0" w:color="000000"/>
            </w:tcBorders>
          </w:tcPr>
          <w:p>
            <w:pPr>
              <w:pStyle w:val="TableParagraph"/>
              <w:spacing w:line="198" w:lineRule="exact"/>
              <w:ind w:right="104"/>
              <w:jc w:val="right"/>
              <w:rPr>
                <w:sz w:val="19"/>
              </w:rPr>
            </w:pPr>
            <w:r>
              <w:rPr>
                <w:spacing w:val="-2"/>
                <w:sz w:val="19"/>
              </w:rPr>
              <w:t>32,248</w:t>
            </w:r>
          </w:p>
        </w:tc>
        <w:tc>
          <w:tcPr>
            <w:tcW w:w="276" w:type="dxa"/>
          </w:tcPr>
          <w:p>
            <w:pPr>
              <w:pStyle w:val="TableParagraph"/>
              <w:rPr>
                <w:rFonts w:ascii="Times New Roman"/>
                <w:sz w:val="14"/>
              </w:rPr>
            </w:pPr>
          </w:p>
        </w:tc>
        <w:tc>
          <w:tcPr>
            <w:tcW w:w="1133" w:type="dxa"/>
            <w:tcBorders>
              <w:bottom w:val="single" w:sz="4" w:space="0" w:color="000000"/>
            </w:tcBorders>
          </w:tcPr>
          <w:p>
            <w:pPr>
              <w:pStyle w:val="TableParagraph"/>
              <w:spacing w:line="198" w:lineRule="exact"/>
              <w:ind w:right="104"/>
              <w:jc w:val="right"/>
              <w:rPr>
                <w:sz w:val="19"/>
              </w:rPr>
            </w:pPr>
            <w:r>
              <w:rPr>
                <w:spacing w:val="-2"/>
                <w:sz w:val="19"/>
              </w:rPr>
              <w:t>32,248</w:t>
            </w:r>
          </w:p>
        </w:tc>
      </w:tr>
      <w:tr>
        <w:trPr>
          <w:trHeight w:val="594" w:hRule="atLeast"/>
        </w:trPr>
        <w:tc>
          <w:tcPr>
            <w:tcW w:w="4065" w:type="dxa"/>
          </w:tcPr>
          <w:p>
            <w:pPr>
              <w:pStyle w:val="TableParagraph"/>
              <w:spacing w:before="54"/>
              <w:rPr>
                <w:b/>
                <w:sz w:val="19"/>
              </w:rPr>
            </w:pPr>
          </w:p>
          <w:p>
            <w:pPr>
              <w:pStyle w:val="TableParagraph"/>
              <w:ind w:left="50"/>
              <w:rPr>
                <w:b/>
                <w:sz w:val="19"/>
              </w:rPr>
            </w:pPr>
            <w:r>
              <w:rPr>
                <w:b/>
                <w:sz w:val="19"/>
              </w:rPr>
              <w:t>Other</w:t>
            </w:r>
            <w:r>
              <w:rPr>
                <w:b/>
                <w:spacing w:val="-8"/>
                <w:sz w:val="19"/>
              </w:rPr>
              <w:t> </w:t>
            </w:r>
            <w:r>
              <w:rPr>
                <w:b/>
                <w:sz w:val="19"/>
              </w:rPr>
              <w:t>comprehensive</w:t>
            </w:r>
            <w:r>
              <w:rPr>
                <w:b/>
                <w:spacing w:val="-7"/>
                <w:sz w:val="19"/>
              </w:rPr>
              <w:t> </w:t>
            </w:r>
            <w:r>
              <w:rPr>
                <w:b/>
                <w:sz w:val="19"/>
              </w:rPr>
              <w:t>income</w:t>
            </w:r>
            <w:r>
              <w:rPr>
                <w:b/>
                <w:spacing w:val="-8"/>
                <w:sz w:val="19"/>
              </w:rPr>
              <w:t> </w:t>
            </w:r>
            <w:r>
              <w:rPr>
                <w:b/>
                <w:sz w:val="19"/>
              </w:rPr>
              <w:t>for</w:t>
            </w:r>
            <w:r>
              <w:rPr>
                <w:b/>
                <w:spacing w:val="-7"/>
                <w:sz w:val="19"/>
              </w:rPr>
              <w:t> </w:t>
            </w:r>
            <w:r>
              <w:rPr>
                <w:b/>
                <w:sz w:val="19"/>
              </w:rPr>
              <w:t>the</w:t>
            </w:r>
            <w:r>
              <w:rPr>
                <w:b/>
                <w:spacing w:val="-8"/>
                <w:sz w:val="19"/>
              </w:rPr>
              <w:t> </w:t>
            </w:r>
            <w:r>
              <w:rPr>
                <w:b/>
                <w:spacing w:val="-4"/>
                <w:sz w:val="19"/>
              </w:rPr>
              <w:t>year</w:t>
            </w:r>
          </w:p>
        </w:tc>
        <w:tc>
          <w:tcPr>
            <w:tcW w:w="825" w:type="dxa"/>
          </w:tcPr>
          <w:p>
            <w:pPr>
              <w:pStyle w:val="TableParagraph"/>
              <w:rPr>
                <w:rFonts w:ascii="Times New Roman"/>
                <w:sz w:val="18"/>
              </w:rPr>
            </w:pPr>
          </w:p>
        </w:tc>
        <w:tc>
          <w:tcPr>
            <w:tcW w:w="864" w:type="dxa"/>
            <w:tcBorders>
              <w:top w:val="single" w:sz="4" w:space="0" w:color="000000"/>
              <w:bottom w:val="single" w:sz="4" w:space="0" w:color="000000"/>
            </w:tcBorders>
          </w:tcPr>
          <w:p>
            <w:pPr>
              <w:pStyle w:val="TableParagraph"/>
              <w:spacing w:before="54"/>
              <w:rPr>
                <w:b/>
                <w:sz w:val="19"/>
              </w:rPr>
            </w:pPr>
          </w:p>
          <w:p>
            <w:pPr>
              <w:pStyle w:val="TableParagraph"/>
              <w:ind w:left="209"/>
              <w:rPr>
                <w:sz w:val="19"/>
              </w:rPr>
            </w:pPr>
            <w:r>
              <w:rPr>
                <w:spacing w:val="-2"/>
                <w:sz w:val="19"/>
              </w:rPr>
              <w:t>(7,586)</w:t>
            </w:r>
          </w:p>
        </w:tc>
        <w:tc>
          <w:tcPr>
            <w:tcW w:w="276" w:type="dxa"/>
          </w:tcPr>
          <w:p>
            <w:pPr>
              <w:pStyle w:val="TableParagraph"/>
              <w:rPr>
                <w:rFonts w:ascii="Times New Roman"/>
                <w:sz w:val="18"/>
              </w:rPr>
            </w:pPr>
          </w:p>
        </w:tc>
        <w:tc>
          <w:tcPr>
            <w:tcW w:w="998" w:type="dxa"/>
            <w:tcBorders>
              <w:top w:val="single" w:sz="4" w:space="0" w:color="000000"/>
              <w:bottom w:val="single" w:sz="4" w:space="0" w:color="000000"/>
            </w:tcBorders>
          </w:tcPr>
          <w:p>
            <w:pPr>
              <w:pStyle w:val="TableParagraph"/>
              <w:spacing w:before="54"/>
              <w:rPr>
                <w:b/>
                <w:sz w:val="19"/>
              </w:rPr>
            </w:pPr>
          </w:p>
          <w:p>
            <w:pPr>
              <w:pStyle w:val="TableParagraph"/>
              <w:ind w:right="48"/>
              <w:jc w:val="right"/>
              <w:rPr>
                <w:sz w:val="19"/>
              </w:rPr>
            </w:pPr>
            <w:r>
              <w:rPr>
                <w:spacing w:val="-2"/>
                <w:sz w:val="19"/>
              </w:rPr>
              <w:t>(7,586)</w:t>
            </w:r>
          </w:p>
        </w:tc>
        <w:tc>
          <w:tcPr>
            <w:tcW w:w="276" w:type="dxa"/>
          </w:tcPr>
          <w:p>
            <w:pPr>
              <w:pStyle w:val="TableParagraph"/>
              <w:rPr>
                <w:rFonts w:ascii="Times New Roman"/>
                <w:sz w:val="18"/>
              </w:rPr>
            </w:pPr>
          </w:p>
        </w:tc>
        <w:tc>
          <w:tcPr>
            <w:tcW w:w="859" w:type="dxa"/>
            <w:tcBorders>
              <w:top w:val="single" w:sz="4" w:space="0" w:color="000000"/>
              <w:bottom w:val="single" w:sz="4" w:space="0" w:color="000000"/>
            </w:tcBorders>
          </w:tcPr>
          <w:p>
            <w:pPr>
              <w:pStyle w:val="TableParagraph"/>
              <w:spacing w:before="54"/>
              <w:rPr>
                <w:b/>
                <w:sz w:val="19"/>
              </w:rPr>
            </w:pPr>
          </w:p>
          <w:p>
            <w:pPr>
              <w:pStyle w:val="TableParagraph"/>
              <w:ind w:right="104"/>
              <w:jc w:val="right"/>
              <w:rPr>
                <w:sz w:val="19"/>
              </w:rPr>
            </w:pPr>
            <w:r>
              <w:rPr>
                <w:spacing w:val="-2"/>
                <w:sz w:val="19"/>
              </w:rPr>
              <w:t>32,248</w:t>
            </w:r>
          </w:p>
        </w:tc>
        <w:tc>
          <w:tcPr>
            <w:tcW w:w="276" w:type="dxa"/>
          </w:tcPr>
          <w:p>
            <w:pPr>
              <w:pStyle w:val="TableParagraph"/>
              <w:rPr>
                <w:rFonts w:ascii="Times New Roman"/>
                <w:sz w:val="18"/>
              </w:rPr>
            </w:pPr>
          </w:p>
        </w:tc>
        <w:tc>
          <w:tcPr>
            <w:tcW w:w="1133" w:type="dxa"/>
            <w:tcBorders>
              <w:top w:val="single" w:sz="4" w:space="0" w:color="000000"/>
              <w:bottom w:val="single" w:sz="4" w:space="0" w:color="000000"/>
            </w:tcBorders>
          </w:tcPr>
          <w:p>
            <w:pPr>
              <w:pStyle w:val="TableParagraph"/>
              <w:spacing w:before="54"/>
              <w:rPr>
                <w:b/>
                <w:sz w:val="19"/>
              </w:rPr>
            </w:pPr>
          </w:p>
          <w:p>
            <w:pPr>
              <w:pStyle w:val="TableParagraph"/>
              <w:ind w:right="104"/>
              <w:jc w:val="right"/>
              <w:rPr>
                <w:sz w:val="19"/>
              </w:rPr>
            </w:pPr>
            <w:r>
              <w:rPr>
                <w:spacing w:val="-2"/>
                <w:sz w:val="19"/>
              </w:rPr>
              <w:t>32,248</w:t>
            </w:r>
          </w:p>
        </w:tc>
      </w:tr>
      <w:tr>
        <w:trPr>
          <w:trHeight w:val="481" w:hRule="atLeast"/>
        </w:trPr>
        <w:tc>
          <w:tcPr>
            <w:tcW w:w="4065" w:type="dxa"/>
          </w:tcPr>
          <w:p>
            <w:pPr>
              <w:pStyle w:val="TableParagraph"/>
              <w:spacing w:before="54"/>
              <w:rPr>
                <w:b/>
                <w:sz w:val="19"/>
              </w:rPr>
            </w:pPr>
          </w:p>
          <w:p>
            <w:pPr>
              <w:pStyle w:val="TableParagraph"/>
              <w:spacing w:line="189" w:lineRule="exact"/>
              <w:ind w:left="50"/>
              <w:rPr>
                <w:b/>
                <w:sz w:val="19"/>
              </w:rPr>
            </w:pPr>
            <w:r>
              <w:rPr>
                <w:b/>
                <w:sz w:val="19"/>
              </w:rPr>
              <w:t>Total</w:t>
            </w:r>
            <w:r>
              <w:rPr>
                <w:b/>
                <w:spacing w:val="-8"/>
                <w:sz w:val="19"/>
              </w:rPr>
              <w:t> </w:t>
            </w:r>
            <w:r>
              <w:rPr>
                <w:b/>
                <w:sz w:val="19"/>
              </w:rPr>
              <w:t>comprehensive</w:t>
            </w:r>
            <w:r>
              <w:rPr>
                <w:b/>
                <w:spacing w:val="-7"/>
                <w:sz w:val="19"/>
              </w:rPr>
              <w:t> </w:t>
            </w:r>
            <w:r>
              <w:rPr>
                <w:b/>
                <w:sz w:val="19"/>
              </w:rPr>
              <w:t>income</w:t>
            </w:r>
            <w:r>
              <w:rPr>
                <w:b/>
                <w:spacing w:val="-7"/>
                <w:sz w:val="19"/>
              </w:rPr>
              <w:t> </w:t>
            </w:r>
            <w:r>
              <w:rPr>
                <w:b/>
                <w:sz w:val="19"/>
              </w:rPr>
              <w:t>for</w:t>
            </w:r>
            <w:r>
              <w:rPr>
                <w:b/>
                <w:spacing w:val="-7"/>
                <w:sz w:val="19"/>
              </w:rPr>
              <w:t> </w:t>
            </w:r>
            <w:r>
              <w:rPr>
                <w:b/>
                <w:sz w:val="19"/>
              </w:rPr>
              <w:t>the</w:t>
            </w:r>
            <w:r>
              <w:rPr>
                <w:b/>
                <w:spacing w:val="-7"/>
                <w:sz w:val="19"/>
              </w:rPr>
              <w:t> </w:t>
            </w:r>
            <w:r>
              <w:rPr>
                <w:b/>
                <w:spacing w:val="-4"/>
                <w:sz w:val="19"/>
              </w:rPr>
              <w:t>year</w:t>
            </w:r>
          </w:p>
        </w:tc>
        <w:tc>
          <w:tcPr>
            <w:tcW w:w="825" w:type="dxa"/>
          </w:tcPr>
          <w:p>
            <w:pPr>
              <w:pStyle w:val="TableParagraph"/>
              <w:rPr>
                <w:rFonts w:ascii="Times New Roman"/>
                <w:sz w:val="18"/>
              </w:rPr>
            </w:pPr>
          </w:p>
        </w:tc>
        <w:tc>
          <w:tcPr>
            <w:tcW w:w="864" w:type="dxa"/>
            <w:tcBorders>
              <w:top w:val="single" w:sz="4" w:space="0" w:color="000000"/>
              <w:bottom w:val="double" w:sz="4" w:space="0" w:color="000000"/>
            </w:tcBorders>
          </w:tcPr>
          <w:p>
            <w:pPr>
              <w:pStyle w:val="TableParagraph"/>
              <w:spacing w:before="54"/>
              <w:rPr>
                <w:b/>
                <w:sz w:val="19"/>
              </w:rPr>
            </w:pPr>
          </w:p>
          <w:p>
            <w:pPr>
              <w:pStyle w:val="TableParagraph"/>
              <w:spacing w:line="189" w:lineRule="exact"/>
              <w:ind w:left="209"/>
              <w:rPr>
                <w:sz w:val="19"/>
              </w:rPr>
            </w:pPr>
            <w:r>
              <w:rPr>
                <w:spacing w:val="-2"/>
                <w:sz w:val="19"/>
              </w:rPr>
              <w:t>(6,611)</w:t>
            </w:r>
          </w:p>
        </w:tc>
        <w:tc>
          <w:tcPr>
            <w:tcW w:w="276" w:type="dxa"/>
          </w:tcPr>
          <w:p>
            <w:pPr>
              <w:pStyle w:val="TableParagraph"/>
              <w:rPr>
                <w:rFonts w:ascii="Times New Roman"/>
                <w:sz w:val="18"/>
              </w:rPr>
            </w:pPr>
          </w:p>
        </w:tc>
        <w:tc>
          <w:tcPr>
            <w:tcW w:w="998" w:type="dxa"/>
            <w:tcBorders>
              <w:top w:val="single" w:sz="4" w:space="0" w:color="000000"/>
              <w:bottom w:val="double" w:sz="4" w:space="0" w:color="000000"/>
            </w:tcBorders>
          </w:tcPr>
          <w:p>
            <w:pPr>
              <w:pStyle w:val="TableParagraph"/>
              <w:spacing w:before="54"/>
              <w:rPr>
                <w:b/>
                <w:sz w:val="19"/>
              </w:rPr>
            </w:pPr>
          </w:p>
          <w:p>
            <w:pPr>
              <w:pStyle w:val="TableParagraph"/>
              <w:spacing w:line="189" w:lineRule="exact"/>
              <w:ind w:right="48"/>
              <w:jc w:val="right"/>
              <w:rPr>
                <w:sz w:val="19"/>
              </w:rPr>
            </w:pPr>
            <w:r>
              <w:rPr>
                <w:spacing w:val="-2"/>
                <w:sz w:val="19"/>
              </w:rPr>
              <w:t>(6,583)</w:t>
            </w:r>
          </w:p>
        </w:tc>
        <w:tc>
          <w:tcPr>
            <w:tcW w:w="276" w:type="dxa"/>
          </w:tcPr>
          <w:p>
            <w:pPr>
              <w:pStyle w:val="TableParagraph"/>
              <w:rPr>
                <w:rFonts w:ascii="Times New Roman"/>
                <w:sz w:val="18"/>
              </w:rPr>
            </w:pPr>
          </w:p>
        </w:tc>
        <w:tc>
          <w:tcPr>
            <w:tcW w:w="859" w:type="dxa"/>
            <w:tcBorders>
              <w:top w:val="single" w:sz="4" w:space="0" w:color="000000"/>
              <w:bottom w:val="double" w:sz="4" w:space="0" w:color="000000"/>
            </w:tcBorders>
          </w:tcPr>
          <w:p>
            <w:pPr>
              <w:pStyle w:val="TableParagraph"/>
              <w:spacing w:before="54"/>
              <w:rPr>
                <w:b/>
                <w:sz w:val="19"/>
              </w:rPr>
            </w:pPr>
          </w:p>
          <w:p>
            <w:pPr>
              <w:pStyle w:val="TableParagraph"/>
              <w:spacing w:line="189" w:lineRule="exact"/>
              <w:ind w:right="49"/>
              <w:jc w:val="right"/>
              <w:rPr>
                <w:sz w:val="19"/>
              </w:rPr>
            </w:pPr>
            <w:r>
              <w:rPr>
                <w:spacing w:val="-2"/>
                <w:sz w:val="19"/>
              </w:rPr>
              <w:t>29,950</w:t>
            </w:r>
          </w:p>
        </w:tc>
        <w:tc>
          <w:tcPr>
            <w:tcW w:w="276" w:type="dxa"/>
          </w:tcPr>
          <w:p>
            <w:pPr>
              <w:pStyle w:val="TableParagraph"/>
              <w:rPr>
                <w:rFonts w:ascii="Times New Roman"/>
                <w:sz w:val="18"/>
              </w:rPr>
            </w:pPr>
          </w:p>
        </w:tc>
        <w:tc>
          <w:tcPr>
            <w:tcW w:w="1133" w:type="dxa"/>
            <w:tcBorders>
              <w:top w:val="single" w:sz="4" w:space="0" w:color="000000"/>
              <w:bottom w:val="double" w:sz="4" w:space="0" w:color="000000"/>
            </w:tcBorders>
          </w:tcPr>
          <w:p>
            <w:pPr>
              <w:pStyle w:val="TableParagraph"/>
              <w:spacing w:before="54"/>
              <w:rPr>
                <w:b/>
                <w:sz w:val="19"/>
              </w:rPr>
            </w:pPr>
          </w:p>
          <w:p>
            <w:pPr>
              <w:pStyle w:val="TableParagraph"/>
              <w:spacing w:line="189" w:lineRule="exact"/>
              <w:ind w:right="47"/>
              <w:jc w:val="right"/>
              <w:rPr>
                <w:sz w:val="19"/>
              </w:rPr>
            </w:pPr>
            <w:r>
              <w:rPr>
                <w:spacing w:val="-2"/>
                <w:sz w:val="19"/>
              </w:rPr>
              <w:t>29,902</w:t>
            </w:r>
          </w:p>
        </w:tc>
      </w:tr>
      <w:tr>
        <w:trPr>
          <w:trHeight w:val="340" w:hRule="atLeast"/>
        </w:trPr>
        <w:tc>
          <w:tcPr>
            <w:tcW w:w="4065" w:type="dxa"/>
          </w:tcPr>
          <w:p>
            <w:pPr>
              <w:pStyle w:val="TableParagraph"/>
              <w:spacing w:line="202" w:lineRule="exact" w:before="118"/>
              <w:ind w:left="50"/>
              <w:rPr>
                <w:b/>
                <w:sz w:val="19"/>
              </w:rPr>
            </w:pPr>
            <w:r>
              <w:rPr>
                <w:b/>
                <w:sz w:val="19"/>
              </w:rPr>
              <w:t>Surplus/(deficit)</w:t>
            </w:r>
            <w:r>
              <w:rPr>
                <w:b/>
                <w:spacing w:val="-10"/>
                <w:sz w:val="19"/>
              </w:rPr>
              <w:t> </w:t>
            </w:r>
            <w:r>
              <w:rPr>
                <w:b/>
                <w:sz w:val="19"/>
              </w:rPr>
              <w:t>for</w:t>
            </w:r>
            <w:r>
              <w:rPr>
                <w:b/>
                <w:spacing w:val="-6"/>
                <w:sz w:val="19"/>
              </w:rPr>
              <w:t> </w:t>
            </w:r>
            <w:r>
              <w:rPr>
                <w:b/>
                <w:sz w:val="19"/>
              </w:rPr>
              <w:t>the</w:t>
            </w:r>
            <w:r>
              <w:rPr>
                <w:b/>
                <w:spacing w:val="-8"/>
                <w:sz w:val="19"/>
              </w:rPr>
              <w:t> </w:t>
            </w:r>
            <w:r>
              <w:rPr>
                <w:b/>
                <w:sz w:val="19"/>
              </w:rPr>
              <w:t>year</w:t>
            </w:r>
            <w:r>
              <w:rPr>
                <w:b/>
                <w:spacing w:val="-9"/>
                <w:sz w:val="19"/>
              </w:rPr>
              <w:t> </w:t>
            </w:r>
            <w:r>
              <w:rPr>
                <w:b/>
                <w:sz w:val="19"/>
              </w:rPr>
              <w:t>attributable</w:t>
            </w:r>
            <w:r>
              <w:rPr>
                <w:b/>
                <w:spacing w:val="-9"/>
                <w:sz w:val="19"/>
              </w:rPr>
              <w:t> </w:t>
            </w:r>
            <w:r>
              <w:rPr>
                <w:b/>
                <w:spacing w:val="-5"/>
                <w:sz w:val="19"/>
              </w:rPr>
              <w:t>to</w:t>
            </w:r>
          </w:p>
        </w:tc>
        <w:tc>
          <w:tcPr>
            <w:tcW w:w="825" w:type="dxa"/>
          </w:tcPr>
          <w:p>
            <w:pPr>
              <w:pStyle w:val="TableParagraph"/>
              <w:rPr>
                <w:rFonts w:ascii="Times New Roman"/>
                <w:sz w:val="18"/>
              </w:rPr>
            </w:pPr>
          </w:p>
        </w:tc>
        <w:tc>
          <w:tcPr>
            <w:tcW w:w="864" w:type="dxa"/>
            <w:tcBorders>
              <w:top w:val="double" w:sz="4" w:space="0" w:color="000000"/>
            </w:tcBorders>
          </w:tcPr>
          <w:p>
            <w:pPr>
              <w:pStyle w:val="TableParagraph"/>
              <w:rPr>
                <w:rFonts w:ascii="Times New Roman"/>
                <w:sz w:val="18"/>
              </w:rPr>
            </w:pPr>
          </w:p>
        </w:tc>
        <w:tc>
          <w:tcPr>
            <w:tcW w:w="276" w:type="dxa"/>
          </w:tcPr>
          <w:p>
            <w:pPr>
              <w:pStyle w:val="TableParagraph"/>
              <w:rPr>
                <w:rFonts w:ascii="Times New Roman"/>
                <w:sz w:val="18"/>
              </w:rPr>
            </w:pPr>
          </w:p>
        </w:tc>
        <w:tc>
          <w:tcPr>
            <w:tcW w:w="998" w:type="dxa"/>
            <w:tcBorders>
              <w:top w:val="double" w:sz="4" w:space="0" w:color="000000"/>
            </w:tcBorders>
          </w:tcPr>
          <w:p>
            <w:pPr>
              <w:pStyle w:val="TableParagraph"/>
              <w:rPr>
                <w:rFonts w:ascii="Times New Roman"/>
                <w:sz w:val="18"/>
              </w:rPr>
            </w:pPr>
          </w:p>
        </w:tc>
        <w:tc>
          <w:tcPr>
            <w:tcW w:w="276" w:type="dxa"/>
          </w:tcPr>
          <w:p>
            <w:pPr>
              <w:pStyle w:val="TableParagraph"/>
              <w:rPr>
                <w:rFonts w:ascii="Times New Roman"/>
                <w:sz w:val="18"/>
              </w:rPr>
            </w:pPr>
          </w:p>
        </w:tc>
        <w:tc>
          <w:tcPr>
            <w:tcW w:w="859" w:type="dxa"/>
            <w:tcBorders>
              <w:top w:val="double" w:sz="4" w:space="0" w:color="000000"/>
            </w:tcBorders>
          </w:tcPr>
          <w:p>
            <w:pPr>
              <w:pStyle w:val="TableParagraph"/>
              <w:rPr>
                <w:rFonts w:ascii="Times New Roman"/>
                <w:sz w:val="18"/>
              </w:rPr>
            </w:pPr>
          </w:p>
        </w:tc>
        <w:tc>
          <w:tcPr>
            <w:tcW w:w="276" w:type="dxa"/>
          </w:tcPr>
          <w:p>
            <w:pPr>
              <w:pStyle w:val="TableParagraph"/>
              <w:rPr>
                <w:rFonts w:ascii="Times New Roman"/>
                <w:sz w:val="18"/>
              </w:rPr>
            </w:pPr>
          </w:p>
        </w:tc>
        <w:tc>
          <w:tcPr>
            <w:tcW w:w="1133" w:type="dxa"/>
            <w:tcBorders>
              <w:top w:val="double" w:sz="4" w:space="0" w:color="000000"/>
            </w:tcBorders>
          </w:tcPr>
          <w:p>
            <w:pPr>
              <w:pStyle w:val="TableParagraph"/>
              <w:rPr>
                <w:rFonts w:ascii="Times New Roman"/>
                <w:sz w:val="18"/>
              </w:rPr>
            </w:pPr>
          </w:p>
        </w:tc>
      </w:tr>
      <w:tr>
        <w:trPr>
          <w:trHeight w:val="215" w:hRule="atLeast"/>
        </w:trPr>
        <w:tc>
          <w:tcPr>
            <w:tcW w:w="4065" w:type="dxa"/>
          </w:tcPr>
          <w:p>
            <w:pPr>
              <w:pStyle w:val="TableParagraph"/>
              <w:spacing w:line="195" w:lineRule="exact"/>
              <w:ind w:left="50"/>
              <w:rPr>
                <w:b/>
                <w:sz w:val="19"/>
              </w:rPr>
            </w:pPr>
            <w:r>
              <w:rPr>
                <w:b/>
                <w:sz w:val="19"/>
              </w:rPr>
              <w:t>the</w:t>
            </w:r>
            <w:r>
              <w:rPr>
                <w:b/>
                <w:spacing w:val="-7"/>
                <w:sz w:val="19"/>
              </w:rPr>
              <w:t> </w:t>
            </w:r>
            <w:r>
              <w:rPr>
                <w:b/>
                <w:sz w:val="19"/>
              </w:rPr>
              <w:t>Corporation</w:t>
            </w:r>
            <w:r>
              <w:rPr>
                <w:b/>
                <w:spacing w:val="-7"/>
                <w:sz w:val="19"/>
              </w:rPr>
              <w:t> </w:t>
            </w:r>
            <w:r>
              <w:rPr>
                <w:b/>
                <w:sz w:val="19"/>
              </w:rPr>
              <w:t>of</w:t>
            </w:r>
            <w:r>
              <w:rPr>
                <w:b/>
                <w:spacing w:val="-6"/>
                <w:sz w:val="19"/>
              </w:rPr>
              <w:t> </w:t>
            </w:r>
            <w:r>
              <w:rPr>
                <w:b/>
                <w:sz w:val="19"/>
              </w:rPr>
              <w:t>the</w:t>
            </w:r>
            <w:r>
              <w:rPr>
                <w:b/>
                <w:spacing w:val="-6"/>
                <w:sz w:val="19"/>
              </w:rPr>
              <w:t> </w:t>
            </w:r>
            <w:r>
              <w:rPr>
                <w:b/>
                <w:spacing w:val="-2"/>
                <w:sz w:val="19"/>
              </w:rPr>
              <w:t>College</w:t>
            </w:r>
          </w:p>
        </w:tc>
        <w:tc>
          <w:tcPr>
            <w:tcW w:w="825" w:type="dxa"/>
          </w:tcPr>
          <w:p>
            <w:pPr>
              <w:pStyle w:val="TableParagraph"/>
              <w:rPr>
                <w:rFonts w:ascii="Times New Roman"/>
                <w:sz w:val="14"/>
              </w:rPr>
            </w:pPr>
          </w:p>
        </w:tc>
        <w:tc>
          <w:tcPr>
            <w:tcW w:w="864" w:type="dxa"/>
            <w:tcBorders>
              <w:bottom w:val="double" w:sz="4" w:space="0" w:color="000000"/>
            </w:tcBorders>
          </w:tcPr>
          <w:p>
            <w:pPr>
              <w:pStyle w:val="TableParagraph"/>
              <w:spacing w:line="195" w:lineRule="exact"/>
              <w:ind w:right="107"/>
              <w:jc w:val="right"/>
              <w:rPr>
                <w:sz w:val="19"/>
              </w:rPr>
            </w:pPr>
            <w:r>
              <w:rPr>
                <w:spacing w:val="-5"/>
                <w:sz w:val="19"/>
              </w:rPr>
              <w:t>975</w:t>
            </w:r>
          </w:p>
        </w:tc>
        <w:tc>
          <w:tcPr>
            <w:tcW w:w="276" w:type="dxa"/>
          </w:tcPr>
          <w:p>
            <w:pPr>
              <w:pStyle w:val="TableParagraph"/>
              <w:rPr>
                <w:rFonts w:ascii="Times New Roman"/>
                <w:sz w:val="14"/>
              </w:rPr>
            </w:pPr>
          </w:p>
        </w:tc>
        <w:tc>
          <w:tcPr>
            <w:tcW w:w="998" w:type="dxa"/>
            <w:tcBorders>
              <w:bottom w:val="double" w:sz="4" w:space="0" w:color="000000"/>
            </w:tcBorders>
          </w:tcPr>
          <w:p>
            <w:pPr>
              <w:pStyle w:val="TableParagraph"/>
              <w:spacing w:line="195" w:lineRule="exact"/>
              <w:ind w:right="104"/>
              <w:jc w:val="right"/>
              <w:rPr>
                <w:sz w:val="19"/>
              </w:rPr>
            </w:pPr>
            <w:r>
              <w:rPr>
                <w:spacing w:val="-2"/>
                <w:sz w:val="19"/>
              </w:rPr>
              <w:t>1,003</w:t>
            </w:r>
          </w:p>
        </w:tc>
        <w:tc>
          <w:tcPr>
            <w:tcW w:w="276" w:type="dxa"/>
          </w:tcPr>
          <w:p>
            <w:pPr>
              <w:pStyle w:val="TableParagraph"/>
              <w:rPr>
                <w:rFonts w:ascii="Times New Roman"/>
                <w:sz w:val="14"/>
              </w:rPr>
            </w:pPr>
          </w:p>
        </w:tc>
        <w:tc>
          <w:tcPr>
            <w:tcW w:w="859" w:type="dxa"/>
            <w:tcBorders>
              <w:bottom w:val="double" w:sz="4" w:space="0" w:color="000000"/>
            </w:tcBorders>
          </w:tcPr>
          <w:p>
            <w:pPr>
              <w:pStyle w:val="TableParagraph"/>
              <w:spacing w:line="195" w:lineRule="exact"/>
              <w:ind w:right="50"/>
              <w:jc w:val="right"/>
              <w:rPr>
                <w:sz w:val="19"/>
              </w:rPr>
            </w:pPr>
            <w:r>
              <w:rPr>
                <w:spacing w:val="-2"/>
                <w:sz w:val="19"/>
              </w:rPr>
              <w:t>(2,298)</w:t>
            </w:r>
          </w:p>
        </w:tc>
        <w:tc>
          <w:tcPr>
            <w:tcW w:w="276" w:type="dxa"/>
          </w:tcPr>
          <w:p>
            <w:pPr>
              <w:pStyle w:val="TableParagraph"/>
              <w:rPr>
                <w:rFonts w:ascii="Times New Roman"/>
                <w:sz w:val="14"/>
              </w:rPr>
            </w:pPr>
          </w:p>
        </w:tc>
        <w:tc>
          <w:tcPr>
            <w:tcW w:w="1133" w:type="dxa"/>
            <w:tcBorders>
              <w:bottom w:val="double" w:sz="4" w:space="0" w:color="000000"/>
            </w:tcBorders>
          </w:tcPr>
          <w:p>
            <w:pPr>
              <w:pStyle w:val="TableParagraph"/>
              <w:spacing w:line="195" w:lineRule="exact"/>
              <w:ind w:right="48"/>
              <w:jc w:val="right"/>
              <w:rPr>
                <w:sz w:val="19"/>
              </w:rPr>
            </w:pPr>
            <w:r>
              <w:rPr>
                <w:spacing w:val="-2"/>
                <w:sz w:val="19"/>
              </w:rPr>
              <w:t>(2,346)</w:t>
            </w:r>
          </w:p>
        </w:tc>
      </w:tr>
      <w:tr>
        <w:trPr>
          <w:trHeight w:val="340" w:hRule="atLeast"/>
        </w:trPr>
        <w:tc>
          <w:tcPr>
            <w:tcW w:w="4065" w:type="dxa"/>
          </w:tcPr>
          <w:p>
            <w:pPr>
              <w:pStyle w:val="TableParagraph"/>
              <w:spacing w:line="202" w:lineRule="exact" w:before="118"/>
              <w:ind w:left="50"/>
              <w:rPr>
                <w:b/>
                <w:sz w:val="19"/>
              </w:rPr>
            </w:pPr>
            <w:r>
              <w:rPr>
                <w:b/>
                <w:sz w:val="19"/>
              </w:rPr>
              <w:t>Total</w:t>
            </w:r>
            <w:r>
              <w:rPr>
                <w:b/>
                <w:spacing w:val="-8"/>
                <w:sz w:val="19"/>
              </w:rPr>
              <w:t> </w:t>
            </w:r>
            <w:r>
              <w:rPr>
                <w:b/>
                <w:sz w:val="19"/>
              </w:rPr>
              <w:t>comprehensive</w:t>
            </w:r>
            <w:r>
              <w:rPr>
                <w:b/>
                <w:spacing w:val="-7"/>
                <w:sz w:val="19"/>
              </w:rPr>
              <w:t> </w:t>
            </w:r>
            <w:r>
              <w:rPr>
                <w:b/>
                <w:sz w:val="19"/>
              </w:rPr>
              <w:t>income</w:t>
            </w:r>
            <w:r>
              <w:rPr>
                <w:b/>
                <w:spacing w:val="-7"/>
                <w:sz w:val="19"/>
              </w:rPr>
              <w:t> </w:t>
            </w:r>
            <w:r>
              <w:rPr>
                <w:b/>
                <w:sz w:val="19"/>
              </w:rPr>
              <w:t>for</w:t>
            </w:r>
            <w:r>
              <w:rPr>
                <w:b/>
                <w:spacing w:val="-7"/>
                <w:sz w:val="19"/>
              </w:rPr>
              <w:t> </w:t>
            </w:r>
            <w:r>
              <w:rPr>
                <w:b/>
                <w:sz w:val="19"/>
              </w:rPr>
              <w:t>the</w:t>
            </w:r>
            <w:r>
              <w:rPr>
                <w:b/>
                <w:spacing w:val="-7"/>
                <w:sz w:val="19"/>
              </w:rPr>
              <w:t> </w:t>
            </w:r>
            <w:r>
              <w:rPr>
                <w:b/>
                <w:spacing w:val="-4"/>
                <w:sz w:val="19"/>
              </w:rPr>
              <w:t>year</w:t>
            </w:r>
          </w:p>
        </w:tc>
        <w:tc>
          <w:tcPr>
            <w:tcW w:w="825" w:type="dxa"/>
          </w:tcPr>
          <w:p>
            <w:pPr>
              <w:pStyle w:val="TableParagraph"/>
              <w:rPr>
                <w:rFonts w:ascii="Times New Roman"/>
                <w:sz w:val="18"/>
              </w:rPr>
            </w:pPr>
          </w:p>
        </w:tc>
        <w:tc>
          <w:tcPr>
            <w:tcW w:w="864" w:type="dxa"/>
            <w:tcBorders>
              <w:top w:val="double" w:sz="4" w:space="0" w:color="000000"/>
            </w:tcBorders>
          </w:tcPr>
          <w:p>
            <w:pPr>
              <w:pStyle w:val="TableParagraph"/>
              <w:rPr>
                <w:rFonts w:ascii="Times New Roman"/>
                <w:sz w:val="18"/>
              </w:rPr>
            </w:pPr>
          </w:p>
        </w:tc>
        <w:tc>
          <w:tcPr>
            <w:tcW w:w="276" w:type="dxa"/>
          </w:tcPr>
          <w:p>
            <w:pPr>
              <w:pStyle w:val="TableParagraph"/>
              <w:rPr>
                <w:rFonts w:ascii="Times New Roman"/>
                <w:sz w:val="18"/>
              </w:rPr>
            </w:pPr>
          </w:p>
        </w:tc>
        <w:tc>
          <w:tcPr>
            <w:tcW w:w="998" w:type="dxa"/>
            <w:tcBorders>
              <w:top w:val="double" w:sz="4" w:space="0" w:color="000000"/>
            </w:tcBorders>
          </w:tcPr>
          <w:p>
            <w:pPr>
              <w:pStyle w:val="TableParagraph"/>
              <w:rPr>
                <w:rFonts w:ascii="Times New Roman"/>
                <w:sz w:val="18"/>
              </w:rPr>
            </w:pPr>
          </w:p>
        </w:tc>
        <w:tc>
          <w:tcPr>
            <w:tcW w:w="276" w:type="dxa"/>
          </w:tcPr>
          <w:p>
            <w:pPr>
              <w:pStyle w:val="TableParagraph"/>
              <w:rPr>
                <w:rFonts w:ascii="Times New Roman"/>
                <w:sz w:val="18"/>
              </w:rPr>
            </w:pPr>
          </w:p>
        </w:tc>
        <w:tc>
          <w:tcPr>
            <w:tcW w:w="859" w:type="dxa"/>
            <w:tcBorders>
              <w:top w:val="double" w:sz="4" w:space="0" w:color="000000"/>
            </w:tcBorders>
          </w:tcPr>
          <w:p>
            <w:pPr>
              <w:pStyle w:val="TableParagraph"/>
              <w:rPr>
                <w:rFonts w:ascii="Times New Roman"/>
                <w:sz w:val="18"/>
              </w:rPr>
            </w:pPr>
          </w:p>
        </w:tc>
        <w:tc>
          <w:tcPr>
            <w:tcW w:w="276" w:type="dxa"/>
          </w:tcPr>
          <w:p>
            <w:pPr>
              <w:pStyle w:val="TableParagraph"/>
              <w:rPr>
                <w:rFonts w:ascii="Times New Roman"/>
                <w:sz w:val="18"/>
              </w:rPr>
            </w:pPr>
          </w:p>
        </w:tc>
        <w:tc>
          <w:tcPr>
            <w:tcW w:w="1133" w:type="dxa"/>
            <w:tcBorders>
              <w:top w:val="double" w:sz="4" w:space="0" w:color="000000"/>
            </w:tcBorders>
          </w:tcPr>
          <w:p>
            <w:pPr>
              <w:pStyle w:val="TableParagraph"/>
              <w:rPr>
                <w:rFonts w:ascii="Times New Roman"/>
                <w:sz w:val="18"/>
              </w:rPr>
            </w:pPr>
          </w:p>
        </w:tc>
      </w:tr>
      <w:tr>
        <w:trPr>
          <w:trHeight w:val="428" w:hRule="atLeast"/>
        </w:trPr>
        <w:tc>
          <w:tcPr>
            <w:tcW w:w="4065" w:type="dxa"/>
          </w:tcPr>
          <w:p>
            <w:pPr>
              <w:pStyle w:val="TableParagraph"/>
              <w:spacing w:line="218" w:lineRule="exact"/>
              <w:ind w:left="50" w:right="91"/>
              <w:rPr>
                <w:b/>
                <w:sz w:val="19"/>
              </w:rPr>
            </w:pPr>
            <w:r>
              <w:rPr>
                <w:b/>
                <w:sz w:val="19"/>
              </w:rPr>
              <w:t>attributable</w:t>
            </w:r>
            <w:r>
              <w:rPr>
                <w:b/>
                <w:spacing w:val="-8"/>
                <w:sz w:val="19"/>
              </w:rPr>
              <w:t> </w:t>
            </w:r>
            <w:r>
              <w:rPr>
                <w:b/>
                <w:sz w:val="19"/>
              </w:rPr>
              <w:t>to</w:t>
            </w:r>
            <w:r>
              <w:rPr>
                <w:b/>
                <w:spacing w:val="-9"/>
                <w:sz w:val="19"/>
              </w:rPr>
              <w:t> </w:t>
            </w:r>
            <w:r>
              <w:rPr>
                <w:b/>
                <w:sz w:val="19"/>
              </w:rPr>
              <w:t>the</w:t>
            </w:r>
            <w:r>
              <w:rPr>
                <w:b/>
                <w:spacing w:val="-8"/>
                <w:sz w:val="19"/>
              </w:rPr>
              <w:t> </w:t>
            </w:r>
            <w:r>
              <w:rPr>
                <w:b/>
                <w:sz w:val="19"/>
              </w:rPr>
              <w:t>Corporation</w:t>
            </w:r>
            <w:r>
              <w:rPr>
                <w:b/>
                <w:spacing w:val="-9"/>
                <w:sz w:val="19"/>
              </w:rPr>
              <w:t> </w:t>
            </w:r>
            <w:r>
              <w:rPr>
                <w:b/>
                <w:sz w:val="19"/>
              </w:rPr>
              <w:t>of</w:t>
            </w:r>
            <w:r>
              <w:rPr>
                <w:b/>
                <w:spacing w:val="-9"/>
                <w:sz w:val="19"/>
              </w:rPr>
              <w:t> </w:t>
            </w:r>
            <w:r>
              <w:rPr>
                <w:b/>
                <w:sz w:val="19"/>
              </w:rPr>
              <w:t>the </w:t>
            </w:r>
            <w:r>
              <w:rPr>
                <w:b/>
                <w:spacing w:val="-2"/>
                <w:sz w:val="19"/>
              </w:rPr>
              <w:t>College</w:t>
            </w:r>
          </w:p>
        </w:tc>
        <w:tc>
          <w:tcPr>
            <w:tcW w:w="825" w:type="dxa"/>
          </w:tcPr>
          <w:p>
            <w:pPr>
              <w:pStyle w:val="TableParagraph"/>
              <w:rPr>
                <w:rFonts w:ascii="Times New Roman"/>
                <w:sz w:val="18"/>
              </w:rPr>
            </w:pPr>
          </w:p>
        </w:tc>
        <w:tc>
          <w:tcPr>
            <w:tcW w:w="864" w:type="dxa"/>
          </w:tcPr>
          <w:p>
            <w:pPr>
              <w:pStyle w:val="TableParagraph"/>
              <w:spacing w:line="201" w:lineRule="exact" w:before="208"/>
              <w:ind w:right="-15"/>
              <w:jc w:val="right"/>
              <w:rPr>
                <w:sz w:val="19"/>
              </w:rPr>
            </w:pPr>
            <w:r>
              <w:rPr>
                <w:spacing w:val="50"/>
                <w:sz w:val="19"/>
                <w:u w:val="double"/>
              </w:rPr>
              <w:t>  </w:t>
            </w:r>
            <w:r>
              <w:rPr>
                <w:spacing w:val="-2"/>
                <w:sz w:val="19"/>
                <w:u w:val="double"/>
              </w:rPr>
              <w:t>(6,611)</w:t>
            </w:r>
            <w:r>
              <w:rPr>
                <w:spacing w:val="40"/>
                <w:sz w:val="19"/>
                <w:u w:val="double"/>
              </w:rPr>
              <w:t> </w:t>
            </w:r>
          </w:p>
        </w:tc>
        <w:tc>
          <w:tcPr>
            <w:tcW w:w="276" w:type="dxa"/>
          </w:tcPr>
          <w:p>
            <w:pPr>
              <w:pStyle w:val="TableParagraph"/>
              <w:rPr>
                <w:rFonts w:ascii="Times New Roman"/>
                <w:sz w:val="18"/>
              </w:rPr>
            </w:pPr>
          </w:p>
        </w:tc>
        <w:tc>
          <w:tcPr>
            <w:tcW w:w="998" w:type="dxa"/>
            <w:tcBorders>
              <w:bottom w:val="double" w:sz="4" w:space="0" w:color="000000"/>
            </w:tcBorders>
          </w:tcPr>
          <w:p>
            <w:pPr>
              <w:pStyle w:val="TableParagraph"/>
              <w:spacing w:line="201" w:lineRule="exact" w:before="208"/>
              <w:ind w:right="48"/>
              <w:jc w:val="right"/>
              <w:rPr>
                <w:sz w:val="19"/>
              </w:rPr>
            </w:pPr>
            <w:r>
              <w:rPr>
                <w:spacing w:val="-2"/>
                <w:sz w:val="19"/>
              </w:rPr>
              <w:t>(6,583)</w:t>
            </w:r>
          </w:p>
        </w:tc>
        <w:tc>
          <w:tcPr>
            <w:tcW w:w="276" w:type="dxa"/>
          </w:tcPr>
          <w:p>
            <w:pPr>
              <w:pStyle w:val="TableParagraph"/>
              <w:rPr>
                <w:rFonts w:ascii="Times New Roman"/>
                <w:sz w:val="18"/>
              </w:rPr>
            </w:pPr>
          </w:p>
        </w:tc>
        <w:tc>
          <w:tcPr>
            <w:tcW w:w="859" w:type="dxa"/>
            <w:tcBorders>
              <w:bottom w:val="double" w:sz="4" w:space="0" w:color="000000"/>
            </w:tcBorders>
          </w:tcPr>
          <w:p>
            <w:pPr>
              <w:pStyle w:val="TableParagraph"/>
              <w:spacing w:line="201" w:lineRule="exact" w:before="208"/>
              <w:ind w:right="49"/>
              <w:jc w:val="right"/>
              <w:rPr>
                <w:sz w:val="19"/>
              </w:rPr>
            </w:pPr>
            <w:r>
              <w:rPr>
                <w:spacing w:val="-2"/>
                <w:sz w:val="19"/>
              </w:rPr>
              <w:t>29,950</w:t>
            </w:r>
          </w:p>
        </w:tc>
        <w:tc>
          <w:tcPr>
            <w:tcW w:w="276" w:type="dxa"/>
          </w:tcPr>
          <w:p>
            <w:pPr>
              <w:pStyle w:val="TableParagraph"/>
              <w:rPr>
                <w:rFonts w:ascii="Times New Roman"/>
                <w:sz w:val="18"/>
              </w:rPr>
            </w:pPr>
          </w:p>
        </w:tc>
        <w:tc>
          <w:tcPr>
            <w:tcW w:w="1133" w:type="dxa"/>
            <w:tcBorders>
              <w:bottom w:val="double" w:sz="4" w:space="0" w:color="000000"/>
            </w:tcBorders>
          </w:tcPr>
          <w:p>
            <w:pPr>
              <w:pStyle w:val="TableParagraph"/>
              <w:spacing w:line="201" w:lineRule="exact" w:before="208"/>
              <w:ind w:right="47"/>
              <w:jc w:val="right"/>
              <w:rPr>
                <w:sz w:val="19"/>
              </w:rPr>
            </w:pPr>
            <w:r>
              <w:rPr>
                <w:spacing w:val="-2"/>
                <w:sz w:val="19"/>
              </w:rPr>
              <w:t>29,902</w:t>
            </w:r>
          </w:p>
        </w:tc>
      </w:tr>
    </w:tbl>
    <w:p>
      <w:pPr>
        <w:pStyle w:val="TableParagraph"/>
        <w:spacing w:after="0" w:line="201" w:lineRule="exact"/>
        <w:jc w:val="right"/>
        <w:rPr>
          <w:sz w:val="19"/>
        </w:rPr>
        <w:sectPr>
          <w:headerReference w:type="default" r:id="rId30"/>
          <w:footerReference w:type="default" r:id="rId31"/>
          <w:pgSz w:w="11910" w:h="16850"/>
          <w:pgMar w:header="727" w:footer="702" w:top="1520" w:bottom="900" w:left="566" w:right="708"/>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4"/>
        <w:rPr>
          <w:b/>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1"/>
        <w:gridCol w:w="841"/>
        <w:gridCol w:w="1113"/>
        <w:gridCol w:w="285"/>
        <w:gridCol w:w="1120"/>
        <w:gridCol w:w="237"/>
        <w:gridCol w:w="1113"/>
        <w:gridCol w:w="237"/>
        <w:gridCol w:w="1118"/>
      </w:tblGrid>
      <w:tr>
        <w:trPr>
          <w:trHeight w:val="1106" w:hRule="atLeast"/>
        </w:trPr>
        <w:tc>
          <w:tcPr>
            <w:tcW w:w="3481" w:type="dxa"/>
          </w:tcPr>
          <w:p>
            <w:pPr>
              <w:pStyle w:val="TableParagraph"/>
              <w:rPr>
                <w:b/>
                <w:sz w:val="20"/>
              </w:rPr>
            </w:pPr>
          </w:p>
          <w:p>
            <w:pPr>
              <w:pStyle w:val="TableParagraph"/>
              <w:rPr>
                <w:b/>
                <w:sz w:val="20"/>
              </w:rPr>
            </w:pPr>
          </w:p>
          <w:p>
            <w:pPr>
              <w:pStyle w:val="TableParagraph"/>
              <w:spacing w:before="154"/>
              <w:rPr>
                <w:b/>
                <w:sz w:val="20"/>
              </w:rPr>
            </w:pPr>
          </w:p>
          <w:p>
            <w:pPr>
              <w:pStyle w:val="TableParagraph"/>
              <w:ind w:left="50"/>
              <w:rPr>
                <w:b/>
                <w:sz w:val="20"/>
              </w:rPr>
            </w:pPr>
            <w:r>
              <w:rPr>
                <w:b/>
                <w:sz w:val="20"/>
              </w:rPr>
              <w:t>Fixed</w:t>
            </w:r>
            <w:r>
              <w:rPr>
                <w:b/>
                <w:spacing w:val="-9"/>
                <w:sz w:val="20"/>
              </w:rPr>
              <w:t> </w:t>
            </w:r>
            <w:r>
              <w:rPr>
                <w:b/>
                <w:spacing w:val="-2"/>
                <w:sz w:val="20"/>
              </w:rPr>
              <w:t>assets</w:t>
            </w:r>
          </w:p>
        </w:tc>
        <w:tc>
          <w:tcPr>
            <w:tcW w:w="841" w:type="dxa"/>
          </w:tcPr>
          <w:p>
            <w:pPr>
              <w:pStyle w:val="TableParagraph"/>
              <w:rPr>
                <w:b/>
                <w:sz w:val="20"/>
              </w:rPr>
            </w:pPr>
          </w:p>
          <w:p>
            <w:pPr>
              <w:pStyle w:val="TableParagraph"/>
              <w:spacing w:before="101"/>
              <w:rPr>
                <w:b/>
                <w:sz w:val="20"/>
              </w:rPr>
            </w:pPr>
          </w:p>
          <w:p>
            <w:pPr>
              <w:pStyle w:val="TableParagraph"/>
              <w:ind w:right="110"/>
              <w:jc w:val="right"/>
              <w:rPr>
                <w:b/>
                <w:sz w:val="20"/>
              </w:rPr>
            </w:pPr>
            <w:r>
              <w:rPr>
                <w:b/>
                <w:spacing w:val="-2"/>
                <w:sz w:val="20"/>
              </w:rPr>
              <w:t>Notes</w:t>
            </w:r>
          </w:p>
        </w:tc>
        <w:tc>
          <w:tcPr>
            <w:tcW w:w="1113" w:type="dxa"/>
          </w:tcPr>
          <w:p>
            <w:pPr>
              <w:pStyle w:val="TableParagraph"/>
              <w:spacing w:line="223" w:lineRule="exact"/>
              <w:ind w:right="107"/>
              <w:jc w:val="right"/>
              <w:rPr>
                <w:b/>
                <w:sz w:val="20"/>
              </w:rPr>
            </w:pPr>
            <w:r>
              <w:rPr>
                <w:b/>
                <w:spacing w:val="-4"/>
                <w:sz w:val="20"/>
              </w:rPr>
              <w:t>2023</w:t>
            </w:r>
          </w:p>
          <w:p>
            <w:pPr>
              <w:pStyle w:val="TableParagraph"/>
              <w:spacing w:before="55"/>
              <w:ind w:right="106"/>
              <w:jc w:val="right"/>
              <w:rPr>
                <w:b/>
                <w:sz w:val="20"/>
              </w:rPr>
            </w:pPr>
            <w:r>
              <w:rPr>
                <w:b/>
                <w:spacing w:val="-4"/>
                <w:sz w:val="20"/>
              </w:rPr>
              <w:t>Group</w:t>
            </w:r>
          </w:p>
          <w:p>
            <w:pPr>
              <w:pStyle w:val="TableParagraph"/>
              <w:spacing w:before="54"/>
              <w:ind w:right="107"/>
              <w:jc w:val="right"/>
              <w:rPr>
                <w:b/>
                <w:sz w:val="20"/>
              </w:rPr>
            </w:pPr>
            <w:r>
              <w:rPr>
                <w:b/>
                <w:spacing w:val="-2"/>
                <w:sz w:val="20"/>
              </w:rPr>
              <w:t>£’000</w:t>
            </w:r>
          </w:p>
        </w:tc>
        <w:tc>
          <w:tcPr>
            <w:tcW w:w="285" w:type="dxa"/>
          </w:tcPr>
          <w:p>
            <w:pPr>
              <w:pStyle w:val="TableParagraph"/>
              <w:rPr>
                <w:rFonts w:ascii="Times New Roman"/>
                <w:sz w:val="20"/>
              </w:rPr>
            </w:pPr>
          </w:p>
        </w:tc>
        <w:tc>
          <w:tcPr>
            <w:tcW w:w="1120" w:type="dxa"/>
          </w:tcPr>
          <w:p>
            <w:pPr>
              <w:pStyle w:val="TableParagraph"/>
              <w:spacing w:line="223" w:lineRule="exact"/>
              <w:ind w:right="103"/>
              <w:jc w:val="right"/>
              <w:rPr>
                <w:b/>
                <w:sz w:val="20"/>
              </w:rPr>
            </w:pPr>
            <w:r>
              <w:rPr>
                <w:b/>
                <w:spacing w:val="-4"/>
                <w:sz w:val="20"/>
              </w:rPr>
              <w:t>2023</w:t>
            </w:r>
          </w:p>
          <w:p>
            <w:pPr>
              <w:pStyle w:val="TableParagraph"/>
              <w:spacing w:before="55"/>
              <w:ind w:right="103"/>
              <w:jc w:val="right"/>
              <w:rPr>
                <w:b/>
                <w:sz w:val="20"/>
              </w:rPr>
            </w:pPr>
            <w:r>
              <w:rPr>
                <w:b/>
                <w:spacing w:val="-2"/>
                <w:sz w:val="20"/>
              </w:rPr>
              <w:t>College</w:t>
            </w:r>
          </w:p>
          <w:p>
            <w:pPr>
              <w:pStyle w:val="TableParagraph"/>
              <w:spacing w:before="54"/>
              <w:ind w:right="103"/>
              <w:jc w:val="right"/>
              <w:rPr>
                <w:b/>
                <w:sz w:val="20"/>
              </w:rPr>
            </w:pPr>
            <w:r>
              <w:rPr>
                <w:b/>
                <w:spacing w:val="-2"/>
                <w:sz w:val="20"/>
              </w:rPr>
              <w:t>£’000</w:t>
            </w:r>
          </w:p>
        </w:tc>
        <w:tc>
          <w:tcPr>
            <w:tcW w:w="237" w:type="dxa"/>
          </w:tcPr>
          <w:p>
            <w:pPr>
              <w:pStyle w:val="TableParagraph"/>
              <w:rPr>
                <w:rFonts w:ascii="Times New Roman"/>
                <w:sz w:val="20"/>
              </w:rPr>
            </w:pPr>
          </w:p>
        </w:tc>
        <w:tc>
          <w:tcPr>
            <w:tcW w:w="1113" w:type="dxa"/>
          </w:tcPr>
          <w:p>
            <w:pPr>
              <w:pStyle w:val="TableParagraph"/>
              <w:spacing w:line="223" w:lineRule="exact"/>
              <w:ind w:right="102"/>
              <w:jc w:val="right"/>
              <w:rPr>
                <w:b/>
                <w:sz w:val="20"/>
              </w:rPr>
            </w:pPr>
            <w:r>
              <w:rPr>
                <w:b/>
                <w:spacing w:val="-4"/>
                <w:sz w:val="20"/>
              </w:rPr>
              <w:t>2022</w:t>
            </w:r>
          </w:p>
          <w:p>
            <w:pPr>
              <w:pStyle w:val="TableParagraph"/>
              <w:spacing w:before="55"/>
              <w:ind w:right="101"/>
              <w:jc w:val="right"/>
              <w:rPr>
                <w:b/>
                <w:sz w:val="20"/>
              </w:rPr>
            </w:pPr>
            <w:r>
              <w:rPr>
                <w:b/>
                <w:spacing w:val="-4"/>
                <w:sz w:val="20"/>
              </w:rPr>
              <w:t>Group</w:t>
            </w:r>
          </w:p>
          <w:p>
            <w:pPr>
              <w:pStyle w:val="TableParagraph"/>
              <w:spacing w:before="54"/>
              <w:ind w:right="102"/>
              <w:jc w:val="right"/>
              <w:rPr>
                <w:b/>
                <w:sz w:val="20"/>
              </w:rPr>
            </w:pPr>
            <w:r>
              <w:rPr>
                <w:b/>
                <w:spacing w:val="-2"/>
                <w:sz w:val="20"/>
              </w:rPr>
              <w:t>£’000</w:t>
            </w:r>
          </w:p>
        </w:tc>
        <w:tc>
          <w:tcPr>
            <w:tcW w:w="237" w:type="dxa"/>
          </w:tcPr>
          <w:p>
            <w:pPr>
              <w:pStyle w:val="TableParagraph"/>
              <w:rPr>
                <w:rFonts w:ascii="Times New Roman"/>
                <w:sz w:val="20"/>
              </w:rPr>
            </w:pPr>
          </w:p>
        </w:tc>
        <w:tc>
          <w:tcPr>
            <w:tcW w:w="1118" w:type="dxa"/>
          </w:tcPr>
          <w:p>
            <w:pPr>
              <w:pStyle w:val="TableParagraph"/>
              <w:spacing w:line="223" w:lineRule="exact"/>
              <w:ind w:right="106"/>
              <w:jc w:val="right"/>
              <w:rPr>
                <w:b/>
                <w:sz w:val="20"/>
              </w:rPr>
            </w:pPr>
            <w:r>
              <w:rPr>
                <w:b/>
                <w:spacing w:val="-4"/>
                <w:sz w:val="20"/>
              </w:rPr>
              <w:t>2022</w:t>
            </w:r>
          </w:p>
          <w:p>
            <w:pPr>
              <w:pStyle w:val="TableParagraph"/>
              <w:spacing w:before="55"/>
              <w:ind w:right="106"/>
              <w:jc w:val="right"/>
              <w:rPr>
                <w:b/>
                <w:sz w:val="20"/>
              </w:rPr>
            </w:pPr>
            <w:r>
              <w:rPr>
                <w:b/>
                <w:spacing w:val="-2"/>
                <w:sz w:val="20"/>
              </w:rPr>
              <w:t>College</w:t>
            </w:r>
          </w:p>
          <w:p>
            <w:pPr>
              <w:pStyle w:val="TableParagraph"/>
              <w:spacing w:before="54"/>
              <w:ind w:right="106"/>
              <w:jc w:val="right"/>
              <w:rPr>
                <w:b/>
                <w:sz w:val="20"/>
              </w:rPr>
            </w:pPr>
            <w:r>
              <w:rPr>
                <w:b/>
                <w:spacing w:val="-2"/>
                <w:sz w:val="20"/>
              </w:rPr>
              <w:t>£’000</w:t>
            </w:r>
          </w:p>
        </w:tc>
      </w:tr>
      <w:tr>
        <w:trPr>
          <w:trHeight w:val="284" w:hRule="atLeast"/>
        </w:trPr>
        <w:tc>
          <w:tcPr>
            <w:tcW w:w="3481" w:type="dxa"/>
          </w:tcPr>
          <w:p>
            <w:pPr>
              <w:pStyle w:val="TableParagraph"/>
              <w:spacing w:before="24"/>
              <w:ind w:left="50"/>
              <w:rPr>
                <w:sz w:val="20"/>
              </w:rPr>
            </w:pPr>
            <w:r>
              <w:rPr>
                <w:sz w:val="20"/>
              </w:rPr>
              <w:t>Tangible</w:t>
            </w:r>
            <w:r>
              <w:rPr>
                <w:spacing w:val="-11"/>
                <w:sz w:val="20"/>
              </w:rPr>
              <w:t> </w:t>
            </w:r>
            <w:r>
              <w:rPr>
                <w:spacing w:val="-2"/>
                <w:sz w:val="20"/>
              </w:rPr>
              <w:t>assets</w:t>
            </w:r>
          </w:p>
        </w:tc>
        <w:tc>
          <w:tcPr>
            <w:tcW w:w="841" w:type="dxa"/>
          </w:tcPr>
          <w:p>
            <w:pPr>
              <w:pStyle w:val="TableParagraph"/>
              <w:spacing w:before="24"/>
              <w:ind w:right="110"/>
              <w:jc w:val="right"/>
              <w:rPr>
                <w:sz w:val="20"/>
              </w:rPr>
            </w:pPr>
            <w:r>
              <w:rPr>
                <w:spacing w:val="-5"/>
                <w:sz w:val="20"/>
              </w:rPr>
              <w:t>11</w:t>
            </w:r>
          </w:p>
        </w:tc>
        <w:tc>
          <w:tcPr>
            <w:tcW w:w="1113" w:type="dxa"/>
          </w:tcPr>
          <w:p>
            <w:pPr>
              <w:pStyle w:val="TableParagraph"/>
              <w:spacing w:before="24"/>
              <w:ind w:right="107"/>
              <w:jc w:val="right"/>
              <w:rPr>
                <w:sz w:val="20"/>
              </w:rPr>
            </w:pPr>
            <w:r>
              <w:rPr>
                <w:spacing w:val="-2"/>
                <w:sz w:val="20"/>
              </w:rPr>
              <w:t>24,505</w:t>
            </w:r>
          </w:p>
        </w:tc>
        <w:tc>
          <w:tcPr>
            <w:tcW w:w="285" w:type="dxa"/>
          </w:tcPr>
          <w:p>
            <w:pPr>
              <w:pStyle w:val="TableParagraph"/>
              <w:rPr>
                <w:rFonts w:ascii="Times New Roman"/>
                <w:sz w:val="20"/>
              </w:rPr>
            </w:pPr>
          </w:p>
        </w:tc>
        <w:tc>
          <w:tcPr>
            <w:tcW w:w="1120" w:type="dxa"/>
          </w:tcPr>
          <w:p>
            <w:pPr>
              <w:pStyle w:val="TableParagraph"/>
              <w:spacing w:before="24"/>
              <w:ind w:right="103"/>
              <w:jc w:val="right"/>
              <w:rPr>
                <w:sz w:val="20"/>
              </w:rPr>
            </w:pPr>
            <w:r>
              <w:rPr>
                <w:spacing w:val="-2"/>
                <w:sz w:val="20"/>
              </w:rPr>
              <w:t>24,505</w:t>
            </w:r>
          </w:p>
        </w:tc>
        <w:tc>
          <w:tcPr>
            <w:tcW w:w="237" w:type="dxa"/>
          </w:tcPr>
          <w:p>
            <w:pPr>
              <w:pStyle w:val="TableParagraph"/>
              <w:rPr>
                <w:rFonts w:ascii="Times New Roman"/>
                <w:sz w:val="20"/>
              </w:rPr>
            </w:pPr>
          </w:p>
        </w:tc>
        <w:tc>
          <w:tcPr>
            <w:tcW w:w="1113" w:type="dxa"/>
          </w:tcPr>
          <w:p>
            <w:pPr>
              <w:pStyle w:val="TableParagraph"/>
              <w:spacing w:before="24"/>
              <w:ind w:right="102"/>
              <w:jc w:val="right"/>
              <w:rPr>
                <w:sz w:val="20"/>
              </w:rPr>
            </w:pPr>
            <w:r>
              <w:rPr>
                <w:spacing w:val="-2"/>
                <w:sz w:val="20"/>
              </w:rPr>
              <w:t>25,062</w:t>
            </w:r>
          </w:p>
        </w:tc>
        <w:tc>
          <w:tcPr>
            <w:tcW w:w="237" w:type="dxa"/>
          </w:tcPr>
          <w:p>
            <w:pPr>
              <w:pStyle w:val="TableParagraph"/>
              <w:rPr>
                <w:rFonts w:ascii="Times New Roman"/>
                <w:sz w:val="20"/>
              </w:rPr>
            </w:pPr>
          </w:p>
        </w:tc>
        <w:tc>
          <w:tcPr>
            <w:tcW w:w="1118" w:type="dxa"/>
          </w:tcPr>
          <w:p>
            <w:pPr>
              <w:pStyle w:val="TableParagraph"/>
              <w:spacing w:before="24"/>
              <w:ind w:left="399"/>
              <w:rPr>
                <w:sz w:val="20"/>
              </w:rPr>
            </w:pPr>
            <w:r>
              <w:rPr>
                <w:spacing w:val="-2"/>
                <w:sz w:val="20"/>
              </w:rPr>
              <w:t>25,062</w:t>
            </w:r>
          </w:p>
        </w:tc>
      </w:tr>
      <w:tr>
        <w:trPr>
          <w:trHeight w:val="308" w:hRule="atLeast"/>
        </w:trPr>
        <w:tc>
          <w:tcPr>
            <w:tcW w:w="3481" w:type="dxa"/>
          </w:tcPr>
          <w:p>
            <w:pPr>
              <w:pStyle w:val="TableParagraph"/>
              <w:spacing w:before="23"/>
              <w:ind w:left="50"/>
              <w:rPr>
                <w:sz w:val="20"/>
              </w:rPr>
            </w:pPr>
            <w:r>
              <w:rPr>
                <w:spacing w:val="-2"/>
                <w:sz w:val="20"/>
              </w:rPr>
              <w:t>Investments</w:t>
            </w:r>
          </w:p>
        </w:tc>
        <w:tc>
          <w:tcPr>
            <w:tcW w:w="841" w:type="dxa"/>
          </w:tcPr>
          <w:p>
            <w:pPr>
              <w:pStyle w:val="TableParagraph"/>
              <w:spacing w:before="23"/>
              <w:ind w:right="110"/>
              <w:jc w:val="right"/>
              <w:rPr>
                <w:sz w:val="20"/>
              </w:rPr>
            </w:pPr>
            <w:r>
              <w:rPr>
                <w:spacing w:val="-5"/>
                <w:sz w:val="20"/>
              </w:rPr>
              <w:t>12</w:t>
            </w:r>
          </w:p>
        </w:tc>
        <w:tc>
          <w:tcPr>
            <w:tcW w:w="1113" w:type="dxa"/>
            <w:tcBorders>
              <w:bottom w:val="single" w:sz="4" w:space="0" w:color="000000"/>
            </w:tcBorders>
          </w:tcPr>
          <w:p>
            <w:pPr>
              <w:pStyle w:val="TableParagraph"/>
              <w:spacing w:before="23"/>
              <w:ind w:right="105"/>
              <w:jc w:val="right"/>
              <w:rPr>
                <w:sz w:val="20"/>
              </w:rPr>
            </w:pPr>
            <w:r>
              <w:rPr>
                <w:spacing w:val="-10"/>
                <w:sz w:val="20"/>
              </w:rPr>
              <w:t>1</w:t>
            </w:r>
          </w:p>
        </w:tc>
        <w:tc>
          <w:tcPr>
            <w:tcW w:w="285" w:type="dxa"/>
          </w:tcPr>
          <w:p>
            <w:pPr>
              <w:pStyle w:val="TableParagraph"/>
              <w:rPr>
                <w:rFonts w:ascii="Times New Roman"/>
                <w:sz w:val="20"/>
              </w:rPr>
            </w:pPr>
          </w:p>
        </w:tc>
        <w:tc>
          <w:tcPr>
            <w:tcW w:w="1120" w:type="dxa"/>
            <w:tcBorders>
              <w:bottom w:val="single" w:sz="4" w:space="0" w:color="000000"/>
            </w:tcBorders>
          </w:tcPr>
          <w:p>
            <w:pPr>
              <w:pStyle w:val="TableParagraph"/>
              <w:spacing w:before="23"/>
              <w:ind w:right="101"/>
              <w:jc w:val="right"/>
              <w:rPr>
                <w:sz w:val="20"/>
              </w:rPr>
            </w:pPr>
            <w:r>
              <w:rPr>
                <w:spacing w:val="-10"/>
                <w:sz w:val="20"/>
              </w:rPr>
              <w:t>1</w:t>
            </w:r>
          </w:p>
        </w:tc>
        <w:tc>
          <w:tcPr>
            <w:tcW w:w="237" w:type="dxa"/>
          </w:tcPr>
          <w:p>
            <w:pPr>
              <w:pStyle w:val="TableParagraph"/>
              <w:rPr>
                <w:rFonts w:ascii="Times New Roman"/>
                <w:sz w:val="20"/>
              </w:rPr>
            </w:pPr>
          </w:p>
        </w:tc>
        <w:tc>
          <w:tcPr>
            <w:tcW w:w="1113" w:type="dxa"/>
            <w:tcBorders>
              <w:bottom w:val="single" w:sz="4" w:space="0" w:color="000000"/>
            </w:tcBorders>
          </w:tcPr>
          <w:p>
            <w:pPr>
              <w:pStyle w:val="TableParagraph"/>
              <w:spacing w:before="23"/>
              <w:ind w:right="100"/>
              <w:jc w:val="right"/>
              <w:rPr>
                <w:sz w:val="20"/>
              </w:rPr>
            </w:pPr>
            <w:r>
              <w:rPr>
                <w:spacing w:val="-10"/>
                <w:sz w:val="20"/>
              </w:rPr>
              <w:t>1</w:t>
            </w:r>
          </w:p>
        </w:tc>
        <w:tc>
          <w:tcPr>
            <w:tcW w:w="237" w:type="dxa"/>
          </w:tcPr>
          <w:p>
            <w:pPr>
              <w:pStyle w:val="TableParagraph"/>
              <w:rPr>
                <w:rFonts w:ascii="Times New Roman"/>
                <w:sz w:val="20"/>
              </w:rPr>
            </w:pPr>
          </w:p>
        </w:tc>
        <w:tc>
          <w:tcPr>
            <w:tcW w:w="1118" w:type="dxa"/>
            <w:tcBorders>
              <w:bottom w:val="single" w:sz="4" w:space="0" w:color="000000"/>
            </w:tcBorders>
          </w:tcPr>
          <w:p>
            <w:pPr>
              <w:pStyle w:val="TableParagraph"/>
              <w:spacing w:before="23"/>
              <w:ind w:right="103"/>
              <w:jc w:val="right"/>
              <w:rPr>
                <w:sz w:val="20"/>
              </w:rPr>
            </w:pPr>
            <w:r>
              <w:rPr>
                <w:spacing w:val="-10"/>
                <w:sz w:val="20"/>
              </w:rPr>
              <w:t>1</w:t>
            </w:r>
          </w:p>
        </w:tc>
      </w:tr>
      <w:tr>
        <w:trPr>
          <w:trHeight w:val="254" w:hRule="atLeast"/>
        </w:trPr>
        <w:tc>
          <w:tcPr>
            <w:tcW w:w="3481" w:type="dxa"/>
          </w:tcPr>
          <w:p>
            <w:pPr>
              <w:pStyle w:val="TableParagraph"/>
              <w:rPr>
                <w:rFonts w:ascii="Times New Roman"/>
                <w:sz w:val="18"/>
              </w:rPr>
            </w:pPr>
          </w:p>
        </w:tc>
        <w:tc>
          <w:tcPr>
            <w:tcW w:w="841" w:type="dxa"/>
          </w:tcPr>
          <w:p>
            <w:pPr>
              <w:pStyle w:val="TableParagraph"/>
              <w:rPr>
                <w:rFonts w:ascii="Times New Roman"/>
                <w:sz w:val="18"/>
              </w:rPr>
            </w:pPr>
          </w:p>
        </w:tc>
        <w:tc>
          <w:tcPr>
            <w:tcW w:w="1113" w:type="dxa"/>
            <w:tcBorders>
              <w:top w:val="single" w:sz="4" w:space="0" w:color="000000"/>
            </w:tcBorders>
          </w:tcPr>
          <w:p>
            <w:pPr>
              <w:pStyle w:val="TableParagraph"/>
              <w:spacing w:line="229" w:lineRule="exact"/>
              <w:ind w:right="107"/>
              <w:jc w:val="right"/>
              <w:rPr>
                <w:sz w:val="20"/>
              </w:rPr>
            </w:pPr>
            <w:r>
              <w:rPr>
                <w:spacing w:val="-2"/>
                <w:sz w:val="20"/>
              </w:rPr>
              <w:t>24,506</w:t>
            </w:r>
          </w:p>
        </w:tc>
        <w:tc>
          <w:tcPr>
            <w:tcW w:w="285" w:type="dxa"/>
          </w:tcPr>
          <w:p>
            <w:pPr>
              <w:pStyle w:val="TableParagraph"/>
              <w:rPr>
                <w:rFonts w:ascii="Times New Roman"/>
                <w:sz w:val="18"/>
              </w:rPr>
            </w:pPr>
          </w:p>
        </w:tc>
        <w:tc>
          <w:tcPr>
            <w:tcW w:w="1120" w:type="dxa"/>
            <w:tcBorders>
              <w:top w:val="single" w:sz="4" w:space="0" w:color="000000"/>
            </w:tcBorders>
          </w:tcPr>
          <w:p>
            <w:pPr>
              <w:pStyle w:val="TableParagraph"/>
              <w:spacing w:line="229" w:lineRule="exact"/>
              <w:ind w:right="103"/>
              <w:jc w:val="right"/>
              <w:rPr>
                <w:sz w:val="20"/>
              </w:rPr>
            </w:pPr>
            <w:r>
              <w:rPr>
                <w:spacing w:val="-2"/>
                <w:sz w:val="20"/>
              </w:rPr>
              <w:t>24,506</w:t>
            </w:r>
          </w:p>
        </w:tc>
        <w:tc>
          <w:tcPr>
            <w:tcW w:w="237" w:type="dxa"/>
          </w:tcPr>
          <w:p>
            <w:pPr>
              <w:pStyle w:val="TableParagraph"/>
              <w:rPr>
                <w:rFonts w:ascii="Times New Roman"/>
                <w:sz w:val="18"/>
              </w:rPr>
            </w:pPr>
          </w:p>
        </w:tc>
        <w:tc>
          <w:tcPr>
            <w:tcW w:w="1113" w:type="dxa"/>
            <w:tcBorders>
              <w:top w:val="single" w:sz="4" w:space="0" w:color="000000"/>
            </w:tcBorders>
          </w:tcPr>
          <w:p>
            <w:pPr>
              <w:pStyle w:val="TableParagraph"/>
              <w:spacing w:line="229" w:lineRule="exact"/>
              <w:ind w:right="102"/>
              <w:jc w:val="right"/>
              <w:rPr>
                <w:sz w:val="20"/>
              </w:rPr>
            </w:pPr>
            <w:r>
              <w:rPr>
                <w:spacing w:val="-2"/>
                <w:sz w:val="20"/>
              </w:rPr>
              <w:t>25,063</w:t>
            </w:r>
          </w:p>
        </w:tc>
        <w:tc>
          <w:tcPr>
            <w:tcW w:w="237" w:type="dxa"/>
          </w:tcPr>
          <w:p>
            <w:pPr>
              <w:pStyle w:val="TableParagraph"/>
              <w:rPr>
                <w:rFonts w:ascii="Times New Roman"/>
                <w:sz w:val="18"/>
              </w:rPr>
            </w:pPr>
          </w:p>
        </w:tc>
        <w:tc>
          <w:tcPr>
            <w:tcW w:w="1118" w:type="dxa"/>
            <w:tcBorders>
              <w:top w:val="single" w:sz="4" w:space="0" w:color="000000"/>
            </w:tcBorders>
          </w:tcPr>
          <w:p>
            <w:pPr>
              <w:pStyle w:val="TableParagraph"/>
              <w:spacing w:line="229" w:lineRule="exact"/>
              <w:ind w:left="399"/>
              <w:rPr>
                <w:sz w:val="20"/>
              </w:rPr>
            </w:pPr>
            <w:r>
              <w:rPr>
                <w:spacing w:val="-2"/>
                <w:sz w:val="20"/>
              </w:rPr>
              <w:t>25,063</w:t>
            </w:r>
          </w:p>
        </w:tc>
      </w:tr>
      <w:tr>
        <w:trPr>
          <w:trHeight w:val="278" w:hRule="atLeast"/>
        </w:trPr>
        <w:tc>
          <w:tcPr>
            <w:tcW w:w="3481" w:type="dxa"/>
          </w:tcPr>
          <w:p>
            <w:pPr>
              <w:pStyle w:val="TableParagraph"/>
              <w:spacing w:before="18"/>
              <w:ind w:left="50"/>
              <w:rPr>
                <w:b/>
                <w:sz w:val="20"/>
              </w:rPr>
            </w:pPr>
            <w:r>
              <w:rPr>
                <w:b/>
                <w:sz w:val="20"/>
              </w:rPr>
              <w:t>Current</w:t>
            </w:r>
            <w:r>
              <w:rPr>
                <w:b/>
                <w:spacing w:val="-11"/>
                <w:sz w:val="20"/>
              </w:rPr>
              <w:t> </w:t>
            </w:r>
            <w:r>
              <w:rPr>
                <w:b/>
                <w:spacing w:val="-2"/>
                <w:sz w:val="20"/>
              </w:rPr>
              <w:t>assets</w:t>
            </w:r>
          </w:p>
        </w:tc>
        <w:tc>
          <w:tcPr>
            <w:tcW w:w="841" w:type="dxa"/>
          </w:tcPr>
          <w:p>
            <w:pPr>
              <w:pStyle w:val="TableParagraph"/>
              <w:rPr>
                <w:rFonts w:ascii="Times New Roman"/>
                <w:sz w:val="20"/>
              </w:rPr>
            </w:pPr>
          </w:p>
        </w:tc>
        <w:tc>
          <w:tcPr>
            <w:tcW w:w="1113" w:type="dxa"/>
          </w:tcPr>
          <w:p>
            <w:pPr>
              <w:pStyle w:val="TableParagraph"/>
              <w:rPr>
                <w:rFonts w:ascii="Times New Roman"/>
                <w:sz w:val="20"/>
              </w:rPr>
            </w:pPr>
          </w:p>
        </w:tc>
        <w:tc>
          <w:tcPr>
            <w:tcW w:w="285" w:type="dxa"/>
          </w:tcPr>
          <w:p>
            <w:pPr>
              <w:pStyle w:val="TableParagraph"/>
              <w:rPr>
                <w:rFonts w:ascii="Times New Roman"/>
                <w:sz w:val="20"/>
              </w:rPr>
            </w:pPr>
          </w:p>
        </w:tc>
        <w:tc>
          <w:tcPr>
            <w:tcW w:w="1120" w:type="dxa"/>
          </w:tcPr>
          <w:p>
            <w:pPr>
              <w:pStyle w:val="TableParagraph"/>
              <w:rPr>
                <w:rFonts w:ascii="Times New Roman"/>
                <w:sz w:val="20"/>
              </w:rPr>
            </w:pPr>
          </w:p>
        </w:tc>
        <w:tc>
          <w:tcPr>
            <w:tcW w:w="237" w:type="dxa"/>
          </w:tcPr>
          <w:p>
            <w:pPr>
              <w:pStyle w:val="TableParagraph"/>
              <w:rPr>
                <w:rFonts w:ascii="Times New Roman"/>
                <w:sz w:val="20"/>
              </w:rPr>
            </w:pPr>
          </w:p>
        </w:tc>
        <w:tc>
          <w:tcPr>
            <w:tcW w:w="1113" w:type="dxa"/>
          </w:tcPr>
          <w:p>
            <w:pPr>
              <w:pStyle w:val="TableParagraph"/>
              <w:rPr>
                <w:rFonts w:ascii="Times New Roman"/>
                <w:sz w:val="20"/>
              </w:rPr>
            </w:pPr>
          </w:p>
        </w:tc>
        <w:tc>
          <w:tcPr>
            <w:tcW w:w="237" w:type="dxa"/>
          </w:tcPr>
          <w:p>
            <w:pPr>
              <w:pStyle w:val="TableParagraph"/>
              <w:rPr>
                <w:rFonts w:ascii="Times New Roman"/>
                <w:sz w:val="20"/>
              </w:rPr>
            </w:pPr>
          </w:p>
        </w:tc>
        <w:tc>
          <w:tcPr>
            <w:tcW w:w="1118" w:type="dxa"/>
          </w:tcPr>
          <w:p>
            <w:pPr>
              <w:pStyle w:val="TableParagraph"/>
              <w:rPr>
                <w:rFonts w:ascii="Times New Roman"/>
                <w:sz w:val="20"/>
              </w:rPr>
            </w:pPr>
          </w:p>
        </w:tc>
      </w:tr>
      <w:tr>
        <w:trPr>
          <w:trHeight w:val="283" w:hRule="atLeast"/>
        </w:trPr>
        <w:tc>
          <w:tcPr>
            <w:tcW w:w="3481" w:type="dxa"/>
          </w:tcPr>
          <w:p>
            <w:pPr>
              <w:pStyle w:val="TableParagraph"/>
              <w:spacing w:before="23"/>
              <w:ind w:left="50"/>
              <w:rPr>
                <w:sz w:val="20"/>
              </w:rPr>
            </w:pPr>
            <w:r>
              <w:rPr>
                <w:spacing w:val="-2"/>
                <w:sz w:val="20"/>
              </w:rPr>
              <w:t>Stocks</w:t>
            </w:r>
          </w:p>
        </w:tc>
        <w:tc>
          <w:tcPr>
            <w:tcW w:w="841" w:type="dxa"/>
          </w:tcPr>
          <w:p>
            <w:pPr>
              <w:pStyle w:val="TableParagraph"/>
              <w:rPr>
                <w:rFonts w:ascii="Times New Roman"/>
                <w:sz w:val="20"/>
              </w:rPr>
            </w:pPr>
          </w:p>
        </w:tc>
        <w:tc>
          <w:tcPr>
            <w:tcW w:w="1113" w:type="dxa"/>
          </w:tcPr>
          <w:p>
            <w:pPr>
              <w:pStyle w:val="TableParagraph"/>
              <w:spacing w:before="23"/>
              <w:ind w:right="107"/>
              <w:jc w:val="right"/>
              <w:rPr>
                <w:sz w:val="20"/>
              </w:rPr>
            </w:pPr>
            <w:r>
              <w:rPr>
                <w:spacing w:val="-5"/>
                <w:sz w:val="20"/>
              </w:rPr>
              <w:t>120</w:t>
            </w:r>
          </w:p>
        </w:tc>
        <w:tc>
          <w:tcPr>
            <w:tcW w:w="285" w:type="dxa"/>
          </w:tcPr>
          <w:p>
            <w:pPr>
              <w:pStyle w:val="TableParagraph"/>
              <w:rPr>
                <w:rFonts w:ascii="Times New Roman"/>
                <w:sz w:val="20"/>
              </w:rPr>
            </w:pPr>
          </w:p>
        </w:tc>
        <w:tc>
          <w:tcPr>
            <w:tcW w:w="1120" w:type="dxa"/>
          </w:tcPr>
          <w:p>
            <w:pPr>
              <w:pStyle w:val="TableParagraph"/>
              <w:spacing w:before="23"/>
              <w:ind w:right="104"/>
              <w:jc w:val="right"/>
              <w:rPr>
                <w:sz w:val="20"/>
              </w:rPr>
            </w:pPr>
            <w:r>
              <w:rPr>
                <w:spacing w:val="-5"/>
                <w:sz w:val="20"/>
              </w:rPr>
              <w:t>119</w:t>
            </w:r>
          </w:p>
        </w:tc>
        <w:tc>
          <w:tcPr>
            <w:tcW w:w="237" w:type="dxa"/>
          </w:tcPr>
          <w:p>
            <w:pPr>
              <w:pStyle w:val="TableParagraph"/>
              <w:rPr>
                <w:rFonts w:ascii="Times New Roman"/>
                <w:sz w:val="20"/>
              </w:rPr>
            </w:pPr>
          </w:p>
        </w:tc>
        <w:tc>
          <w:tcPr>
            <w:tcW w:w="1113" w:type="dxa"/>
          </w:tcPr>
          <w:p>
            <w:pPr>
              <w:pStyle w:val="TableParagraph"/>
              <w:spacing w:before="23"/>
              <w:ind w:right="102"/>
              <w:jc w:val="right"/>
              <w:rPr>
                <w:sz w:val="20"/>
              </w:rPr>
            </w:pPr>
            <w:r>
              <w:rPr>
                <w:spacing w:val="-5"/>
                <w:sz w:val="20"/>
              </w:rPr>
              <w:t>119</w:t>
            </w:r>
          </w:p>
        </w:tc>
        <w:tc>
          <w:tcPr>
            <w:tcW w:w="237" w:type="dxa"/>
          </w:tcPr>
          <w:p>
            <w:pPr>
              <w:pStyle w:val="TableParagraph"/>
              <w:rPr>
                <w:rFonts w:ascii="Times New Roman"/>
                <w:sz w:val="20"/>
              </w:rPr>
            </w:pPr>
          </w:p>
        </w:tc>
        <w:tc>
          <w:tcPr>
            <w:tcW w:w="1118" w:type="dxa"/>
          </w:tcPr>
          <w:p>
            <w:pPr>
              <w:pStyle w:val="TableParagraph"/>
              <w:spacing w:before="23"/>
              <w:ind w:right="106"/>
              <w:jc w:val="right"/>
              <w:rPr>
                <w:sz w:val="20"/>
              </w:rPr>
            </w:pPr>
            <w:r>
              <w:rPr>
                <w:spacing w:val="-5"/>
                <w:sz w:val="20"/>
              </w:rPr>
              <w:t>118</w:t>
            </w:r>
          </w:p>
        </w:tc>
      </w:tr>
      <w:tr>
        <w:trPr>
          <w:trHeight w:val="284" w:hRule="atLeast"/>
        </w:trPr>
        <w:tc>
          <w:tcPr>
            <w:tcW w:w="3481" w:type="dxa"/>
          </w:tcPr>
          <w:p>
            <w:pPr>
              <w:pStyle w:val="TableParagraph"/>
              <w:spacing w:before="23"/>
              <w:ind w:left="50"/>
              <w:rPr>
                <w:sz w:val="20"/>
              </w:rPr>
            </w:pPr>
            <w:r>
              <w:rPr>
                <w:spacing w:val="-2"/>
                <w:sz w:val="20"/>
              </w:rPr>
              <w:t>Debtors</w:t>
            </w:r>
          </w:p>
        </w:tc>
        <w:tc>
          <w:tcPr>
            <w:tcW w:w="841" w:type="dxa"/>
          </w:tcPr>
          <w:p>
            <w:pPr>
              <w:pStyle w:val="TableParagraph"/>
              <w:spacing w:before="23"/>
              <w:ind w:right="110"/>
              <w:jc w:val="right"/>
              <w:rPr>
                <w:sz w:val="20"/>
              </w:rPr>
            </w:pPr>
            <w:r>
              <w:rPr>
                <w:spacing w:val="-5"/>
                <w:sz w:val="20"/>
              </w:rPr>
              <w:t>13</w:t>
            </w:r>
          </w:p>
        </w:tc>
        <w:tc>
          <w:tcPr>
            <w:tcW w:w="1113" w:type="dxa"/>
          </w:tcPr>
          <w:p>
            <w:pPr>
              <w:pStyle w:val="TableParagraph"/>
              <w:spacing w:before="23"/>
              <w:ind w:right="107"/>
              <w:jc w:val="right"/>
              <w:rPr>
                <w:sz w:val="20"/>
              </w:rPr>
            </w:pPr>
            <w:r>
              <w:rPr>
                <w:spacing w:val="-2"/>
                <w:sz w:val="20"/>
              </w:rPr>
              <w:t>2,430</w:t>
            </w:r>
          </w:p>
        </w:tc>
        <w:tc>
          <w:tcPr>
            <w:tcW w:w="285" w:type="dxa"/>
          </w:tcPr>
          <w:p>
            <w:pPr>
              <w:pStyle w:val="TableParagraph"/>
              <w:rPr>
                <w:rFonts w:ascii="Times New Roman"/>
                <w:sz w:val="20"/>
              </w:rPr>
            </w:pPr>
          </w:p>
        </w:tc>
        <w:tc>
          <w:tcPr>
            <w:tcW w:w="1120" w:type="dxa"/>
          </w:tcPr>
          <w:p>
            <w:pPr>
              <w:pStyle w:val="TableParagraph"/>
              <w:spacing w:before="23"/>
              <w:ind w:right="103"/>
              <w:jc w:val="right"/>
              <w:rPr>
                <w:sz w:val="20"/>
              </w:rPr>
            </w:pPr>
            <w:r>
              <w:rPr>
                <w:spacing w:val="-2"/>
                <w:sz w:val="20"/>
              </w:rPr>
              <w:t>2,635</w:t>
            </w:r>
          </w:p>
        </w:tc>
        <w:tc>
          <w:tcPr>
            <w:tcW w:w="237" w:type="dxa"/>
          </w:tcPr>
          <w:p>
            <w:pPr>
              <w:pStyle w:val="TableParagraph"/>
              <w:rPr>
                <w:rFonts w:ascii="Times New Roman"/>
                <w:sz w:val="20"/>
              </w:rPr>
            </w:pPr>
          </w:p>
        </w:tc>
        <w:tc>
          <w:tcPr>
            <w:tcW w:w="1113" w:type="dxa"/>
          </w:tcPr>
          <w:p>
            <w:pPr>
              <w:pStyle w:val="TableParagraph"/>
              <w:spacing w:before="23"/>
              <w:ind w:right="102"/>
              <w:jc w:val="right"/>
              <w:rPr>
                <w:sz w:val="20"/>
              </w:rPr>
            </w:pPr>
            <w:r>
              <w:rPr>
                <w:spacing w:val="-2"/>
                <w:sz w:val="20"/>
              </w:rPr>
              <w:t>2,954</w:t>
            </w:r>
          </w:p>
        </w:tc>
        <w:tc>
          <w:tcPr>
            <w:tcW w:w="237" w:type="dxa"/>
          </w:tcPr>
          <w:p>
            <w:pPr>
              <w:pStyle w:val="TableParagraph"/>
              <w:rPr>
                <w:rFonts w:ascii="Times New Roman"/>
                <w:sz w:val="20"/>
              </w:rPr>
            </w:pPr>
          </w:p>
        </w:tc>
        <w:tc>
          <w:tcPr>
            <w:tcW w:w="1118" w:type="dxa"/>
          </w:tcPr>
          <w:p>
            <w:pPr>
              <w:pStyle w:val="TableParagraph"/>
              <w:spacing w:before="23"/>
              <w:ind w:right="106"/>
              <w:jc w:val="right"/>
              <w:rPr>
                <w:sz w:val="20"/>
              </w:rPr>
            </w:pPr>
            <w:r>
              <w:rPr>
                <w:spacing w:val="-2"/>
                <w:sz w:val="20"/>
              </w:rPr>
              <w:t>2,935</w:t>
            </w:r>
          </w:p>
        </w:tc>
      </w:tr>
      <w:tr>
        <w:trPr>
          <w:trHeight w:val="307" w:hRule="atLeast"/>
        </w:trPr>
        <w:tc>
          <w:tcPr>
            <w:tcW w:w="3481" w:type="dxa"/>
          </w:tcPr>
          <w:p>
            <w:pPr>
              <w:pStyle w:val="TableParagraph"/>
              <w:spacing w:before="24"/>
              <w:ind w:left="50"/>
              <w:rPr>
                <w:sz w:val="20"/>
              </w:rPr>
            </w:pPr>
            <w:r>
              <w:rPr>
                <w:sz w:val="20"/>
              </w:rPr>
              <w:t>Cash</w:t>
            </w:r>
            <w:r>
              <w:rPr>
                <w:spacing w:val="-6"/>
                <w:sz w:val="20"/>
              </w:rPr>
              <w:t> </w:t>
            </w:r>
            <w:r>
              <w:rPr>
                <w:sz w:val="20"/>
              </w:rPr>
              <w:t>at</w:t>
            </w:r>
            <w:r>
              <w:rPr>
                <w:spacing w:val="-4"/>
                <w:sz w:val="20"/>
              </w:rPr>
              <w:t> </w:t>
            </w:r>
            <w:r>
              <w:rPr>
                <w:sz w:val="20"/>
              </w:rPr>
              <w:t>bank</w:t>
            </w:r>
            <w:r>
              <w:rPr>
                <w:spacing w:val="-2"/>
                <w:sz w:val="20"/>
              </w:rPr>
              <w:t> </w:t>
            </w:r>
            <w:r>
              <w:rPr>
                <w:sz w:val="20"/>
              </w:rPr>
              <w:t>and</w:t>
            </w:r>
            <w:r>
              <w:rPr>
                <w:spacing w:val="-3"/>
                <w:sz w:val="20"/>
              </w:rPr>
              <w:t> </w:t>
            </w:r>
            <w:r>
              <w:rPr>
                <w:sz w:val="20"/>
              </w:rPr>
              <w:t>in</w:t>
            </w:r>
            <w:r>
              <w:rPr>
                <w:spacing w:val="-4"/>
                <w:sz w:val="20"/>
              </w:rPr>
              <w:t> hand</w:t>
            </w:r>
          </w:p>
        </w:tc>
        <w:tc>
          <w:tcPr>
            <w:tcW w:w="841" w:type="dxa"/>
          </w:tcPr>
          <w:p>
            <w:pPr>
              <w:pStyle w:val="TableParagraph"/>
              <w:rPr>
                <w:rFonts w:ascii="Times New Roman"/>
                <w:sz w:val="20"/>
              </w:rPr>
            </w:pPr>
          </w:p>
        </w:tc>
        <w:tc>
          <w:tcPr>
            <w:tcW w:w="1113" w:type="dxa"/>
            <w:tcBorders>
              <w:bottom w:val="single" w:sz="4" w:space="0" w:color="000000"/>
            </w:tcBorders>
          </w:tcPr>
          <w:p>
            <w:pPr>
              <w:pStyle w:val="TableParagraph"/>
              <w:spacing w:before="24"/>
              <w:ind w:right="105"/>
              <w:jc w:val="right"/>
              <w:rPr>
                <w:sz w:val="20"/>
              </w:rPr>
            </w:pPr>
            <w:r>
              <w:rPr>
                <w:spacing w:val="-2"/>
                <w:sz w:val="20"/>
              </w:rPr>
              <w:t>8,421</w:t>
            </w:r>
          </w:p>
        </w:tc>
        <w:tc>
          <w:tcPr>
            <w:tcW w:w="285" w:type="dxa"/>
          </w:tcPr>
          <w:p>
            <w:pPr>
              <w:pStyle w:val="TableParagraph"/>
              <w:rPr>
                <w:rFonts w:ascii="Times New Roman"/>
                <w:sz w:val="20"/>
              </w:rPr>
            </w:pPr>
          </w:p>
        </w:tc>
        <w:tc>
          <w:tcPr>
            <w:tcW w:w="1120" w:type="dxa"/>
            <w:tcBorders>
              <w:bottom w:val="single" w:sz="4" w:space="0" w:color="000000"/>
            </w:tcBorders>
          </w:tcPr>
          <w:p>
            <w:pPr>
              <w:pStyle w:val="TableParagraph"/>
              <w:spacing w:before="24"/>
              <w:ind w:right="103"/>
              <w:jc w:val="right"/>
              <w:rPr>
                <w:sz w:val="20"/>
              </w:rPr>
            </w:pPr>
            <w:r>
              <w:rPr>
                <w:spacing w:val="-2"/>
                <w:sz w:val="20"/>
              </w:rPr>
              <w:t>8,143</w:t>
            </w:r>
          </w:p>
        </w:tc>
        <w:tc>
          <w:tcPr>
            <w:tcW w:w="237" w:type="dxa"/>
          </w:tcPr>
          <w:p>
            <w:pPr>
              <w:pStyle w:val="TableParagraph"/>
              <w:rPr>
                <w:rFonts w:ascii="Times New Roman"/>
                <w:sz w:val="20"/>
              </w:rPr>
            </w:pPr>
          </w:p>
        </w:tc>
        <w:tc>
          <w:tcPr>
            <w:tcW w:w="1113" w:type="dxa"/>
            <w:tcBorders>
              <w:bottom w:val="single" w:sz="4" w:space="0" w:color="000000"/>
            </w:tcBorders>
          </w:tcPr>
          <w:p>
            <w:pPr>
              <w:pStyle w:val="TableParagraph"/>
              <w:spacing w:before="24"/>
              <w:ind w:right="102"/>
              <w:jc w:val="right"/>
              <w:rPr>
                <w:sz w:val="20"/>
              </w:rPr>
            </w:pPr>
            <w:r>
              <w:rPr>
                <w:spacing w:val="-2"/>
                <w:sz w:val="20"/>
              </w:rPr>
              <w:t>7,030</w:t>
            </w:r>
          </w:p>
        </w:tc>
        <w:tc>
          <w:tcPr>
            <w:tcW w:w="237" w:type="dxa"/>
          </w:tcPr>
          <w:p>
            <w:pPr>
              <w:pStyle w:val="TableParagraph"/>
              <w:rPr>
                <w:rFonts w:ascii="Times New Roman"/>
                <w:sz w:val="20"/>
              </w:rPr>
            </w:pPr>
          </w:p>
        </w:tc>
        <w:tc>
          <w:tcPr>
            <w:tcW w:w="1118" w:type="dxa"/>
            <w:tcBorders>
              <w:bottom w:val="single" w:sz="4" w:space="0" w:color="000000"/>
            </w:tcBorders>
          </w:tcPr>
          <w:p>
            <w:pPr>
              <w:pStyle w:val="TableParagraph"/>
              <w:spacing w:before="24"/>
              <w:ind w:right="106"/>
              <w:jc w:val="right"/>
              <w:rPr>
                <w:sz w:val="20"/>
              </w:rPr>
            </w:pPr>
            <w:r>
              <w:rPr>
                <w:spacing w:val="-2"/>
                <w:sz w:val="20"/>
              </w:rPr>
              <w:t>6,870</w:t>
            </w:r>
          </w:p>
        </w:tc>
      </w:tr>
      <w:tr>
        <w:trPr>
          <w:trHeight w:val="275" w:hRule="atLeast"/>
        </w:trPr>
        <w:tc>
          <w:tcPr>
            <w:tcW w:w="3481" w:type="dxa"/>
          </w:tcPr>
          <w:p>
            <w:pPr>
              <w:pStyle w:val="TableParagraph"/>
              <w:rPr>
                <w:rFonts w:ascii="Times New Roman"/>
                <w:sz w:val="20"/>
              </w:rPr>
            </w:pPr>
          </w:p>
        </w:tc>
        <w:tc>
          <w:tcPr>
            <w:tcW w:w="841"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7"/>
              <w:jc w:val="right"/>
              <w:rPr>
                <w:sz w:val="20"/>
              </w:rPr>
            </w:pPr>
            <w:r>
              <w:rPr>
                <w:spacing w:val="-2"/>
                <w:sz w:val="20"/>
              </w:rPr>
              <w:t>10,971</w:t>
            </w:r>
          </w:p>
        </w:tc>
        <w:tc>
          <w:tcPr>
            <w:tcW w:w="285" w:type="dxa"/>
          </w:tcPr>
          <w:p>
            <w:pPr>
              <w:pStyle w:val="TableParagraph"/>
              <w:rPr>
                <w:rFonts w:ascii="Times New Roman"/>
                <w:sz w:val="20"/>
              </w:rPr>
            </w:pPr>
          </w:p>
        </w:tc>
        <w:tc>
          <w:tcPr>
            <w:tcW w:w="1120" w:type="dxa"/>
            <w:tcBorders>
              <w:top w:val="single" w:sz="4" w:space="0" w:color="000000"/>
              <w:bottom w:val="single" w:sz="4" w:space="0" w:color="000000"/>
            </w:tcBorders>
          </w:tcPr>
          <w:p>
            <w:pPr>
              <w:pStyle w:val="TableParagraph"/>
              <w:spacing w:line="229" w:lineRule="exact"/>
              <w:ind w:right="103"/>
              <w:jc w:val="right"/>
              <w:rPr>
                <w:sz w:val="20"/>
              </w:rPr>
            </w:pPr>
            <w:r>
              <w:rPr>
                <w:spacing w:val="-2"/>
                <w:sz w:val="20"/>
              </w:rPr>
              <w:t>10,897</w:t>
            </w:r>
          </w:p>
        </w:tc>
        <w:tc>
          <w:tcPr>
            <w:tcW w:w="237"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2"/>
              <w:jc w:val="right"/>
              <w:rPr>
                <w:sz w:val="20"/>
              </w:rPr>
            </w:pPr>
            <w:r>
              <w:rPr>
                <w:spacing w:val="-2"/>
                <w:sz w:val="20"/>
              </w:rPr>
              <w:t>10,103</w:t>
            </w:r>
          </w:p>
        </w:tc>
        <w:tc>
          <w:tcPr>
            <w:tcW w:w="237" w:type="dxa"/>
          </w:tcPr>
          <w:p>
            <w:pPr>
              <w:pStyle w:val="TableParagraph"/>
              <w:rPr>
                <w:rFonts w:ascii="Times New Roman"/>
                <w:sz w:val="20"/>
              </w:rPr>
            </w:pPr>
          </w:p>
        </w:tc>
        <w:tc>
          <w:tcPr>
            <w:tcW w:w="1118" w:type="dxa"/>
            <w:tcBorders>
              <w:top w:val="single" w:sz="4" w:space="0" w:color="000000"/>
              <w:bottom w:val="single" w:sz="4" w:space="0" w:color="000000"/>
            </w:tcBorders>
          </w:tcPr>
          <w:p>
            <w:pPr>
              <w:pStyle w:val="TableParagraph"/>
              <w:spacing w:line="229" w:lineRule="exact"/>
              <w:ind w:right="106"/>
              <w:jc w:val="right"/>
              <w:rPr>
                <w:sz w:val="20"/>
              </w:rPr>
            </w:pPr>
            <w:r>
              <w:rPr>
                <w:spacing w:val="-2"/>
                <w:sz w:val="20"/>
              </w:rPr>
              <w:t>9,923</w:t>
            </w:r>
          </w:p>
        </w:tc>
      </w:tr>
      <w:tr>
        <w:trPr>
          <w:trHeight w:val="287" w:hRule="atLeast"/>
        </w:trPr>
        <w:tc>
          <w:tcPr>
            <w:tcW w:w="3481" w:type="dxa"/>
          </w:tcPr>
          <w:p>
            <w:pPr>
              <w:pStyle w:val="TableParagraph"/>
              <w:spacing w:line="229" w:lineRule="exact"/>
              <w:ind w:left="50"/>
              <w:rPr>
                <w:b/>
                <w:sz w:val="20"/>
              </w:rPr>
            </w:pPr>
            <w:r>
              <w:rPr>
                <w:b/>
                <w:sz w:val="20"/>
              </w:rPr>
              <w:t>Current</w:t>
            </w:r>
            <w:r>
              <w:rPr>
                <w:b/>
                <w:spacing w:val="-11"/>
                <w:sz w:val="20"/>
              </w:rPr>
              <w:t> </w:t>
            </w:r>
            <w:r>
              <w:rPr>
                <w:b/>
                <w:spacing w:val="-2"/>
                <w:sz w:val="20"/>
              </w:rPr>
              <w:t>liabilities</w:t>
            </w:r>
          </w:p>
        </w:tc>
        <w:tc>
          <w:tcPr>
            <w:tcW w:w="841" w:type="dxa"/>
          </w:tcPr>
          <w:p>
            <w:pPr>
              <w:pStyle w:val="TableParagraph"/>
              <w:rPr>
                <w:rFonts w:ascii="Times New Roman"/>
                <w:sz w:val="20"/>
              </w:rPr>
            </w:pPr>
          </w:p>
        </w:tc>
        <w:tc>
          <w:tcPr>
            <w:tcW w:w="1113" w:type="dxa"/>
            <w:tcBorders>
              <w:top w:val="single" w:sz="4" w:space="0" w:color="000000"/>
            </w:tcBorders>
          </w:tcPr>
          <w:p>
            <w:pPr>
              <w:pStyle w:val="TableParagraph"/>
              <w:rPr>
                <w:rFonts w:ascii="Times New Roman"/>
                <w:sz w:val="20"/>
              </w:rPr>
            </w:pPr>
          </w:p>
        </w:tc>
        <w:tc>
          <w:tcPr>
            <w:tcW w:w="285" w:type="dxa"/>
          </w:tcPr>
          <w:p>
            <w:pPr>
              <w:pStyle w:val="TableParagraph"/>
              <w:rPr>
                <w:rFonts w:ascii="Times New Roman"/>
                <w:sz w:val="20"/>
              </w:rPr>
            </w:pPr>
          </w:p>
        </w:tc>
        <w:tc>
          <w:tcPr>
            <w:tcW w:w="1120" w:type="dxa"/>
            <w:tcBorders>
              <w:top w:val="single" w:sz="4" w:space="0" w:color="000000"/>
            </w:tcBorders>
          </w:tcPr>
          <w:p>
            <w:pPr>
              <w:pStyle w:val="TableParagraph"/>
              <w:rPr>
                <w:rFonts w:ascii="Times New Roman"/>
                <w:sz w:val="20"/>
              </w:rPr>
            </w:pPr>
          </w:p>
        </w:tc>
        <w:tc>
          <w:tcPr>
            <w:tcW w:w="237" w:type="dxa"/>
          </w:tcPr>
          <w:p>
            <w:pPr>
              <w:pStyle w:val="TableParagraph"/>
              <w:rPr>
                <w:rFonts w:ascii="Times New Roman"/>
                <w:sz w:val="20"/>
              </w:rPr>
            </w:pPr>
          </w:p>
        </w:tc>
        <w:tc>
          <w:tcPr>
            <w:tcW w:w="1113" w:type="dxa"/>
            <w:tcBorders>
              <w:top w:val="single" w:sz="4" w:space="0" w:color="000000"/>
            </w:tcBorders>
          </w:tcPr>
          <w:p>
            <w:pPr>
              <w:pStyle w:val="TableParagraph"/>
              <w:rPr>
                <w:rFonts w:ascii="Times New Roman"/>
                <w:sz w:val="20"/>
              </w:rPr>
            </w:pPr>
          </w:p>
        </w:tc>
        <w:tc>
          <w:tcPr>
            <w:tcW w:w="237" w:type="dxa"/>
          </w:tcPr>
          <w:p>
            <w:pPr>
              <w:pStyle w:val="TableParagraph"/>
              <w:rPr>
                <w:rFonts w:ascii="Times New Roman"/>
                <w:sz w:val="20"/>
              </w:rPr>
            </w:pPr>
          </w:p>
        </w:tc>
        <w:tc>
          <w:tcPr>
            <w:tcW w:w="1118" w:type="dxa"/>
            <w:tcBorders>
              <w:top w:val="single" w:sz="4" w:space="0" w:color="000000"/>
            </w:tcBorders>
          </w:tcPr>
          <w:p>
            <w:pPr>
              <w:pStyle w:val="TableParagraph"/>
              <w:rPr>
                <w:rFonts w:ascii="Times New Roman"/>
                <w:sz w:val="20"/>
              </w:rPr>
            </w:pPr>
          </w:p>
        </w:tc>
      </w:tr>
      <w:tr>
        <w:trPr>
          <w:trHeight w:val="550" w:hRule="atLeast"/>
        </w:trPr>
        <w:tc>
          <w:tcPr>
            <w:tcW w:w="3481" w:type="dxa"/>
          </w:tcPr>
          <w:p>
            <w:pPr>
              <w:pStyle w:val="TableParagraph"/>
              <w:spacing w:before="50"/>
              <w:ind w:left="50" w:right="215"/>
              <w:rPr>
                <w:sz w:val="20"/>
              </w:rPr>
            </w:pPr>
            <w:r>
              <w:rPr>
                <w:sz w:val="20"/>
              </w:rPr>
              <w:t>Creditors</w:t>
            </w:r>
            <w:r>
              <w:rPr>
                <w:spacing w:val="-11"/>
                <w:sz w:val="20"/>
              </w:rPr>
              <w:t> </w:t>
            </w:r>
            <w:r>
              <w:rPr>
                <w:sz w:val="20"/>
              </w:rPr>
              <w:t>–</w:t>
            </w:r>
            <w:r>
              <w:rPr>
                <w:spacing w:val="-12"/>
                <w:sz w:val="20"/>
              </w:rPr>
              <w:t> </w:t>
            </w:r>
            <w:r>
              <w:rPr>
                <w:sz w:val="20"/>
              </w:rPr>
              <w:t>amounts</w:t>
            </w:r>
            <w:r>
              <w:rPr>
                <w:spacing w:val="-11"/>
                <w:sz w:val="20"/>
              </w:rPr>
              <w:t> </w:t>
            </w:r>
            <w:r>
              <w:rPr>
                <w:sz w:val="20"/>
              </w:rPr>
              <w:t>falling</w:t>
            </w:r>
            <w:r>
              <w:rPr>
                <w:spacing w:val="-10"/>
                <w:sz w:val="20"/>
              </w:rPr>
              <w:t> </w:t>
            </w:r>
            <w:r>
              <w:rPr>
                <w:sz w:val="20"/>
              </w:rPr>
              <w:t>due within one year</w:t>
            </w:r>
          </w:p>
        </w:tc>
        <w:tc>
          <w:tcPr>
            <w:tcW w:w="841" w:type="dxa"/>
          </w:tcPr>
          <w:p>
            <w:pPr>
              <w:pStyle w:val="TableParagraph"/>
              <w:spacing w:before="51"/>
              <w:rPr>
                <w:b/>
                <w:sz w:val="20"/>
              </w:rPr>
            </w:pPr>
          </w:p>
          <w:p>
            <w:pPr>
              <w:pStyle w:val="TableParagraph"/>
              <w:ind w:right="110"/>
              <w:jc w:val="right"/>
              <w:rPr>
                <w:sz w:val="20"/>
              </w:rPr>
            </w:pPr>
            <w:r>
              <w:rPr>
                <w:spacing w:val="-5"/>
                <w:sz w:val="20"/>
              </w:rPr>
              <w:t>14</w:t>
            </w:r>
          </w:p>
        </w:tc>
        <w:tc>
          <w:tcPr>
            <w:tcW w:w="1113" w:type="dxa"/>
            <w:tcBorders>
              <w:bottom w:val="single" w:sz="4" w:space="0" w:color="000000"/>
            </w:tcBorders>
          </w:tcPr>
          <w:p>
            <w:pPr>
              <w:pStyle w:val="TableParagraph"/>
              <w:spacing w:before="51"/>
              <w:rPr>
                <w:b/>
                <w:sz w:val="20"/>
              </w:rPr>
            </w:pPr>
          </w:p>
          <w:p>
            <w:pPr>
              <w:pStyle w:val="TableParagraph"/>
              <w:ind w:right="53"/>
              <w:jc w:val="right"/>
              <w:rPr>
                <w:sz w:val="20"/>
              </w:rPr>
            </w:pPr>
            <w:r>
              <w:rPr>
                <w:spacing w:val="-2"/>
                <w:sz w:val="20"/>
              </w:rPr>
              <w:t>(8,486)</w:t>
            </w:r>
          </w:p>
        </w:tc>
        <w:tc>
          <w:tcPr>
            <w:tcW w:w="285" w:type="dxa"/>
          </w:tcPr>
          <w:p>
            <w:pPr>
              <w:pStyle w:val="TableParagraph"/>
              <w:rPr>
                <w:rFonts w:ascii="Times New Roman"/>
                <w:sz w:val="20"/>
              </w:rPr>
            </w:pPr>
          </w:p>
        </w:tc>
        <w:tc>
          <w:tcPr>
            <w:tcW w:w="1120" w:type="dxa"/>
            <w:tcBorders>
              <w:bottom w:val="single" w:sz="4" w:space="0" w:color="000000"/>
            </w:tcBorders>
          </w:tcPr>
          <w:p>
            <w:pPr>
              <w:pStyle w:val="TableParagraph"/>
              <w:spacing w:before="51"/>
              <w:rPr>
                <w:b/>
                <w:sz w:val="20"/>
              </w:rPr>
            </w:pPr>
          </w:p>
          <w:p>
            <w:pPr>
              <w:pStyle w:val="TableParagraph"/>
              <w:ind w:right="49"/>
              <w:jc w:val="right"/>
              <w:rPr>
                <w:sz w:val="20"/>
              </w:rPr>
            </w:pPr>
            <w:r>
              <w:rPr>
                <w:spacing w:val="-2"/>
                <w:sz w:val="20"/>
              </w:rPr>
              <w:t>(8,480)</w:t>
            </w:r>
          </w:p>
        </w:tc>
        <w:tc>
          <w:tcPr>
            <w:tcW w:w="237" w:type="dxa"/>
          </w:tcPr>
          <w:p>
            <w:pPr>
              <w:pStyle w:val="TableParagraph"/>
              <w:rPr>
                <w:rFonts w:ascii="Times New Roman"/>
                <w:sz w:val="20"/>
              </w:rPr>
            </w:pPr>
          </w:p>
        </w:tc>
        <w:tc>
          <w:tcPr>
            <w:tcW w:w="1113" w:type="dxa"/>
            <w:tcBorders>
              <w:bottom w:val="single" w:sz="4" w:space="0" w:color="000000"/>
            </w:tcBorders>
          </w:tcPr>
          <w:p>
            <w:pPr>
              <w:pStyle w:val="TableParagraph"/>
              <w:spacing w:before="51"/>
              <w:rPr>
                <w:b/>
                <w:sz w:val="20"/>
              </w:rPr>
            </w:pPr>
          </w:p>
          <w:p>
            <w:pPr>
              <w:pStyle w:val="TableParagraph"/>
              <w:ind w:right="48"/>
              <w:jc w:val="right"/>
              <w:rPr>
                <w:sz w:val="20"/>
              </w:rPr>
            </w:pPr>
            <w:r>
              <w:rPr>
                <w:spacing w:val="-2"/>
                <w:sz w:val="20"/>
              </w:rPr>
              <w:t>(9,647)</w:t>
            </w:r>
          </w:p>
        </w:tc>
        <w:tc>
          <w:tcPr>
            <w:tcW w:w="237" w:type="dxa"/>
          </w:tcPr>
          <w:p>
            <w:pPr>
              <w:pStyle w:val="TableParagraph"/>
              <w:rPr>
                <w:rFonts w:ascii="Times New Roman"/>
                <w:sz w:val="20"/>
              </w:rPr>
            </w:pPr>
          </w:p>
        </w:tc>
        <w:tc>
          <w:tcPr>
            <w:tcW w:w="1118" w:type="dxa"/>
            <w:tcBorders>
              <w:bottom w:val="single" w:sz="4" w:space="0" w:color="000000"/>
            </w:tcBorders>
          </w:tcPr>
          <w:p>
            <w:pPr>
              <w:pStyle w:val="TableParagraph"/>
              <w:spacing w:before="51"/>
              <w:rPr>
                <w:b/>
                <w:sz w:val="20"/>
              </w:rPr>
            </w:pPr>
          </w:p>
          <w:p>
            <w:pPr>
              <w:pStyle w:val="TableParagraph"/>
              <w:ind w:right="50"/>
              <w:jc w:val="right"/>
              <w:rPr>
                <w:sz w:val="20"/>
              </w:rPr>
            </w:pPr>
            <w:r>
              <w:rPr>
                <w:spacing w:val="-2"/>
                <w:sz w:val="20"/>
              </w:rPr>
              <w:t>(9,563)</w:t>
            </w:r>
          </w:p>
        </w:tc>
      </w:tr>
      <w:tr>
        <w:trPr>
          <w:trHeight w:val="273" w:hRule="atLeast"/>
        </w:trPr>
        <w:tc>
          <w:tcPr>
            <w:tcW w:w="3481" w:type="dxa"/>
          </w:tcPr>
          <w:p>
            <w:pPr>
              <w:pStyle w:val="TableParagraph"/>
              <w:spacing w:line="229" w:lineRule="exact"/>
              <w:ind w:left="50"/>
              <w:rPr>
                <w:b/>
                <w:sz w:val="20"/>
              </w:rPr>
            </w:pPr>
            <w:r>
              <w:rPr>
                <w:b/>
                <w:sz w:val="20"/>
              </w:rPr>
              <w:t>Net</w:t>
            </w:r>
            <w:r>
              <w:rPr>
                <w:b/>
                <w:spacing w:val="-7"/>
                <w:sz w:val="20"/>
              </w:rPr>
              <w:t> </w:t>
            </w:r>
            <w:r>
              <w:rPr>
                <w:b/>
                <w:sz w:val="20"/>
              </w:rPr>
              <w:t>current</w:t>
            </w:r>
            <w:r>
              <w:rPr>
                <w:b/>
                <w:spacing w:val="-7"/>
                <w:sz w:val="20"/>
              </w:rPr>
              <w:t> </w:t>
            </w:r>
            <w:r>
              <w:rPr>
                <w:b/>
                <w:spacing w:val="-2"/>
                <w:sz w:val="20"/>
              </w:rPr>
              <w:t>assets</w:t>
            </w:r>
          </w:p>
        </w:tc>
        <w:tc>
          <w:tcPr>
            <w:tcW w:w="841"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7"/>
              <w:jc w:val="right"/>
              <w:rPr>
                <w:sz w:val="20"/>
              </w:rPr>
            </w:pPr>
            <w:r>
              <w:rPr>
                <w:spacing w:val="-2"/>
                <w:sz w:val="20"/>
              </w:rPr>
              <w:t>2,485</w:t>
            </w:r>
          </w:p>
        </w:tc>
        <w:tc>
          <w:tcPr>
            <w:tcW w:w="285" w:type="dxa"/>
          </w:tcPr>
          <w:p>
            <w:pPr>
              <w:pStyle w:val="TableParagraph"/>
              <w:rPr>
                <w:rFonts w:ascii="Times New Roman"/>
                <w:sz w:val="20"/>
              </w:rPr>
            </w:pPr>
          </w:p>
        </w:tc>
        <w:tc>
          <w:tcPr>
            <w:tcW w:w="1120" w:type="dxa"/>
            <w:tcBorders>
              <w:top w:val="single" w:sz="4" w:space="0" w:color="000000"/>
              <w:bottom w:val="single" w:sz="4" w:space="0" w:color="000000"/>
            </w:tcBorders>
          </w:tcPr>
          <w:p>
            <w:pPr>
              <w:pStyle w:val="TableParagraph"/>
              <w:spacing w:line="229" w:lineRule="exact"/>
              <w:ind w:right="103"/>
              <w:jc w:val="right"/>
              <w:rPr>
                <w:sz w:val="20"/>
              </w:rPr>
            </w:pPr>
            <w:r>
              <w:rPr>
                <w:spacing w:val="-2"/>
                <w:sz w:val="20"/>
              </w:rPr>
              <w:t>2,417</w:t>
            </w:r>
          </w:p>
        </w:tc>
        <w:tc>
          <w:tcPr>
            <w:tcW w:w="237"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2"/>
              <w:jc w:val="right"/>
              <w:rPr>
                <w:sz w:val="20"/>
              </w:rPr>
            </w:pPr>
            <w:r>
              <w:rPr>
                <w:spacing w:val="-5"/>
                <w:sz w:val="20"/>
              </w:rPr>
              <w:t>456</w:t>
            </w:r>
          </w:p>
        </w:tc>
        <w:tc>
          <w:tcPr>
            <w:tcW w:w="237" w:type="dxa"/>
          </w:tcPr>
          <w:p>
            <w:pPr>
              <w:pStyle w:val="TableParagraph"/>
              <w:rPr>
                <w:rFonts w:ascii="Times New Roman"/>
                <w:sz w:val="20"/>
              </w:rPr>
            </w:pPr>
          </w:p>
        </w:tc>
        <w:tc>
          <w:tcPr>
            <w:tcW w:w="1118" w:type="dxa"/>
            <w:tcBorders>
              <w:top w:val="single" w:sz="4" w:space="0" w:color="000000"/>
              <w:bottom w:val="single" w:sz="4" w:space="0" w:color="000000"/>
            </w:tcBorders>
          </w:tcPr>
          <w:p>
            <w:pPr>
              <w:pStyle w:val="TableParagraph"/>
              <w:spacing w:line="229" w:lineRule="exact"/>
              <w:ind w:right="106"/>
              <w:jc w:val="right"/>
              <w:rPr>
                <w:sz w:val="20"/>
              </w:rPr>
            </w:pPr>
            <w:r>
              <w:rPr>
                <w:spacing w:val="-5"/>
                <w:sz w:val="20"/>
              </w:rPr>
              <w:t>360</w:t>
            </w:r>
          </w:p>
        </w:tc>
      </w:tr>
      <w:tr>
        <w:trPr>
          <w:trHeight w:val="275" w:hRule="atLeast"/>
        </w:trPr>
        <w:tc>
          <w:tcPr>
            <w:tcW w:w="3481" w:type="dxa"/>
          </w:tcPr>
          <w:p>
            <w:pPr>
              <w:pStyle w:val="TableParagraph"/>
              <w:spacing w:line="229" w:lineRule="exact"/>
              <w:ind w:left="50"/>
              <w:rPr>
                <w:b/>
                <w:sz w:val="20"/>
              </w:rPr>
            </w:pPr>
            <w:r>
              <w:rPr>
                <w:b/>
                <w:sz w:val="20"/>
              </w:rPr>
              <w:t>Total</w:t>
            </w:r>
            <w:r>
              <w:rPr>
                <w:b/>
                <w:spacing w:val="-8"/>
                <w:sz w:val="20"/>
              </w:rPr>
              <w:t> </w:t>
            </w:r>
            <w:r>
              <w:rPr>
                <w:b/>
                <w:sz w:val="20"/>
              </w:rPr>
              <w:t>assets</w:t>
            </w:r>
            <w:r>
              <w:rPr>
                <w:b/>
                <w:spacing w:val="-7"/>
                <w:sz w:val="20"/>
              </w:rPr>
              <w:t> </w:t>
            </w:r>
            <w:r>
              <w:rPr>
                <w:b/>
                <w:sz w:val="20"/>
              </w:rPr>
              <w:t>less</w:t>
            </w:r>
            <w:r>
              <w:rPr>
                <w:b/>
                <w:spacing w:val="-6"/>
                <w:sz w:val="20"/>
              </w:rPr>
              <w:t> </w:t>
            </w:r>
            <w:r>
              <w:rPr>
                <w:b/>
                <w:sz w:val="20"/>
              </w:rPr>
              <w:t>current</w:t>
            </w:r>
            <w:r>
              <w:rPr>
                <w:b/>
                <w:spacing w:val="-4"/>
                <w:sz w:val="20"/>
              </w:rPr>
              <w:t> </w:t>
            </w:r>
            <w:r>
              <w:rPr>
                <w:b/>
                <w:spacing w:val="-2"/>
                <w:sz w:val="20"/>
              </w:rPr>
              <w:t>liabilities</w:t>
            </w:r>
          </w:p>
        </w:tc>
        <w:tc>
          <w:tcPr>
            <w:tcW w:w="841"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7"/>
              <w:jc w:val="right"/>
              <w:rPr>
                <w:sz w:val="20"/>
              </w:rPr>
            </w:pPr>
            <w:r>
              <w:rPr>
                <w:spacing w:val="-2"/>
                <w:sz w:val="20"/>
              </w:rPr>
              <w:t>26,991</w:t>
            </w:r>
          </w:p>
        </w:tc>
        <w:tc>
          <w:tcPr>
            <w:tcW w:w="285" w:type="dxa"/>
          </w:tcPr>
          <w:p>
            <w:pPr>
              <w:pStyle w:val="TableParagraph"/>
              <w:rPr>
                <w:rFonts w:ascii="Times New Roman"/>
                <w:sz w:val="20"/>
              </w:rPr>
            </w:pPr>
          </w:p>
        </w:tc>
        <w:tc>
          <w:tcPr>
            <w:tcW w:w="1120" w:type="dxa"/>
            <w:tcBorders>
              <w:top w:val="single" w:sz="4" w:space="0" w:color="000000"/>
              <w:bottom w:val="single" w:sz="4" w:space="0" w:color="000000"/>
            </w:tcBorders>
          </w:tcPr>
          <w:p>
            <w:pPr>
              <w:pStyle w:val="TableParagraph"/>
              <w:spacing w:line="229" w:lineRule="exact"/>
              <w:ind w:right="104"/>
              <w:jc w:val="right"/>
              <w:rPr>
                <w:sz w:val="20"/>
              </w:rPr>
            </w:pPr>
            <w:r>
              <w:rPr>
                <w:spacing w:val="-2"/>
                <w:sz w:val="20"/>
              </w:rPr>
              <w:t>26,923</w:t>
            </w:r>
          </w:p>
        </w:tc>
        <w:tc>
          <w:tcPr>
            <w:tcW w:w="237"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2"/>
              <w:jc w:val="right"/>
              <w:rPr>
                <w:sz w:val="20"/>
              </w:rPr>
            </w:pPr>
            <w:r>
              <w:rPr>
                <w:spacing w:val="-2"/>
                <w:sz w:val="20"/>
              </w:rPr>
              <w:t>25,519</w:t>
            </w:r>
          </w:p>
        </w:tc>
        <w:tc>
          <w:tcPr>
            <w:tcW w:w="237" w:type="dxa"/>
          </w:tcPr>
          <w:p>
            <w:pPr>
              <w:pStyle w:val="TableParagraph"/>
              <w:rPr>
                <w:rFonts w:ascii="Times New Roman"/>
                <w:sz w:val="20"/>
              </w:rPr>
            </w:pPr>
          </w:p>
        </w:tc>
        <w:tc>
          <w:tcPr>
            <w:tcW w:w="1118" w:type="dxa"/>
            <w:tcBorders>
              <w:top w:val="single" w:sz="4" w:space="0" w:color="000000"/>
              <w:bottom w:val="single" w:sz="4" w:space="0" w:color="000000"/>
            </w:tcBorders>
          </w:tcPr>
          <w:p>
            <w:pPr>
              <w:pStyle w:val="TableParagraph"/>
              <w:spacing w:line="229" w:lineRule="exact"/>
              <w:ind w:left="399"/>
              <w:rPr>
                <w:sz w:val="20"/>
              </w:rPr>
            </w:pPr>
            <w:r>
              <w:rPr>
                <w:spacing w:val="-2"/>
                <w:sz w:val="20"/>
              </w:rPr>
              <w:t>25,423</w:t>
            </w:r>
          </w:p>
        </w:tc>
      </w:tr>
      <w:tr>
        <w:trPr>
          <w:trHeight w:val="792" w:hRule="atLeast"/>
        </w:trPr>
        <w:tc>
          <w:tcPr>
            <w:tcW w:w="3481" w:type="dxa"/>
          </w:tcPr>
          <w:p>
            <w:pPr>
              <w:pStyle w:val="TableParagraph"/>
              <w:spacing w:before="50"/>
              <w:rPr>
                <w:b/>
                <w:sz w:val="20"/>
              </w:rPr>
            </w:pPr>
          </w:p>
          <w:p>
            <w:pPr>
              <w:pStyle w:val="TableParagraph"/>
              <w:ind w:left="50"/>
              <w:rPr>
                <w:sz w:val="20"/>
              </w:rPr>
            </w:pPr>
            <w:r>
              <w:rPr>
                <w:sz w:val="20"/>
              </w:rPr>
              <w:t>Creditors</w:t>
            </w:r>
            <w:r>
              <w:rPr>
                <w:spacing w:val="-9"/>
                <w:sz w:val="20"/>
              </w:rPr>
              <w:t> </w:t>
            </w:r>
            <w:r>
              <w:rPr>
                <w:sz w:val="20"/>
              </w:rPr>
              <w:t>–</w:t>
            </w:r>
            <w:r>
              <w:rPr>
                <w:spacing w:val="-10"/>
                <w:sz w:val="20"/>
              </w:rPr>
              <w:t> </w:t>
            </w:r>
            <w:r>
              <w:rPr>
                <w:sz w:val="20"/>
              </w:rPr>
              <w:t>amounts</w:t>
            </w:r>
            <w:r>
              <w:rPr>
                <w:spacing w:val="-9"/>
                <w:sz w:val="20"/>
              </w:rPr>
              <w:t> </w:t>
            </w:r>
            <w:r>
              <w:rPr>
                <w:sz w:val="20"/>
              </w:rPr>
              <w:t>falling</w:t>
            </w:r>
            <w:r>
              <w:rPr>
                <w:spacing w:val="-8"/>
                <w:sz w:val="20"/>
              </w:rPr>
              <w:t> </w:t>
            </w:r>
            <w:r>
              <w:rPr>
                <w:sz w:val="20"/>
              </w:rPr>
              <w:t>due</w:t>
            </w:r>
            <w:r>
              <w:rPr>
                <w:spacing w:val="-8"/>
                <w:sz w:val="20"/>
              </w:rPr>
              <w:t> </w:t>
            </w:r>
            <w:r>
              <w:rPr>
                <w:sz w:val="20"/>
              </w:rPr>
              <w:t>after more than one year</w:t>
            </w:r>
          </w:p>
        </w:tc>
        <w:tc>
          <w:tcPr>
            <w:tcW w:w="841" w:type="dxa"/>
          </w:tcPr>
          <w:p>
            <w:pPr>
              <w:pStyle w:val="TableParagraph"/>
              <w:rPr>
                <w:b/>
                <w:sz w:val="20"/>
              </w:rPr>
            </w:pPr>
          </w:p>
          <w:p>
            <w:pPr>
              <w:pStyle w:val="TableParagraph"/>
              <w:spacing w:before="48"/>
              <w:rPr>
                <w:b/>
                <w:sz w:val="20"/>
              </w:rPr>
            </w:pPr>
          </w:p>
          <w:p>
            <w:pPr>
              <w:pStyle w:val="TableParagraph"/>
              <w:ind w:right="110"/>
              <w:jc w:val="right"/>
              <w:rPr>
                <w:sz w:val="20"/>
              </w:rPr>
            </w:pPr>
            <w:r>
              <w:rPr>
                <w:spacing w:val="-5"/>
                <w:sz w:val="20"/>
              </w:rPr>
              <w:t>15</w:t>
            </w:r>
          </w:p>
        </w:tc>
        <w:tc>
          <w:tcPr>
            <w:tcW w:w="1113" w:type="dxa"/>
            <w:tcBorders>
              <w:top w:val="single" w:sz="4" w:space="0" w:color="000000"/>
            </w:tcBorders>
          </w:tcPr>
          <w:p>
            <w:pPr>
              <w:pStyle w:val="TableParagraph"/>
              <w:rPr>
                <w:b/>
                <w:sz w:val="20"/>
              </w:rPr>
            </w:pPr>
          </w:p>
          <w:p>
            <w:pPr>
              <w:pStyle w:val="TableParagraph"/>
              <w:spacing w:before="48"/>
              <w:rPr>
                <w:b/>
                <w:sz w:val="20"/>
              </w:rPr>
            </w:pPr>
          </w:p>
          <w:p>
            <w:pPr>
              <w:pStyle w:val="TableParagraph"/>
              <w:ind w:right="53"/>
              <w:jc w:val="right"/>
              <w:rPr>
                <w:sz w:val="20"/>
              </w:rPr>
            </w:pPr>
            <w:r>
              <w:rPr>
                <w:spacing w:val="-2"/>
                <w:sz w:val="20"/>
              </w:rPr>
              <w:t>(6,115)</w:t>
            </w:r>
          </w:p>
        </w:tc>
        <w:tc>
          <w:tcPr>
            <w:tcW w:w="285" w:type="dxa"/>
          </w:tcPr>
          <w:p>
            <w:pPr>
              <w:pStyle w:val="TableParagraph"/>
              <w:rPr>
                <w:rFonts w:ascii="Times New Roman"/>
                <w:sz w:val="20"/>
              </w:rPr>
            </w:pPr>
          </w:p>
        </w:tc>
        <w:tc>
          <w:tcPr>
            <w:tcW w:w="1120" w:type="dxa"/>
            <w:tcBorders>
              <w:top w:val="single" w:sz="4" w:space="0" w:color="000000"/>
            </w:tcBorders>
          </w:tcPr>
          <w:p>
            <w:pPr>
              <w:pStyle w:val="TableParagraph"/>
              <w:rPr>
                <w:b/>
                <w:sz w:val="20"/>
              </w:rPr>
            </w:pPr>
          </w:p>
          <w:p>
            <w:pPr>
              <w:pStyle w:val="TableParagraph"/>
              <w:spacing w:before="48"/>
              <w:rPr>
                <w:b/>
                <w:sz w:val="20"/>
              </w:rPr>
            </w:pPr>
          </w:p>
          <w:p>
            <w:pPr>
              <w:pStyle w:val="TableParagraph"/>
              <w:ind w:right="49"/>
              <w:jc w:val="right"/>
              <w:rPr>
                <w:sz w:val="20"/>
              </w:rPr>
            </w:pPr>
            <w:r>
              <w:rPr>
                <w:spacing w:val="-2"/>
                <w:sz w:val="20"/>
              </w:rPr>
              <w:t>(6,115)</w:t>
            </w:r>
          </w:p>
        </w:tc>
        <w:tc>
          <w:tcPr>
            <w:tcW w:w="237" w:type="dxa"/>
          </w:tcPr>
          <w:p>
            <w:pPr>
              <w:pStyle w:val="TableParagraph"/>
              <w:rPr>
                <w:rFonts w:ascii="Times New Roman"/>
                <w:sz w:val="20"/>
              </w:rPr>
            </w:pPr>
          </w:p>
        </w:tc>
        <w:tc>
          <w:tcPr>
            <w:tcW w:w="1113" w:type="dxa"/>
            <w:tcBorders>
              <w:top w:val="single" w:sz="4" w:space="0" w:color="000000"/>
            </w:tcBorders>
          </w:tcPr>
          <w:p>
            <w:pPr>
              <w:pStyle w:val="TableParagraph"/>
              <w:rPr>
                <w:b/>
                <w:sz w:val="20"/>
              </w:rPr>
            </w:pPr>
          </w:p>
          <w:p>
            <w:pPr>
              <w:pStyle w:val="TableParagraph"/>
              <w:spacing w:before="48"/>
              <w:rPr>
                <w:b/>
                <w:sz w:val="20"/>
              </w:rPr>
            </w:pPr>
          </w:p>
          <w:p>
            <w:pPr>
              <w:pStyle w:val="TableParagraph"/>
              <w:ind w:right="48"/>
              <w:jc w:val="right"/>
              <w:rPr>
                <w:sz w:val="20"/>
              </w:rPr>
            </w:pPr>
            <w:r>
              <w:rPr>
                <w:spacing w:val="-2"/>
                <w:sz w:val="20"/>
              </w:rPr>
              <w:t>(5,273)</w:t>
            </w:r>
          </w:p>
        </w:tc>
        <w:tc>
          <w:tcPr>
            <w:tcW w:w="237" w:type="dxa"/>
          </w:tcPr>
          <w:p>
            <w:pPr>
              <w:pStyle w:val="TableParagraph"/>
              <w:rPr>
                <w:rFonts w:ascii="Times New Roman"/>
                <w:sz w:val="20"/>
              </w:rPr>
            </w:pPr>
          </w:p>
        </w:tc>
        <w:tc>
          <w:tcPr>
            <w:tcW w:w="1118" w:type="dxa"/>
            <w:tcBorders>
              <w:top w:val="single" w:sz="4" w:space="0" w:color="000000"/>
            </w:tcBorders>
          </w:tcPr>
          <w:p>
            <w:pPr>
              <w:pStyle w:val="TableParagraph"/>
              <w:rPr>
                <w:b/>
                <w:sz w:val="20"/>
              </w:rPr>
            </w:pPr>
          </w:p>
          <w:p>
            <w:pPr>
              <w:pStyle w:val="TableParagraph"/>
              <w:spacing w:before="48"/>
              <w:rPr>
                <w:b/>
                <w:sz w:val="20"/>
              </w:rPr>
            </w:pPr>
          </w:p>
          <w:p>
            <w:pPr>
              <w:pStyle w:val="TableParagraph"/>
              <w:ind w:right="50"/>
              <w:jc w:val="right"/>
              <w:rPr>
                <w:sz w:val="20"/>
              </w:rPr>
            </w:pPr>
            <w:r>
              <w:rPr>
                <w:spacing w:val="-2"/>
                <w:sz w:val="20"/>
              </w:rPr>
              <w:t>(5,273)</w:t>
            </w:r>
          </w:p>
        </w:tc>
      </w:tr>
      <w:tr>
        <w:trPr>
          <w:trHeight w:val="308" w:hRule="atLeast"/>
        </w:trPr>
        <w:tc>
          <w:tcPr>
            <w:tcW w:w="3481" w:type="dxa"/>
          </w:tcPr>
          <w:p>
            <w:pPr>
              <w:pStyle w:val="TableParagraph"/>
              <w:spacing w:before="47"/>
              <w:ind w:left="50"/>
              <w:rPr>
                <w:b/>
                <w:sz w:val="20"/>
              </w:rPr>
            </w:pPr>
            <w:r>
              <w:rPr>
                <w:b/>
                <w:sz w:val="20"/>
              </w:rPr>
              <w:t>Provisions</w:t>
            </w:r>
            <w:r>
              <w:rPr>
                <w:b/>
                <w:spacing w:val="-9"/>
                <w:sz w:val="20"/>
              </w:rPr>
              <w:t> </w:t>
            </w:r>
            <w:r>
              <w:rPr>
                <w:b/>
                <w:sz w:val="20"/>
              </w:rPr>
              <w:t>for</w:t>
            </w:r>
            <w:r>
              <w:rPr>
                <w:b/>
                <w:spacing w:val="-7"/>
                <w:sz w:val="20"/>
              </w:rPr>
              <w:t> </w:t>
            </w:r>
            <w:r>
              <w:rPr>
                <w:b/>
                <w:spacing w:val="-2"/>
                <w:sz w:val="20"/>
              </w:rPr>
              <w:t>liabilities</w:t>
            </w:r>
          </w:p>
        </w:tc>
        <w:tc>
          <w:tcPr>
            <w:tcW w:w="841" w:type="dxa"/>
          </w:tcPr>
          <w:p>
            <w:pPr>
              <w:pStyle w:val="TableParagraph"/>
              <w:rPr>
                <w:rFonts w:ascii="Times New Roman"/>
                <w:sz w:val="20"/>
              </w:rPr>
            </w:pPr>
          </w:p>
        </w:tc>
        <w:tc>
          <w:tcPr>
            <w:tcW w:w="1113" w:type="dxa"/>
          </w:tcPr>
          <w:p>
            <w:pPr>
              <w:pStyle w:val="TableParagraph"/>
              <w:rPr>
                <w:rFonts w:ascii="Times New Roman"/>
                <w:sz w:val="20"/>
              </w:rPr>
            </w:pPr>
          </w:p>
        </w:tc>
        <w:tc>
          <w:tcPr>
            <w:tcW w:w="285" w:type="dxa"/>
          </w:tcPr>
          <w:p>
            <w:pPr>
              <w:pStyle w:val="TableParagraph"/>
              <w:rPr>
                <w:rFonts w:ascii="Times New Roman"/>
                <w:sz w:val="20"/>
              </w:rPr>
            </w:pPr>
          </w:p>
        </w:tc>
        <w:tc>
          <w:tcPr>
            <w:tcW w:w="1120" w:type="dxa"/>
          </w:tcPr>
          <w:p>
            <w:pPr>
              <w:pStyle w:val="TableParagraph"/>
              <w:rPr>
                <w:rFonts w:ascii="Times New Roman"/>
                <w:sz w:val="20"/>
              </w:rPr>
            </w:pPr>
          </w:p>
        </w:tc>
        <w:tc>
          <w:tcPr>
            <w:tcW w:w="237" w:type="dxa"/>
          </w:tcPr>
          <w:p>
            <w:pPr>
              <w:pStyle w:val="TableParagraph"/>
              <w:rPr>
                <w:rFonts w:ascii="Times New Roman"/>
                <w:sz w:val="20"/>
              </w:rPr>
            </w:pPr>
          </w:p>
        </w:tc>
        <w:tc>
          <w:tcPr>
            <w:tcW w:w="1113" w:type="dxa"/>
          </w:tcPr>
          <w:p>
            <w:pPr>
              <w:pStyle w:val="TableParagraph"/>
              <w:rPr>
                <w:rFonts w:ascii="Times New Roman"/>
                <w:sz w:val="20"/>
              </w:rPr>
            </w:pPr>
          </w:p>
        </w:tc>
        <w:tc>
          <w:tcPr>
            <w:tcW w:w="237" w:type="dxa"/>
          </w:tcPr>
          <w:p>
            <w:pPr>
              <w:pStyle w:val="TableParagraph"/>
              <w:rPr>
                <w:rFonts w:ascii="Times New Roman"/>
                <w:sz w:val="20"/>
              </w:rPr>
            </w:pPr>
          </w:p>
        </w:tc>
        <w:tc>
          <w:tcPr>
            <w:tcW w:w="1118" w:type="dxa"/>
          </w:tcPr>
          <w:p>
            <w:pPr>
              <w:pStyle w:val="TableParagraph"/>
              <w:rPr>
                <w:rFonts w:ascii="Times New Roman"/>
                <w:sz w:val="20"/>
              </w:rPr>
            </w:pPr>
          </w:p>
        </w:tc>
      </w:tr>
      <w:tr>
        <w:trPr>
          <w:trHeight w:val="284" w:hRule="atLeast"/>
        </w:trPr>
        <w:tc>
          <w:tcPr>
            <w:tcW w:w="3481" w:type="dxa"/>
          </w:tcPr>
          <w:p>
            <w:pPr>
              <w:pStyle w:val="TableParagraph"/>
              <w:spacing w:before="24"/>
              <w:ind w:left="50"/>
              <w:rPr>
                <w:sz w:val="20"/>
              </w:rPr>
            </w:pPr>
            <w:r>
              <w:rPr>
                <w:sz w:val="20"/>
              </w:rPr>
              <w:t>Defined</w:t>
            </w:r>
            <w:r>
              <w:rPr>
                <w:spacing w:val="-7"/>
                <w:sz w:val="20"/>
              </w:rPr>
              <w:t> </w:t>
            </w:r>
            <w:r>
              <w:rPr>
                <w:sz w:val="20"/>
              </w:rPr>
              <w:t>benefit</w:t>
            </w:r>
            <w:r>
              <w:rPr>
                <w:spacing w:val="-9"/>
                <w:sz w:val="20"/>
              </w:rPr>
              <w:t> </w:t>
            </w:r>
            <w:r>
              <w:rPr>
                <w:sz w:val="20"/>
              </w:rPr>
              <w:t>pension</w:t>
            </w:r>
            <w:r>
              <w:rPr>
                <w:spacing w:val="-8"/>
                <w:sz w:val="20"/>
              </w:rPr>
              <w:t> </w:t>
            </w:r>
            <w:r>
              <w:rPr>
                <w:spacing w:val="-2"/>
                <w:sz w:val="20"/>
              </w:rPr>
              <w:t>scheme</w:t>
            </w:r>
          </w:p>
        </w:tc>
        <w:tc>
          <w:tcPr>
            <w:tcW w:w="841" w:type="dxa"/>
          </w:tcPr>
          <w:p>
            <w:pPr>
              <w:pStyle w:val="TableParagraph"/>
              <w:spacing w:before="24"/>
              <w:ind w:right="110"/>
              <w:jc w:val="right"/>
              <w:rPr>
                <w:sz w:val="20"/>
              </w:rPr>
            </w:pPr>
            <w:r>
              <w:rPr>
                <w:spacing w:val="-5"/>
                <w:sz w:val="20"/>
              </w:rPr>
              <w:t>18</w:t>
            </w:r>
          </w:p>
        </w:tc>
        <w:tc>
          <w:tcPr>
            <w:tcW w:w="1113" w:type="dxa"/>
          </w:tcPr>
          <w:p>
            <w:pPr>
              <w:pStyle w:val="TableParagraph"/>
              <w:spacing w:before="24"/>
              <w:ind w:right="106"/>
              <w:jc w:val="right"/>
              <w:rPr>
                <w:sz w:val="20"/>
              </w:rPr>
            </w:pPr>
            <w:r>
              <w:rPr>
                <w:spacing w:val="-10"/>
                <w:sz w:val="20"/>
              </w:rPr>
              <w:t>-</w:t>
            </w:r>
          </w:p>
        </w:tc>
        <w:tc>
          <w:tcPr>
            <w:tcW w:w="285" w:type="dxa"/>
          </w:tcPr>
          <w:p>
            <w:pPr>
              <w:pStyle w:val="TableParagraph"/>
              <w:rPr>
                <w:rFonts w:ascii="Times New Roman"/>
                <w:sz w:val="20"/>
              </w:rPr>
            </w:pPr>
          </w:p>
        </w:tc>
        <w:tc>
          <w:tcPr>
            <w:tcW w:w="1120" w:type="dxa"/>
          </w:tcPr>
          <w:p>
            <w:pPr>
              <w:pStyle w:val="TableParagraph"/>
              <w:spacing w:before="24"/>
              <w:ind w:right="102"/>
              <w:jc w:val="right"/>
              <w:rPr>
                <w:sz w:val="20"/>
              </w:rPr>
            </w:pPr>
            <w:r>
              <w:rPr>
                <w:spacing w:val="-10"/>
                <w:sz w:val="20"/>
              </w:rPr>
              <w:t>-</w:t>
            </w:r>
          </w:p>
        </w:tc>
        <w:tc>
          <w:tcPr>
            <w:tcW w:w="237" w:type="dxa"/>
          </w:tcPr>
          <w:p>
            <w:pPr>
              <w:pStyle w:val="TableParagraph"/>
              <w:rPr>
                <w:rFonts w:ascii="Times New Roman"/>
                <w:sz w:val="20"/>
              </w:rPr>
            </w:pPr>
          </w:p>
        </w:tc>
        <w:tc>
          <w:tcPr>
            <w:tcW w:w="1113" w:type="dxa"/>
          </w:tcPr>
          <w:p>
            <w:pPr>
              <w:pStyle w:val="TableParagraph"/>
              <w:spacing w:before="24"/>
              <w:ind w:right="47"/>
              <w:jc w:val="right"/>
              <w:rPr>
                <w:sz w:val="20"/>
              </w:rPr>
            </w:pPr>
            <w:r>
              <w:rPr>
                <w:spacing w:val="-2"/>
                <w:sz w:val="20"/>
              </w:rPr>
              <w:t>7,280</w:t>
            </w:r>
          </w:p>
        </w:tc>
        <w:tc>
          <w:tcPr>
            <w:tcW w:w="237" w:type="dxa"/>
          </w:tcPr>
          <w:p>
            <w:pPr>
              <w:pStyle w:val="TableParagraph"/>
              <w:rPr>
                <w:rFonts w:ascii="Times New Roman"/>
                <w:sz w:val="20"/>
              </w:rPr>
            </w:pPr>
          </w:p>
        </w:tc>
        <w:tc>
          <w:tcPr>
            <w:tcW w:w="1118" w:type="dxa"/>
          </w:tcPr>
          <w:p>
            <w:pPr>
              <w:pStyle w:val="TableParagraph"/>
              <w:spacing w:before="24"/>
              <w:ind w:right="48"/>
              <w:jc w:val="right"/>
              <w:rPr>
                <w:sz w:val="20"/>
              </w:rPr>
            </w:pPr>
            <w:r>
              <w:rPr>
                <w:spacing w:val="-2"/>
                <w:sz w:val="20"/>
              </w:rPr>
              <w:t>7,280</w:t>
            </w:r>
          </w:p>
        </w:tc>
      </w:tr>
      <w:tr>
        <w:trPr>
          <w:trHeight w:val="308" w:hRule="atLeast"/>
        </w:trPr>
        <w:tc>
          <w:tcPr>
            <w:tcW w:w="3481" w:type="dxa"/>
          </w:tcPr>
          <w:p>
            <w:pPr>
              <w:pStyle w:val="TableParagraph"/>
              <w:spacing w:before="23"/>
              <w:ind w:left="50"/>
              <w:rPr>
                <w:sz w:val="20"/>
              </w:rPr>
            </w:pPr>
            <w:r>
              <w:rPr>
                <w:sz w:val="20"/>
              </w:rPr>
              <w:t>Other</w:t>
            </w:r>
            <w:r>
              <w:rPr>
                <w:spacing w:val="-9"/>
                <w:sz w:val="20"/>
              </w:rPr>
              <w:t> </w:t>
            </w:r>
            <w:r>
              <w:rPr>
                <w:spacing w:val="-2"/>
                <w:sz w:val="20"/>
              </w:rPr>
              <w:t>provisions</w:t>
            </w:r>
          </w:p>
        </w:tc>
        <w:tc>
          <w:tcPr>
            <w:tcW w:w="841" w:type="dxa"/>
          </w:tcPr>
          <w:p>
            <w:pPr>
              <w:pStyle w:val="TableParagraph"/>
              <w:spacing w:before="23"/>
              <w:ind w:right="110"/>
              <w:jc w:val="right"/>
              <w:rPr>
                <w:sz w:val="20"/>
              </w:rPr>
            </w:pPr>
            <w:r>
              <w:rPr>
                <w:spacing w:val="-5"/>
                <w:sz w:val="20"/>
              </w:rPr>
              <w:t>16</w:t>
            </w:r>
          </w:p>
        </w:tc>
        <w:tc>
          <w:tcPr>
            <w:tcW w:w="1113" w:type="dxa"/>
            <w:tcBorders>
              <w:bottom w:val="single" w:sz="4" w:space="0" w:color="000000"/>
            </w:tcBorders>
          </w:tcPr>
          <w:p>
            <w:pPr>
              <w:pStyle w:val="TableParagraph"/>
              <w:spacing w:before="23"/>
              <w:ind w:right="53"/>
              <w:jc w:val="right"/>
              <w:rPr>
                <w:sz w:val="20"/>
              </w:rPr>
            </w:pPr>
            <w:r>
              <w:rPr>
                <w:spacing w:val="-2"/>
                <w:sz w:val="20"/>
              </w:rPr>
              <w:t>(491)</w:t>
            </w:r>
          </w:p>
        </w:tc>
        <w:tc>
          <w:tcPr>
            <w:tcW w:w="285" w:type="dxa"/>
          </w:tcPr>
          <w:p>
            <w:pPr>
              <w:pStyle w:val="TableParagraph"/>
              <w:rPr>
                <w:rFonts w:ascii="Times New Roman"/>
                <w:sz w:val="20"/>
              </w:rPr>
            </w:pPr>
          </w:p>
        </w:tc>
        <w:tc>
          <w:tcPr>
            <w:tcW w:w="1120" w:type="dxa"/>
            <w:tcBorders>
              <w:bottom w:val="single" w:sz="4" w:space="0" w:color="000000"/>
            </w:tcBorders>
          </w:tcPr>
          <w:p>
            <w:pPr>
              <w:pStyle w:val="TableParagraph"/>
              <w:spacing w:before="23"/>
              <w:ind w:right="50"/>
              <w:jc w:val="right"/>
              <w:rPr>
                <w:sz w:val="20"/>
              </w:rPr>
            </w:pPr>
            <w:r>
              <w:rPr>
                <w:spacing w:val="-2"/>
                <w:sz w:val="20"/>
              </w:rPr>
              <w:t>(491)</w:t>
            </w:r>
          </w:p>
        </w:tc>
        <w:tc>
          <w:tcPr>
            <w:tcW w:w="237" w:type="dxa"/>
          </w:tcPr>
          <w:p>
            <w:pPr>
              <w:pStyle w:val="TableParagraph"/>
              <w:rPr>
                <w:rFonts w:ascii="Times New Roman"/>
                <w:sz w:val="20"/>
              </w:rPr>
            </w:pPr>
          </w:p>
        </w:tc>
        <w:tc>
          <w:tcPr>
            <w:tcW w:w="1113" w:type="dxa"/>
            <w:tcBorders>
              <w:bottom w:val="single" w:sz="4" w:space="0" w:color="000000"/>
            </w:tcBorders>
          </w:tcPr>
          <w:p>
            <w:pPr>
              <w:pStyle w:val="TableParagraph"/>
              <w:spacing w:before="23"/>
              <w:ind w:right="48"/>
              <w:jc w:val="right"/>
              <w:rPr>
                <w:sz w:val="20"/>
              </w:rPr>
            </w:pPr>
            <w:r>
              <w:rPr>
                <w:spacing w:val="-2"/>
                <w:sz w:val="20"/>
              </w:rPr>
              <w:t>(530)</w:t>
            </w:r>
          </w:p>
        </w:tc>
        <w:tc>
          <w:tcPr>
            <w:tcW w:w="237" w:type="dxa"/>
          </w:tcPr>
          <w:p>
            <w:pPr>
              <w:pStyle w:val="TableParagraph"/>
              <w:rPr>
                <w:rFonts w:ascii="Times New Roman"/>
                <w:sz w:val="20"/>
              </w:rPr>
            </w:pPr>
          </w:p>
        </w:tc>
        <w:tc>
          <w:tcPr>
            <w:tcW w:w="1118" w:type="dxa"/>
            <w:tcBorders>
              <w:bottom w:val="single" w:sz="4" w:space="0" w:color="000000"/>
            </w:tcBorders>
          </w:tcPr>
          <w:p>
            <w:pPr>
              <w:pStyle w:val="TableParagraph"/>
              <w:spacing w:before="23"/>
              <w:ind w:right="50"/>
              <w:jc w:val="right"/>
              <w:rPr>
                <w:sz w:val="20"/>
              </w:rPr>
            </w:pPr>
            <w:r>
              <w:rPr>
                <w:spacing w:val="-2"/>
                <w:sz w:val="20"/>
              </w:rPr>
              <w:t>(530)</w:t>
            </w:r>
          </w:p>
        </w:tc>
      </w:tr>
      <w:tr>
        <w:trPr>
          <w:trHeight w:val="546" w:hRule="atLeast"/>
        </w:trPr>
        <w:tc>
          <w:tcPr>
            <w:tcW w:w="3481" w:type="dxa"/>
          </w:tcPr>
          <w:p>
            <w:pPr>
              <w:pStyle w:val="TableParagraph"/>
              <w:spacing w:before="227"/>
              <w:ind w:left="50"/>
              <w:rPr>
                <w:b/>
                <w:sz w:val="20"/>
              </w:rPr>
            </w:pPr>
            <w:r>
              <w:rPr>
                <w:b/>
                <w:sz w:val="20"/>
              </w:rPr>
              <w:t>Total</w:t>
            </w:r>
            <w:r>
              <w:rPr>
                <w:b/>
                <w:spacing w:val="-6"/>
                <w:sz w:val="20"/>
              </w:rPr>
              <w:t> </w:t>
            </w:r>
            <w:r>
              <w:rPr>
                <w:b/>
                <w:sz w:val="20"/>
              </w:rPr>
              <w:t>net</w:t>
            </w:r>
            <w:r>
              <w:rPr>
                <w:b/>
                <w:spacing w:val="-5"/>
                <w:sz w:val="20"/>
              </w:rPr>
              <w:t> </w:t>
            </w:r>
            <w:r>
              <w:rPr>
                <w:b/>
                <w:spacing w:val="-2"/>
                <w:sz w:val="20"/>
              </w:rPr>
              <w:t>assets</w:t>
            </w:r>
          </w:p>
        </w:tc>
        <w:tc>
          <w:tcPr>
            <w:tcW w:w="841" w:type="dxa"/>
          </w:tcPr>
          <w:p>
            <w:pPr>
              <w:pStyle w:val="TableParagraph"/>
              <w:rPr>
                <w:rFonts w:ascii="Times New Roman"/>
                <w:sz w:val="20"/>
              </w:rPr>
            </w:pPr>
          </w:p>
        </w:tc>
        <w:tc>
          <w:tcPr>
            <w:tcW w:w="1113" w:type="dxa"/>
            <w:tcBorders>
              <w:top w:val="single" w:sz="4" w:space="0" w:color="000000"/>
              <w:bottom w:val="double" w:sz="4" w:space="0" w:color="000000"/>
            </w:tcBorders>
          </w:tcPr>
          <w:p>
            <w:pPr>
              <w:pStyle w:val="TableParagraph"/>
              <w:spacing w:before="227"/>
              <w:ind w:right="107"/>
              <w:jc w:val="right"/>
              <w:rPr>
                <w:sz w:val="20"/>
              </w:rPr>
            </w:pPr>
            <w:r>
              <w:rPr>
                <w:spacing w:val="-2"/>
                <w:sz w:val="20"/>
              </w:rPr>
              <w:t>20,385</w:t>
            </w:r>
          </w:p>
        </w:tc>
        <w:tc>
          <w:tcPr>
            <w:tcW w:w="285" w:type="dxa"/>
          </w:tcPr>
          <w:p>
            <w:pPr>
              <w:pStyle w:val="TableParagraph"/>
              <w:rPr>
                <w:rFonts w:ascii="Times New Roman"/>
                <w:sz w:val="20"/>
              </w:rPr>
            </w:pPr>
          </w:p>
        </w:tc>
        <w:tc>
          <w:tcPr>
            <w:tcW w:w="1120" w:type="dxa"/>
            <w:tcBorders>
              <w:top w:val="single" w:sz="4" w:space="0" w:color="000000"/>
              <w:bottom w:val="double" w:sz="4" w:space="0" w:color="000000"/>
            </w:tcBorders>
          </w:tcPr>
          <w:p>
            <w:pPr>
              <w:pStyle w:val="TableParagraph"/>
              <w:spacing w:before="227"/>
              <w:ind w:right="104"/>
              <w:jc w:val="right"/>
              <w:rPr>
                <w:sz w:val="20"/>
              </w:rPr>
            </w:pPr>
            <w:r>
              <w:rPr>
                <w:spacing w:val="-2"/>
                <w:sz w:val="20"/>
              </w:rPr>
              <w:t>20,317</w:t>
            </w:r>
          </w:p>
        </w:tc>
        <w:tc>
          <w:tcPr>
            <w:tcW w:w="237" w:type="dxa"/>
          </w:tcPr>
          <w:p>
            <w:pPr>
              <w:pStyle w:val="TableParagraph"/>
              <w:rPr>
                <w:rFonts w:ascii="Times New Roman"/>
                <w:sz w:val="20"/>
              </w:rPr>
            </w:pPr>
          </w:p>
        </w:tc>
        <w:tc>
          <w:tcPr>
            <w:tcW w:w="1113" w:type="dxa"/>
            <w:tcBorders>
              <w:top w:val="single" w:sz="4" w:space="0" w:color="000000"/>
              <w:bottom w:val="double" w:sz="4" w:space="0" w:color="000000"/>
            </w:tcBorders>
          </w:tcPr>
          <w:p>
            <w:pPr>
              <w:pStyle w:val="TableParagraph"/>
              <w:spacing w:before="227"/>
              <w:ind w:right="47"/>
              <w:jc w:val="right"/>
              <w:rPr>
                <w:sz w:val="20"/>
              </w:rPr>
            </w:pPr>
            <w:r>
              <w:rPr>
                <w:spacing w:val="-2"/>
                <w:sz w:val="20"/>
              </w:rPr>
              <w:t>26,996</w:t>
            </w:r>
          </w:p>
        </w:tc>
        <w:tc>
          <w:tcPr>
            <w:tcW w:w="237" w:type="dxa"/>
          </w:tcPr>
          <w:p>
            <w:pPr>
              <w:pStyle w:val="TableParagraph"/>
              <w:rPr>
                <w:rFonts w:ascii="Times New Roman"/>
                <w:sz w:val="20"/>
              </w:rPr>
            </w:pPr>
          </w:p>
        </w:tc>
        <w:tc>
          <w:tcPr>
            <w:tcW w:w="1118" w:type="dxa"/>
            <w:tcBorders>
              <w:top w:val="single" w:sz="4" w:space="0" w:color="000000"/>
              <w:bottom w:val="double" w:sz="4" w:space="0" w:color="000000"/>
            </w:tcBorders>
          </w:tcPr>
          <w:p>
            <w:pPr>
              <w:pStyle w:val="TableParagraph"/>
              <w:spacing w:before="227"/>
              <w:ind w:right="49"/>
              <w:jc w:val="right"/>
              <w:rPr>
                <w:sz w:val="20"/>
              </w:rPr>
            </w:pPr>
            <w:r>
              <w:rPr>
                <w:spacing w:val="-2"/>
                <w:sz w:val="20"/>
              </w:rPr>
              <w:t>26,900</w:t>
            </w:r>
          </w:p>
        </w:tc>
      </w:tr>
      <w:tr>
        <w:trPr>
          <w:trHeight w:val="514" w:hRule="atLeast"/>
        </w:trPr>
        <w:tc>
          <w:tcPr>
            <w:tcW w:w="3481" w:type="dxa"/>
          </w:tcPr>
          <w:p>
            <w:pPr>
              <w:pStyle w:val="TableParagraph"/>
              <w:spacing w:before="23"/>
              <w:rPr>
                <w:b/>
                <w:sz w:val="20"/>
              </w:rPr>
            </w:pPr>
          </w:p>
          <w:p>
            <w:pPr>
              <w:pStyle w:val="TableParagraph"/>
              <w:ind w:left="50"/>
              <w:rPr>
                <w:b/>
                <w:sz w:val="20"/>
              </w:rPr>
            </w:pPr>
            <w:r>
              <w:rPr>
                <w:b/>
                <w:spacing w:val="-2"/>
                <w:sz w:val="20"/>
              </w:rPr>
              <w:t>Reserves</w:t>
            </w:r>
          </w:p>
        </w:tc>
        <w:tc>
          <w:tcPr>
            <w:tcW w:w="841" w:type="dxa"/>
          </w:tcPr>
          <w:p>
            <w:pPr>
              <w:pStyle w:val="TableParagraph"/>
              <w:rPr>
                <w:rFonts w:ascii="Times New Roman"/>
                <w:sz w:val="20"/>
              </w:rPr>
            </w:pPr>
          </w:p>
        </w:tc>
        <w:tc>
          <w:tcPr>
            <w:tcW w:w="1113" w:type="dxa"/>
            <w:tcBorders>
              <w:top w:val="double" w:sz="4" w:space="0" w:color="000000"/>
            </w:tcBorders>
          </w:tcPr>
          <w:p>
            <w:pPr>
              <w:pStyle w:val="TableParagraph"/>
              <w:rPr>
                <w:rFonts w:ascii="Times New Roman"/>
                <w:sz w:val="20"/>
              </w:rPr>
            </w:pPr>
          </w:p>
        </w:tc>
        <w:tc>
          <w:tcPr>
            <w:tcW w:w="285" w:type="dxa"/>
          </w:tcPr>
          <w:p>
            <w:pPr>
              <w:pStyle w:val="TableParagraph"/>
              <w:rPr>
                <w:rFonts w:ascii="Times New Roman"/>
                <w:sz w:val="20"/>
              </w:rPr>
            </w:pPr>
          </w:p>
        </w:tc>
        <w:tc>
          <w:tcPr>
            <w:tcW w:w="1120" w:type="dxa"/>
            <w:tcBorders>
              <w:top w:val="double" w:sz="4" w:space="0" w:color="000000"/>
            </w:tcBorders>
          </w:tcPr>
          <w:p>
            <w:pPr>
              <w:pStyle w:val="TableParagraph"/>
              <w:rPr>
                <w:rFonts w:ascii="Times New Roman"/>
                <w:sz w:val="20"/>
              </w:rPr>
            </w:pPr>
          </w:p>
        </w:tc>
        <w:tc>
          <w:tcPr>
            <w:tcW w:w="237" w:type="dxa"/>
          </w:tcPr>
          <w:p>
            <w:pPr>
              <w:pStyle w:val="TableParagraph"/>
              <w:rPr>
                <w:rFonts w:ascii="Times New Roman"/>
                <w:sz w:val="20"/>
              </w:rPr>
            </w:pPr>
          </w:p>
        </w:tc>
        <w:tc>
          <w:tcPr>
            <w:tcW w:w="1113" w:type="dxa"/>
            <w:tcBorders>
              <w:top w:val="double" w:sz="4" w:space="0" w:color="000000"/>
            </w:tcBorders>
          </w:tcPr>
          <w:p>
            <w:pPr>
              <w:pStyle w:val="TableParagraph"/>
              <w:rPr>
                <w:rFonts w:ascii="Times New Roman"/>
                <w:sz w:val="20"/>
              </w:rPr>
            </w:pPr>
          </w:p>
        </w:tc>
        <w:tc>
          <w:tcPr>
            <w:tcW w:w="237" w:type="dxa"/>
          </w:tcPr>
          <w:p>
            <w:pPr>
              <w:pStyle w:val="TableParagraph"/>
              <w:rPr>
                <w:rFonts w:ascii="Times New Roman"/>
                <w:sz w:val="20"/>
              </w:rPr>
            </w:pPr>
          </w:p>
        </w:tc>
        <w:tc>
          <w:tcPr>
            <w:tcW w:w="1118" w:type="dxa"/>
            <w:tcBorders>
              <w:top w:val="double" w:sz="4" w:space="0" w:color="000000"/>
            </w:tcBorders>
          </w:tcPr>
          <w:p>
            <w:pPr>
              <w:pStyle w:val="TableParagraph"/>
              <w:rPr>
                <w:rFonts w:ascii="Times New Roman"/>
                <w:sz w:val="20"/>
              </w:rPr>
            </w:pPr>
          </w:p>
        </w:tc>
      </w:tr>
      <w:tr>
        <w:trPr>
          <w:trHeight w:val="307" w:hRule="atLeast"/>
        </w:trPr>
        <w:tc>
          <w:tcPr>
            <w:tcW w:w="3481" w:type="dxa"/>
          </w:tcPr>
          <w:p>
            <w:pPr>
              <w:pStyle w:val="TableParagraph"/>
              <w:spacing w:before="24"/>
              <w:ind w:left="50"/>
              <w:rPr>
                <w:sz w:val="20"/>
              </w:rPr>
            </w:pPr>
            <w:r>
              <w:rPr>
                <w:sz w:val="20"/>
              </w:rPr>
              <w:t>Income</w:t>
            </w:r>
            <w:r>
              <w:rPr>
                <w:spacing w:val="-9"/>
                <w:sz w:val="20"/>
              </w:rPr>
              <w:t> </w:t>
            </w:r>
            <w:r>
              <w:rPr>
                <w:sz w:val="20"/>
              </w:rPr>
              <w:t>and</w:t>
            </w:r>
            <w:r>
              <w:rPr>
                <w:spacing w:val="-8"/>
                <w:sz w:val="20"/>
              </w:rPr>
              <w:t> </w:t>
            </w:r>
            <w:r>
              <w:rPr>
                <w:sz w:val="20"/>
              </w:rPr>
              <w:t>expenditure</w:t>
            </w:r>
            <w:r>
              <w:rPr>
                <w:spacing w:val="-10"/>
                <w:sz w:val="20"/>
              </w:rPr>
              <w:t> </w:t>
            </w:r>
            <w:r>
              <w:rPr>
                <w:spacing w:val="-2"/>
                <w:sz w:val="20"/>
              </w:rPr>
              <w:t>reserve</w:t>
            </w:r>
          </w:p>
        </w:tc>
        <w:tc>
          <w:tcPr>
            <w:tcW w:w="841" w:type="dxa"/>
          </w:tcPr>
          <w:p>
            <w:pPr>
              <w:pStyle w:val="TableParagraph"/>
              <w:rPr>
                <w:rFonts w:ascii="Times New Roman"/>
                <w:sz w:val="20"/>
              </w:rPr>
            </w:pPr>
          </w:p>
        </w:tc>
        <w:tc>
          <w:tcPr>
            <w:tcW w:w="1113" w:type="dxa"/>
            <w:tcBorders>
              <w:bottom w:val="single" w:sz="4" w:space="0" w:color="000000"/>
            </w:tcBorders>
          </w:tcPr>
          <w:p>
            <w:pPr>
              <w:pStyle w:val="TableParagraph"/>
              <w:spacing w:before="24"/>
              <w:ind w:right="107"/>
              <w:jc w:val="right"/>
              <w:rPr>
                <w:sz w:val="20"/>
              </w:rPr>
            </w:pPr>
            <w:r>
              <w:rPr>
                <w:spacing w:val="-2"/>
                <w:sz w:val="20"/>
              </w:rPr>
              <w:t>20,385</w:t>
            </w:r>
          </w:p>
        </w:tc>
        <w:tc>
          <w:tcPr>
            <w:tcW w:w="285" w:type="dxa"/>
          </w:tcPr>
          <w:p>
            <w:pPr>
              <w:pStyle w:val="TableParagraph"/>
              <w:rPr>
                <w:rFonts w:ascii="Times New Roman"/>
                <w:sz w:val="20"/>
              </w:rPr>
            </w:pPr>
          </w:p>
        </w:tc>
        <w:tc>
          <w:tcPr>
            <w:tcW w:w="1120" w:type="dxa"/>
            <w:tcBorders>
              <w:bottom w:val="single" w:sz="4" w:space="0" w:color="000000"/>
            </w:tcBorders>
          </w:tcPr>
          <w:p>
            <w:pPr>
              <w:pStyle w:val="TableParagraph"/>
              <w:spacing w:before="24"/>
              <w:ind w:right="104"/>
              <w:jc w:val="right"/>
              <w:rPr>
                <w:sz w:val="20"/>
              </w:rPr>
            </w:pPr>
            <w:r>
              <w:rPr>
                <w:spacing w:val="-2"/>
                <w:sz w:val="20"/>
              </w:rPr>
              <w:t>20,317</w:t>
            </w:r>
          </w:p>
        </w:tc>
        <w:tc>
          <w:tcPr>
            <w:tcW w:w="237" w:type="dxa"/>
          </w:tcPr>
          <w:p>
            <w:pPr>
              <w:pStyle w:val="TableParagraph"/>
              <w:rPr>
                <w:rFonts w:ascii="Times New Roman"/>
                <w:sz w:val="20"/>
              </w:rPr>
            </w:pPr>
          </w:p>
        </w:tc>
        <w:tc>
          <w:tcPr>
            <w:tcW w:w="1113" w:type="dxa"/>
            <w:tcBorders>
              <w:bottom w:val="single" w:sz="4" w:space="0" w:color="000000"/>
            </w:tcBorders>
          </w:tcPr>
          <w:p>
            <w:pPr>
              <w:pStyle w:val="TableParagraph"/>
              <w:spacing w:before="24"/>
              <w:ind w:right="47"/>
              <w:jc w:val="right"/>
              <w:rPr>
                <w:sz w:val="20"/>
              </w:rPr>
            </w:pPr>
            <w:r>
              <w:rPr>
                <w:spacing w:val="-2"/>
                <w:sz w:val="20"/>
              </w:rPr>
              <w:t>26,996</w:t>
            </w:r>
          </w:p>
        </w:tc>
        <w:tc>
          <w:tcPr>
            <w:tcW w:w="237" w:type="dxa"/>
          </w:tcPr>
          <w:p>
            <w:pPr>
              <w:pStyle w:val="TableParagraph"/>
              <w:rPr>
                <w:rFonts w:ascii="Times New Roman"/>
                <w:sz w:val="20"/>
              </w:rPr>
            </w:pPr>
          </w:p>
        </w:tc>
        <w:tc>
          <w:tcPr>
            <w:tcW w:w="1118" w:type="dxa"/>
            <w:tcBorders>
              <w:bottom w:val="single" w:sz="4" w:space="0" w:color="000000"/>
            </w:tcBorders>
          </w:tcPr>
          <w:p>
            <w:pPr>
              <w:pStyle w:val="TableParagraph"/>
              <w:spacing w:before="24"/>
              <w:ind w:right="49"/>
              <w:jc w:val="right"/>
              <w:rPr>
                <w:sz w:val="20"/>
              </w:rPr>
            </w:pPr>
            <w:r>
              <w:rPr>
                <w:spacing w:val="-2"/>
                <w:sz w:val="20"/>
              </w:rPr>
              <w:t>26,900</w:t>
            </w:r>
          </w:p>
        </w:tc>
      </w:tr>
      <w:tr>
        <w:trPr>
          <w:trHeight w:val="495" w:hRule="atLeast"/>
        </w:trPr>
        <w:tc>
          <w:tcPr>
            <w:tcW w:w="3481" w:type="dxa"/>
          </w:tcPr>
          <w:p>
            <w:pPr>
              <w:pStyle w:val="TableParagraph"/>
              <w:ind w:left="50"/>
              <w:rPr>
                <w:b/>
                <w:sz w:val="20"/>
              </w:rPr>
            </w:pPr>
            <w:r>
              <w:rPr>
                <w:b/>
                <w:sz w:val="20"/>
              </w:rPr>
              <w:t>Attributable to the College Corporation</w:t>
            </w:r>
            <w:r>
              <w:rPr>
                <w:b/>
                <w:spacing w:val="-14"/>
                <w:sz w:val="20"/>
              </w:rPr>
              <w:t> </w:t>
            </w:r>
            <w:r>
              <w:rPr>
                <w:b/>
                <w:sz w:val="20"/>
              </w:rPr>
              <w:t>and</w:t>
            </w:r>
            <w:r>
              <w:rPr>
                <w:b/>
                <w:spacing w:val="-13"/>
                <w:sz w:val="20"/>
              </w:rPr>
              <w:t> </w:t>
            </w:r>
            <w:r>
              <w:rPr>
                <w:b/>
                <w:sz w:val="20"/>
              </w:rPr>
              <w:t>total</w:t>
            </w:r>
            <w:r>
              <w:rPr>
                <w:b/>
                <w:spacing w:val="-14"/>
                <w:sz w:val="20"/>
              </w:rPr>
              <w:t> </w:t>
            </w:r>
            <w:r>
              <w:rPr>
                <w:b/>
                <w:sz w:val="20"/>
              </w:rPr>
              <w:t>unrestricted</w:t>
            </w:r>
          </w:p>
        </w:tc>
        <w:tc>
          <w:tcPr>
            <w:tcW w:w="841" w:type="dxa"/>
          </w:tcPr>
          <w:p>
            <w:pPr>
              <w:pStyle w:val="TableParagraph"/>
              <w:rPr>
                <w:rFonts w:ascii="Times New Roman"/>
                <w:sz w:val="20"/>
              </w:rPr>
            </w:pPr>
          </w:p>
        </w:tc>
        <w:tc>
          <w:tcPr>
            <w:tcW w:w="1113" w:type="dxa"/>
            <w:tcBorders>
              <w:top w:val="single" w:sz="4" w:space="0" w:color="000000"/>
              <w:bottom w:val="double" w:sz="4" w:space="0" w:color="000000"/>
            </w:tcBorders>
          </w:tcPr>
          <w:p>
            <w:pPr>
              <w:pStyle w:val="TableParagraph"/>
              <w:spacing w:before="227"/>
              <w:ind w:right="107"/>
              <w:jc w:val="right"/>
              <w:rPr>
                <w:sz w:val="20"/>
              </w:rPr>
            </w:pPr>
            <w:r>
              <w:rPr>
                <w:spacing w:val="-2"/>
                <w:sz w:val="20"/>
              </w:rPr>
              <w:t>20,385</w:t>
            </w:r>
          </w:p>
        </w:tc>
        <w:tc>
          <w:tcPr>
            <w:tcW w:w="285" w:type="dxa"/>
          </w:tcPr>
          <w:p>
            <w:pPr>
              <w:pStyle w:val="TableParagraph"/>
              <w:rPr>
                <w:rFonts w:ascii="Times New Roman"/>
                <w:sz w:val="20"/>
              </w:rPr>
            </w:pPr>
          </w:p>
        </w:tc>
        <w:tc>
          <w:tcPr>
            <w:tcW w:w="1120" w:type="dxa"/>
            <w:tcBorders>
              <w:top w:val="single" w:sz="4" w:space="0" w:color="000000"/>
              <w:bottom w:val="double" w:sz="4" w:space="0" w:color="000000"/>
            </w:tcBorders>
          </w:tcPr>
          <w:p>
            <w:pPr>
              <w:pStyle w:val="TableParagraph"/>
              <w:spacing w:before="227"/>
              <w:ind w:right="104"/>
              <w:jc w:val="right"/>
              <w:rPr>
                <w:sz w:val="20"/>
              </w:rPr>
            </w:pPr>
            <w:r>
              <w:rPr>
                <w:spacing w:val="-2"/>
                <w:sz w:val="20"/>
              </w:rPr>
              <w:t>20,317</w:t>
            </w:r>
          </w:p>
        </w:tc>
        <w:tc>
          <w:tcPr>
            <w:tcW w:w="237" w:type="dxa"/>
          </w:tcPr>
          <w:p>
            <w:pPr>
              <w:pStyle w:val="TableParagraph"/>
              <w:rPr>
                <w:rFonts w:ascii="Times New Roman"/>
                <w:sz w:val="20"/>
              </w:rPr>
            </w:pPr>
          </w:p>
        </w:tc>
        <w:tc>
          <w:tcPr>
            <w:tcW w:w="1113" w:type="dxa"/>
            <w:tcBorders>
              <w:top w:val="single" w:sz="4" w:space="0" w:color="000000"/>
              <w:bottom w:val="double" w:sz="4" w:space="0" w:color="000000"/>
            </w:tcBorders>
          </w:tcPr>
          <w:p>
            <w:pPr>
              <w:pStyle w:val="TableParagraph"/>
              <w:spacing w:before="227"/>
              <w:ind w:right="47"/>
              <w:jc w:val="right"/>
              <w:rPr>
                <w:sz w:val="20"/>
              </w:rPr>
            </w:pPr>
            <w:r>
              <w:rPr>
                <w:spacing w:val="-2"/>
                <w:sz w:val="20"/>
              </w:rPr>
              <w:t>26,996</w:t>
            </w:r>
          </w:p>
        </w:tc>
        <w:tc>
          <w:tcPr>
            <w:tcW w:w="237" w:type="dxa"/>
          </w:tcPr>
          <w:p>
            <w:pPr>
              <w:pStyle w:val="TableParagraph"/>
              <w:rPr>
                <w:rFonts w:ascii="Times New Roman"/>
                <w:sz w:val="20"/>
              </w:rPr>
            </w:pPr>
          </w:p>
        </w:tc>
        <w:tc>
          <w:tcPr>
            <w:tcW w:w="1118" w:type="dxa"/>
            <w:tcBorders>
              <w:top w:val="single" w:sz="4" w:space="0" w:color="000000"/>
              <w:bottom w:val="double" w:sz="4" w:space="0" w:color="000000"/>
            </w:tcBorders>
          </w:tcPr>
          <w:p>
            <w:pPr>
              <w:pStyle w:val="TableParagraph"/>
              <w:spacing w:before="227"/>
              <w:ind w:right="49"/>
              <w:jc w:val="right"/>
              <w:rPr>
                <w:sz w:val="20"/>
              </w:rPr>
            </w:pPr>
            <w:r>
              <w:rPr>
                <w:spacing w:val="-2"/>
                <w:sz w:val="20"/>
              </w:rPr>
              <w:t>26,900</w:t>
            </w:r>
          </w:p>
        </w:tc>
      </w:tr>
    </w:tbl>
    <w:p>
      <w:pPr>
        <w:pStyle w:val="BodyText"/>
        <w:rPr>
          <w:b/>
        </w:rPr>
      </w:pPr>
    </w:p>
    <w:p>
      <w:pPr>
        <w:pStyle w:val="BodyText"/>
        <w:spacing w:before="190"/>
        <w:rPr>
          <w:b/>
        </w:rPr>
      </w:pPr>
    </w:p>
    <w:p>
      <w:pPr>
        <w:pStyle w:val="BodyText"/>
        <w:ind w:left="852" w:right="703"/>
      </w:pPr>
      <w:r>
        <w:rPr/>
        <w:t>The</w:t>
      </w:r>
      <w:r>
        <w:rPr>
          <w:spacing w:val="-9"/>
        </w:rPr>
        <w:t> </w:t>
      </w:r>
      <w:r>
        <w:rPr/>
        <w:t>financial</w:t>
      </w:r>
      <w:r>
        <w:rPr>
          <w:spacing w:val="-7"/>
        </w:rPr>
        <w:t> </w:t>
      </w:r>
      <w:r>
        <w:rPr/>
        <w:t>statements</w:t>
      </w:r>
      <w:r>
        <w:rPr>
          <w:spacing w:val="-5"/>
        </w:rPr>
        <w:t> </w:t>
      </w:r>
      <w:r>
        <w:rPr/>
        <w:t>on</w:t>
      </w:r>
      <w:r>
        <w:rPr>
          <w:spacing w:val="-7"/>
        </w:rPr>
        <w:t> </w:t>
      </w:r>
      <w:r>
        <w:rPr/>
        <w:t>pages</w:t>
      </w:r>
      <w:r>
        <w:rPr>
          <w:spacing w:val="-5"/>
        </w:rPr>
        <w:t> </w:t>
      </w:r>
      <w:r>
        <w:rPr/>
        <w:t>35</w:t>
      </w:r>
      <w:r>
        <w:rPr>
          <w:spacing w:val="-9"/>
        </w:rPr>
        <w:t> </w:t>
      </w:r>
      <w:r>
        <w:rPr/>
        <w:t>to</w:t>
      </w:r>
      <w:r>
        <w:rPr>
          <w:spacing w:val="-9"/>
        </w:rPr>
        <w:t> </w:t>
      </w:r>
      <w:r>
        <w:rPr/>
        <w:t>61</w:t>
      </w:r>
      <w:r>
        <w:rPr>
          <w:spacing w:val="-7"/>
        </w:rPr>
        <w:t> </w:t>
      </w:r>
      <w:r>
        <w:rPr/>
        <w:t>were</w:t>
      </w:r>
      <w:r>
        <w:rPr>
          <w:spacing w:val="-9"/>
        </w:rPr>
        <w:t> </w:t>
      </w:r>
      <w:r>
        <w:rPr/>
        <w:t>approved</w:t>
      </w:r>
      <w:r>
        <w:rPr>
          <w:spacing w:val="-9"/>
        </w:rPr>
        <w:t> </w:t>
      </w:r>
      <w:r>
        <w:rPr/>
        <w:t>and</w:t>
      </w:r>
      <w:r>
        <w:rPr>
          <w:spacing w:val="-9"/>
        </w:rPr>
        <w:t> </w:t>
      </w:r>
      <w:r>
        <w:rPr/>
        <w:t>authorised</w:t>
      </w:r>
      <w:r>
        <w:rPr>
          <w:spacing w:val="-9"/>
        </w:rPr>
        <w:t> </w:t>
      </w:r>
      <w:r>
        <w:rPr/>
        <w:t>for</w:t>
      </w:r>
      <w:r>
        <w:rPr>
          <w:spacing w:val="-5"/>
        </w:rPr>
        <w:t> </w:t>
      </w:r>
      <w:r>
        <w:rPr/>
        <w:t>issue</w:t>
      </w:r>
      <w:r>
        <w:rPr>
          <w:spacing w:val="-9"/>
        </w:rPr>
        <w:t> </w:t>
      </w:r>
      <w:r>
        <w:rPr/>
        <w:t>by</w:t>
      </w:r>
      <w:r>
        <w:rPr>
          <w:spacing w:val="-7"/>
        </w:rPr>
        <w:t> </w:t>
      </w:r>
      <w:r>
        <w:rPr/>
        <w:t>the</w:t>
      </w:r>
      <w:r>
        <w:rPr>
          <w:spacing w:val="-6"/>
        </w:rPr>
        <w:t> </w:t>
      </w:r>
      <w:r>
        <w:rPr/>
        <w:t>Corporation on 27 February 2024 and were signed on its behalf on that date by:</w:t>
      </w:r>
    </w:p>
    <w:p>
      <w:pPr>
        <w:pStyle w:val="BodyText"/>
      </w:pPr>
    </w:p>
    <w:p>
      <w:pPr>
        <w:pStyle w:val="BodyText"/>
        <w:spacing w:before="206"/>
      </w:pPr>
      <w:r>
        <w:rPr/>
        <w:drawing>
          <wp:anchor distT="0" distB="0" distL="0" distR="0" allowOverlap="1" layoutInCell="1" locked="0" behindDoc="1" simplePos="0" relativeHeight="487593984">
            <wp:simplePos x="0" y="0"/>
            <wp:positionH relativeFrom="page">
              <wp:posOffset>900430</wp:posOffset>
            </wp:positionH>
            <wp:positionV relativeFrom="paragraph">
              <wp:posOffset>319740</wp:posOffset>
            </wp:positionV>
            <wp:extent cx="1220688" cy="375666"/>
            <wp:effectExtent l="0" t="0" r="0" b="0"/>
            <wp:wrapTopAndBottom/>
            <wp:docPr id="59" name="Image 59"/>
            <wp:cNvGraphicFramePr>
              <a:graphicFrameLocks/>
            </wp:cNvGraphicFramePr>
            <a:graphic>
              <a:graphicData uri="http://schemas.openxmlformats.org/drawingml/2006/picture">
                <pic:pic>
                  <pic:nvPicPr>
                    <pic:cNvPr id="59" name="Image 59"/>
                    <pic:cNvPicPr/>
                  </pic:nvPicPr>
                  <pic:blipFill>
                    <a:blip r:embed="rId16" cstate="print"/>
                    <a:stretch>
                      <a:fillRect/>
                    </a:stretch>
                  </pic:blipFill>
                  <pic:spPr>
                    <a:xfrm>
                      <a:off x="0" y="0"/>
                      <a:ext cx="1220688" cy="375666"/>
                    </a:xfrm>
                    <a:prstGeom prst="rect">
                      <a:avLst/>
                    </a:prstGeom>
                  </pic:spPr>
                </pic:pic>
              </a:graphicData>
            </a:graphic>
          </wp:anchor>
        </w:drawing>
      </w:r>
      <w:r>
        <w:rPr/>
        <w:drawing>
          <wp:anchor distT="0" distB="0" distL="0" distR="0" allowOverlap="1" layoutInCell="1" locked="0" behindDoc="1" simplePos="0" relativeHeight="487594496">
            <wp:simplePos x="0" y="0"/>
            <wp:positionH relativeFrom="page">
              <wp:posOffset>3186429</wp:posOffset>
            </wp:positionH>
            <wp:positionV relativeFrom="paragraph">
              <wp:posOffset>292435</wp:posOffset>
            </wp:positionV>
            <wp:extent cx="1427972" cy="408431"/>
            <wp:effectExtent l="0" t="0" r="0" b="0"/>
            <wp:wrapTopAndBottom/>
            <wp:docPr id="60" name="Image 60"/>
            <wp:cNvGraphicFramePr>
              <a:graphicFrameLocks/>
            </wp:cNvGraphicFramePr>
            <a:graphic>
              <a:graphicData uri="http://schemas.openxmlformats.org/drawingml/2006/picture">
                <pic:pic>
                  <pic:nvPicPr>
                    <pic:cNvPr id="60" name="Image 60"/>
                    <pic:cNvPicPr/>
                  </pic:nvPicPr>
                  <pic:blipFill>
                    <a:blip r:embed="rId23" cstate="print"/>
                    <a:stretch>
                      <a:fillRect/>
                    </a:stretch>
                  </pic:blipFill>
                  <pic:spPr>
                    <a:xfrm>
                      <a:off x="0" y="0"/>
                      <a:ext cx="1427972" cy="408431"/>
                    </a:xfrm>
                    <a:prstGeom prst="rect">
                      <a:avLst/>
                    </a:prstGeom>
                  </pic:spPr>
                </pic:pic>
              </a:graphicData>
            </a:graphic>
          </wp:anchor>
        </w:drawing>
      </w:r>
    </w:p>
    <w:p>
      <w:pPr>
        <w:pStyle w:val="BodyText"/>
      </w:pPr>
    </w:p>
    <w:p>
      <w:pPr>
        <w:pStyle w:val="BodyText"/>
      </w:pPr>
    </w:p>
    <w:p>
      <w:pPr>
        <w:tabs>
          <w:tab w:pos="4452" w:val="left" w:leader="none"/>
        </w:tabs>
        <w:spacing w:line="229" w:lineRule="exact" w:before="0"/>
        <w:ind w:left="852" w:right="0" w:firstLine="0"/>
        <w:jc w:val="left"/>
        <w:rPr>
          <w:b/>
          <w:sz w:val="20"/>
        </w:rPr>
      </w:pPr>
      <w:r>
        <w:rPr>
          <w:b/>
          <w:sz w:val="20"/>
        </w:rPr>
        <w:t>Robert</w:t>
      </w:r>
      <w:r>
        <w:rPr>
          <w:b/>
          <w:spacing w:val="-9"/>
          <w:sz w:val="20"/>
        </w:rPr>
        <w:t> </w:t>
      </w:r>
      <w:r>
        <w:rPr>
          <w:b/>
          <w:spacing w:val="-2"/>
          <w:sz w:val="20"/>
        </w:rPr>
        <w:t>Lawson</w:t>
      </w:r>
      <w:r>
        <w:rPr>
          <w:b/>
          <w:sz w:val="20"/>
        </w:rPr>
        <w:tab/>
        <w:t>Debra</w:t>
      </w:r>
      <w:r>
        <w:rPr>
          <w:b/>
          <w:spacing w:val="-9"/>
          <w:sz w:val="20"/>
        </w:rPr>
        <w:t> </w:t>
      </w:r>
      <w:r>
        <w:rPr>
          <w:b/>
          <w:spacing w:val="-4"/>
          <w:sz w:val="20"/>
        </w:rPr>
        <w:t>Gray</w:t>
      </w:r>
    </w:p>
    <w:p>
      <w:pPr>
        <w:tabs>
          <w:tab w:pos="4451" w:val="left" w:leader="none"/>
        </w:tabs>
        <w:spacing w:line="229" w:lineRule="exact" w:before="0"/>
        <w:ind w:left="852" w:right="0" w:firstLine="0"/>
        <w:jc w:val="left"/>
        <w:rPr>
          <w:b/>
          <w:sz w:val="20"/>
        </w:rPr>
      </w:pPr>
      <w:r>
        <w:rPr>
          <w:b/>
          <w:spacing w:val="-2"/>
          <w:sz w:val="20"/>
        </w:rPr>
        <w:t>Chair</w:t>
      </w:r>
      <w:r>
        <w:rPr>
          <w:b/>
          <w:sz w:val="20"/>
        </w:rPr>
        <w:tab/>
        <w:t>Chief</w:t>
      </w:r>
      <w:r>
        <w:rPr>
          <w:b/>
          <w:spacing w:val="-8"/>
          <w:sz w:val="20"/>
        </w:rPr>
        <w:t> </w:t>
      </w:r>
      <w:r>
        <w:rPr>
          <w:b/>
          <w:sz w:val="20"/>
        </w:rPr>
        <w:t>Executive</w:t>
      </w:r>
      <w:r>
        <w:rPr>
          <w:b/>
          <w:spacing w:val="-8"/>
          <w:sz w:val="20"/>
        </w:rPr>
        <w:t> </w:t>
      </w:r>
      <w:r>
        <w:rPr>
          <w:b/>
          <w:sz w:val="20"/>
        </w:rPr>
        <w:t>and</w:t>
      </w:r>
      <w:r>
        <w:rPr>
          <w:b/>
          <w:spacing w:val="-8"/>
          <w:sz w:val="20"/>
        </w:rPr>
        <w:t> </w:t>
      </w:r>
      <w:r>
        <w:rPr>
          <w:b/>
          <w:sz w:val="20"/>
        </w:rPr>
        <w:t>Accounting</w:t>
      </w:r>
      <w:r>
        <w:rPr>
          <w:b/>
          <w:spacing w:val="-7"/>
          <w:sz w:val="20"/>
        </w:rPr>
        <w:t> </w:t>
      </w:r>
      <w:r>
        <w:rPr>
          <w:b/>
          <w:spacing w:val="-2"/>
          <w:sz w:val="20"/>
        </w:rPr>
        <w:t>Officer</w:t>
      </w:r>
    </w:p>
    <w:p>
      <w:pPr>
        <w:spacing w:after="0" w:line="229" w:lineRule="exact"/>
        <w:jc w:val="left"/>
        <w:rPr>
          <w:b/>
          <w:sz w:val="20"/>
        </w:rPr>
        <w:sectPr>
          <w:headerReference w:type="default" r:id="rId32"/>
          <w:footerReference w:type="default" r:id="rId33"/>
          <w:pgSz w:w="11910" w:h="16850"/>
          <w:pgMar w:header="727" w:footer="702" w:top="1520" w:bottom="900" w:left="566" w:right="708"/>
        </w:sectPr>
      </w:pPr>
    </w:p>
    <w:p>
      <w:pPr>
        <w:pStyle w:val="BodyText"/>
        <w:rPr>
          <w:b/>
          <w:sz w:val="24"/>
        </w:rPr>
      </w:pPr>
    </w:p>
    <w:p>
      <w:pPr>
        <w:spacing w:before="0"/>
        <w:ind w:left="852" w:right="1084" w:firstLine="0"/>
        <w:jc w:val="left"/>
        <w:rPr>
          <w:b/>
          <w:sz w:val="24"/>
        </w:rPr>
      </w:pPr>
      <w:r>
        <w:rPr>
          <w:b/>
          <w:sz w:val="24"/>
        </w:rPr>
        <w:t>CONSOLIDATED AND COLLEGE STATEMENT OF CHANGES IN RESERVES FOR THE YEAR ENDED 31 JULY 2023</w:t>
      </w:r>
    </w:p>
    <w:p>
      <w:pPr>
        <w:pStyle w:val="BodyText"/>
        <w:spacing w:before="52" w:after="1"/>
        <w:rPr>
          <w:b/>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8"/>
        <w:gridCol w:w="1358"/>
        <w:gridCol w:w="268"/>
        <w:gridCol w:w="1447"/>
      </w:tblGrid>
      <w:tr>
        <w:trPr>
          <w:trHeight w:val="939" w:hRule="atLeast"/>
        </w:trPr>
        <w:tc>
          <w:tcPr>
            <w:tcW w:w="6388" w:type="dxa"/>
            <w:vMerge w:val="restart"/>
          </w:tcPr>
          <w:p>
            <w:pPr>
              <w:pStyle w:val="TableParagraph"/>
              <w:rPr>
                <w:rFonts w:ascii="Times New Roman"/>
                <w:sz w:val="20"/>
              </w:rPr>
            </w:pPr>
          </w:p>
        </w:tc>
        <w:tc>
          <w:tcPr>
            <w:tcW w:w="1358" w:type="dxa"/>
          </w:tcPr>
          <w:p>
            <w:pPr>
              <w:pStyle w:val="TableParagraph"/>
              <w:spacing w:line="223" w:lineRule="exact"/>
              <w:ind w:right="107"/>
              <w:jc w:val="right"/>
              <w:rPr>
                <w:b/>
                <w:sz w:val="20"/>
              </w:rPr>
            </w:pPr>
            <w:r>
              <w:rPr>
                <w:b/>
                <w:spacing w:val="-2"/>
                <w:sz w:val="20"/>
              </w:rPr>
              <w:t>Income</w:t>
            </w:r>
          </w:p>
          <w:p>
            <w:pPr>
              <w:pStyle w:val="TableParagraph"/>
              <w:ind w:left="115" w:right="108" w:firstLine="777"/>
              <w:jc w:val="right"/>
              <w:rPr>
                <w:b/>
                <w:sz w:val="20"/>
              </w:rPr>
            </w:pPr>
            <w:r>
              <w:rPr>
                <w:b/>
                <w:spacing w:val="-4"/>
                <w:sz w:val="20"/>
              </w:rPr>
              <w:t>and </w:t>
            </w:r>
            <w:r>
              <w:rPr>
                <w:b/>
                <w:spacing w:val="-2"/>
                <w:sz w:val="20"/>
              </w:rPr>
              <w:t>expenditure</w:t>
            </w:r>
          </w:p>
          <w:p>
            <w:pPr>
              <w:pStyle w:val="TableParagraph"/>
              <w:spacing w:before="1"/>
              <w:ind w:right="109"/>
              <w:jc w:val="right"/>
              <w:rPr>
                <w:b/>
                <w:sz w:val="20"/>
              </w:rPr>
            </w:pPr>
            <w:r>
              <w:rPr>
                <w:b/>
                <w:spacing w:val="-2"/>
                <w:sz w:val="20"/>
              </w:rPr>
              <w:t>reserve</w:t>
            </w:r>
          </w:p>
        </w:tc>
        <w:tc>
          <w:tcPr>
            <w:tcW w:w="1715" w:type="dxa"/>
            <w:gridSpan w:val="2"/>
          </w:tcPr>
          <w:p>
            <w:pPr>
              <w:pStyle w:val="TableParagraph"/>
              <w:spacing w:before="223"/>
              <w:rPr>
                <w:b/>
                <w:sz w:val="20"/>
              </w:rPr>
            </w:pPr>
          </w:p>
          <w:p>
            <w:pPr>
              <w:pStyle w:val="TableParagraph"/>
              <w:ind w:left="1107"/>
              <w:rPr>
                <w:b/>
                <w:sz w:val="20"/>
              </w:rPr>
            </w:pPr>
            <w:r>
              <w:rPr>
                <w:b/>
                <w:spacing w:val="-2"/>
                <w:sz w:val="20"/>
              </w:rPr>
              <w:t>Total</w:t>
            </w:r>
          </w:p>
        </w:tc>
      </w:tr>
      <w:tr>
        <w:trPr>
          <w:trHeight w:val="292" w:hRule="atLeast"/>
        </w:trPr>
        <w:tc>
          <w:tcPr>
            <w:tcW w:w="6388" w:type="dxa"/>
            <w:vMerge/>
            <w:tcBorders>
              <w:top w:val="nil"/>
            </w:tcBorders>
          </w:tcPr>
          <w:p>
            <w:pPr>
              <w:rPr>
                <w:sz w:val="2"/>
                <w:szCs w:val="2"/>
              </w:rPr>
            </w:pPr>
          </w:p>
        </w:tc>
        <w:tc>
          <w:tcPr>
            <w:tcW w:w="1358" w:type="dxa"/>
          </w:tcPr>
          <w:p>
            <w:pPr>
              <w:pStyle w:val="TableParagraph"/>
              <w:spacing w:before="18"/>
              <w:ind w:right="109"/>
              <w:jc w:val="right"/>
              <w:rPr>
                <w:b/>
                <w:sz w:val="20"/>
              </w:rPr>
            </w:pPr>
            <w:r>
              <w:rPr>
                <w:b/>
                <w:spacing w:val="-2"/>
                <w:sz w:val="20"/>
              </w:rPr>
              <w:t>£’000</w:t>
            </w:r>
          </w:p>
        </w:tc>
        <w:tc>
          <w:tcPr>
            <w:tcW w:w="1715" w:type="dxa"/>
            <w:gridSpan w:val="2"/>
          </w:tcPr>
          <w:p>
            <w:pPr>
              <w:pStyle w:val="TableParagraph"/>
              <w:spacing w:before="18"/>
              <w:ind w:left="1083"/>
              <w:rPr>
                <w:b/>
                <w:sz w:val="20"/>
              </w:rPr>
            </w:pPr>
            <w:r>
              <w:rPr>
                <w:b/>
                <w:spacing w:val="-2"/>
                <w:sz w:val="20"/>
              </w:rPr>
              <w:t>£’000</w:t>
            </w:r>
          </w:p>
        </w:tc>
      </w:tr>
      <w:tr>
        <w:trPr>
          <w:trHeight w:val="452" w:hRule="atLeast"/>
        </w:trPr>
        <w:tc>
          <w:tcPr>
            <w:tcW w:w="6388" w:type="dxa"/>
          </w:tcPr>
          <w:p>
            <w:pPr>
              <w:pStyle w:val="TableParagraph"/>
              <w:spacing w:before="37"/>
              <w:ind w:left="50"/>
              <w:rPr>
                <w:b/>
                <w:sz w:val="20"/>
              </w:rPr>
            </w:pPr>
            <w:r>
              <w:rPr>
                <w:b/>
                <w:spacing w:val="-4"/>
                <w:sz w:val="20"/>
              </w:rPr>
              <w:t>Group</w:t>
            </w:r>
          </w:p>
        </w:tc>
        <w:tc>
          <w:tcPr>
            <w:tcW w:w="1358" w:type="dxa"/>
          </w:tcPr>
          <w:p>
            <w:pPr>
              <w:pStyle w:val="TableParagraph"/>
              <w:rPr>
                <w:rFonts w:ascii="Times New Roman"/>
                <w:sz w:val="20"/>
              </w:rPr>
            </w:pPr>
          </w:p>
        </w:tc>
        <w:tc>
          <w:tcPr>
            <w:tcW w:w="1715" w:type="dxa"/>
            <w:gridSpan w:val="2"/>
          </w:tcPr>
          <w:p>
            <w:pPr>
              <w:pStyle w:val="TableParagraph"/>
              <w:rPr>
                <w:rFonts w:ascii="Times New Roman"/>
                <w:sz w:val="20"/>
              </w:rPr>
            </w:pPr>
          </w:p>
        </w:tc>
      </w:tr>
      <w:tr>
        <w:trPr>
          <w:trHeight w:val="586" w:hRule="atLeast"/>
        </w:trPr>
        <w:tc>
          <w:tcPr>
            <w:tcW w:w="6388" w:type="dxa"/>
          </w:tcPr>
          <w:p>
            <w:pPr>
              <w:pStyle w:val="TableParagraph"/>
              <w:spacing w:before="178"/>
              <w:ind w:left="50"/>
              <w:rPr>
                <w:b/>
                <w:sz w:val="20"/>
              </w:rPr>
            </w:pPr>
            <w:r>
              <w:rPr>
                <w:b/>
                <w:sz w:val="20"/>
              </w:rPr>
              <w:t>Balance</w:t>
            </w:r>
            <w:r>
              <w:rPr>
                <w:b/>
                <w:spacing w:val="-7"/>
                <w:sz w:val="20"/>
              </w:rPr>
              <w:t> </w:t>
            </w:r>
            <w:r>
              <w:rPr>
                <w:b/>
                <w:sz w:val="20"/>
              </w:rPr>
              <w:t>at</w:t>
            </w:r>
            <w:r>
              <w:rPr>
                <w:b/>
                <w:spacing w:val="-5"/>
                <w:sz w:val="20"/>
              </w:rPr>
              <w:t> </w:t>
            </w:r>
            <w:r>
              <w:rPr>
                <w:b/>
                <w:sz w:val="20"/>
              </w:rPr>
              <w:t>1</w:t>
            </w:r>
            <w:r>
              <w:rPr>
                <w:b/>
                <w:spacing w:val="-4"/>
                <w:sz w:val="20"/>
              </w:rPr>
              <w:t> </w:t>
            </w:r>
            <w:r>
              <w:rPr>
                <w:b/>
                <w:sz w:val="20"/>
              </w:rPr>
              <w:t>August</w:t>
            </w:r>
            <w:r>
              <w:rPr>
                <w:b/>
                <w:spacing w:val="-5"/>
                <w:sz w:val="20"/>
              </w:rPr>
              <w:t> </w:t>
            </w:r>
            <w:r>
              <w:rPr>
                <w:b/>
                <w:spacing w:val="-4"/>
                <w:sz w:val="20"/>
              </w:rPr>
              <w:t>2021</w:t>
            </w:r>
          </w:p>
        </w:tc>
        <w:tc>
          <w:tcPr>
            <w:tcW w:w="1358" w:type="dxa"/>
          </w:tcPr>
          <w:p>
            <w:pPr>
              <w:pStyle w:val="TableParagraph"/>
              <w:spacing w:before="178"/>
              <w:ind w:right="53"/>
              <w:jc w:val="right"/>
              <w:rPr>
                <w:sz w:val="20"/>
              </w:rPr>
            </w:pPr>
            <w:r>
              <w:rPr>
                <w:spacing w:val="-2"/>
                <w:sz w:val="20"/>
              </w:rPr>
              <w:t>(2,954)</w:t>
            </w:r>
          </w:p>
        </w:tc>
        <w:tc>
          <w:tcPr>
            <w:tcW w:w="1715" w:type="dxa"/>
            <w:gridSpan w:val="2"/>
          </w:tcPr>
          <w:p>
            <w:pPr>
              <w:pStyle w:val="TableParagraph"/>
              <w:spacing w:before="178"/>
              <w:ind w:left="1008"/>
              <w:rPr>
                <w:sz w:val="20"/>
              </w:rPr>
            </w:pPr>
            <w:r>
              <w:rPr>
                <w:spacing w:val="-2"/>
                <w:sz w:val="20"/>
              </w:rPr>
              <w:t>(2,954)</w:t>
            </w:r>
          </w:p>
        </w:tc>
      </w:tr>
      <w:tr>
        <w:trPr>
          <w:trHeight w:val="435" w:hRule="atLeast"/>
        </w:trPr>
        <w:tc>
          <w:tcPr>
            <w:tcW w:w="6388" w:type="dxa"/>
          </w:tcPr>
          <w:p>
            <w:pPr>
              <w:pStyle w:val="TableParagraph"/>
              <w:spacing w:before="172"/>
              <w:ind w:left="50"/>
              <w:rPr>
                <w:sz w:val="20"/>
              </w:rPr>
            </w:pPr>
            <w:r>
              <w:rPr>
                <w:sz w:val="20"/>
              </w:rPr>
              <w:t>Deficit</w:t>
            </w:r>
            <w:r>
              <w:rPr>
                <w:spacing w:val="-6"/>
                <w:sz w:val="20"/>
              </w:rPr>
              <w:t> </w:t>
            </w:r>
            <w:r>
              <w:rPr>
                <w:sz w:val="20"/>
              </w:rPr>
              <w:t>for</w:t>
            </w:r>
            <w:r>
              <w:rPr>
                <w:spacing w:val="-5"/>
                <w:sz w:val="20"/>
              </w:rPr>
              <w:t> </w:t>
            </w:r>
            <w:r>
              <w:rPr>
                <w:sz w:val="20"/>
              </w:rPr>
              <w:t>the</w:t>
            </w:r>
            <w:r>
              <w:rPr>
                <w:spacing w:val="-5"/>
                <w:sz w:val="20"/>
              </w:rPr>
              <w:t> </w:t>
            </w:r>
            <w:r>
              <w:rPr>
                <w:spacing w:val="-4"/>
                <w:sz w:val="20"/>
              </w:rPr>
              <w:t>year</w:t>
            </w:r>
          </w:p>
        </w:tc>
        <w:tc>
          <w:tcPr>
            <w:tcW w:w="1358" w:type="dxa"/>
          </w:tcPr>
          <w:p>
            <w:pPr>
              <w:pStyle w:val="TableParagraph"/>
              <w:spacing w:before="172"/>
              <w:ind w:right="53"/>
              <w:jc w:val="right"/>
              <w:rPr>
                <w:sz w:val="20"/>
              </w:rPr>
            </w:pPr>
            <w:r>
              <w:rPr>
                <w:spacing w:val="-2"/>
                <w:sz w:val="20"/>
              </w:rPr>
              <w:t>(2,298)</w:t>
            </w:r>
          </w:p>
        </w:tc>
        <w:tc>
          <w:tcPr>
            <w:tcW w:w="1715" w:type="dxa"/>
            <w:gridSpan w:val="2"/>
          </w:tcPr>
          <w:p>
            <w:pPr>
              <w:pStyle w:val="TableParagraph"/>
              <w:spacing w:before="172"/>
              <w:ind w:left="1008"/>
              <w:rPr>
                <w:sz w:val="20"/>
              </w:rPr>
            </w:pPr>
            <w:r>
              <w:rPr>
                <w:spacing w:val="-2"/>
                <w:sz w:val="20"/>
              </w:rPr>
              <w:t>(2.298)</w:t>
            </w:r>
          </w:p>
        </w:tc>
      </w:tr>
      <w:tr>
        <w:trPr>
          <w:trHeight w:val="293" w:hRule="atLeast"/>
        </w:trPr>
        <w:tc>
          <w:tcPr>
            <w:tcW w:w="6388" w:type="dxa"/>
          </w:tcPr>
          <w:p>
            <w:pPr>
              <w:pStyle w:val="TableParagraph"/>
              <w:spacing w:before="26"/>
              <w:ind w:left="50"/>
              <w:rPr>
                <w:sz w:val="20"/>
              </w:rPr>
            </w:pPr>
            <w:r>
              <w:rPr>
                <w:sz w:val="20"/>
              </w:rPr>
              <w:t>Other</w:t>
            </w:r>
            <w:r>
              <w:rPr>
                <w:spacing w:val="-11"/>
                <w:sz w:val="20"/>
              </w:rPr>
              <w:t> </w:t>
            </w:r>
            <w:r>
              <w:rPr>
                <w:sz w:val="20"/>
              </w:rPr>
              <w:t>comprehensive</w:t>
            </w:r>
            <w:r>
              <w:rPr>
                <w:spacing w:val="-11"/>
                <w:sz w:val="20"/>
              </w:rPr>
              <w:t> </w:t>
            </w:r>
            <w:r>
              <w:rPr>
                <w:spacing w:val="-2"/>
                <w:sz w:val="20"/>
              </w:rPr>
              <w:t>income</w:t>
            </w:r>
          </w:p>
        </w:tc>
        <w:tc>
          <w:tcPr>
            <w:tcW w:w="1358" w:type="dxa"/>
          </w:tcPr>
          <w:p>
            <w:pPr>
              <w:pStyle w:val="TableParagraph"/>
              <w:spacing w:before="26"/>
              <w:ind w:right="110"/>
              <w:jc w:val="right"/>
              <w:rPr>
                <w:sz w:val="20"/>
              </w:rPr>
            </w:pPr>
            <w:r>
              <w:rPr>
                <w:spacing w:val="-2"/>
                <w:sz w:val="20"/>
              </w:rPr>
              <w:t>32,248</w:t>
            </w:r>
          </w:p>
        </w:tc>
        <w:tc>
          <w:tcPr>
            <w:tcW w:w="1715" w:type="dxa"/>
            <w:gridSpan w:val="2"/>
          </w:tcPr>
          <w:p>
            <w:pPr>
              <w:pStyle w:val="TableParagraph"/>
              <w:spacing w:before="26"/>
              <w:ind w:left="972"/>
              <w:rPr>
                <w:sz w:val="20"/>
              </w:rPr>
            </w:pPr>
            <w:r>
              <w:rPr>
                <w:spacing w:val="-2"/>
                <w:sz w:val="20"/>
              </w:rPr>
              <w:t>32,248</w:t>
            </w:r>
          </w:p>
        </w:tc>
      </w:tr>
      <w:tr>
        <w:trPr>
          <w:trHeight w:val="386" w:hRule="atLeast"/>
        </w:trPr>
        <w:tc>
          <w:tcPr>
            <w:tcW w:w="6388" w:type="dxa"/>
          </w:tcPr>
          <w:p>
            <w:pPr>
              <w:pStyle w:val="TableParagraph"/>
              <w:spacing w:before="76"/>
              <w:ind w:left="50"/>
              <w:rPr>
                <w:b/>
                <w:sz w:val="20"/>
              </w:rPr>
            </w:pPr>
            <w:r>
              <w:rPr>
                <w:b/>
                <w:sz w:val="20"/>
              </w:rPr>
              <w:t>Total</w:t>
            </w:r>
            <w:r>
              <w:rPr>
                <w:b/>
                <w:spacing w:val="-8"/>
                <w:sz w:val="20"/>
              </w:rPr>
              <w:t> </w:t>
            </w:r>
            <w:r>
              <w:rPr>
                <w:b/>
                <w:sz w:val="20"/>
              </w:rPr>
              <w:t>comprehensive</w:t>
            </w:r>
            <w:r>
              <w:rPr>
                <w:b/>
                <w:spacing w:val="-8"/>
                <w:sz w:val="20"/>
              </w:rPr>
              <w:t> </w:t>
            </w:r>
            <w:r>
              <w:rPr>
                <w:b/>
                <w:sz w:val="20"/>
              </w:rPr>
              <w:t>income</w:t>
            </w:r>
            <w:r>
              <w:rPr>
                <w:b/>
                <w:spacing w:val="-7"/>
                <w:sz w:val="20"/>
              </w:rPr>
              <w:t> </w:t>
            </w:r>
            <w:r>
              <w:rPr>
                <w:b/>
                <w:sz w:val="20"/>
              </w:rPr>
              <w:t>for</w:t>
            </w:r>
            <w:r>
              <w:rPr>
                <w:b/>
                <w:spacing w:val="-9"/>
                <w:sz w:val="20"/>
              </w:rPr>
              <w:t> </w:t>
            </w:r>
            <w:r>
              <w:rPr>
                <w:b/>
                <w:sz w:val="20"/>
              </w:rPr>
              <w:t>the</w:t>
            </w:r>
            <w:r>
              <w:rPr>
                <w:b/>
                <w:spacing w:val="-8"/>
                <w:sz w:val="20"/>
              </w:rPr>
              <w:t> </w:t>
            </w:r>
            <w:r>
              <w:rPr>
                <w:b/>
                <w:spacing w:val="-4"/>
                <w:sz w:val="20"/>
              </w:rPr>
              <w:t>year</w:t>
            </w:r>
          </w:p>
        </w:tc>
        <w:tc>
          <w:tcPr>
            <w:tcW w:w="1358" w:type="dxa"/>
          </w:tcPr>
          <w:p>
            <w:pPr>
              <w:pStyle w:val="TableParagraph"/>
              <w:spacing w:line="20" w:lineRule="exact"/>
              <w:ind w:left="7" w:right="-72"/>
              <w:rPr>
                <w:sz w:val="2"/>
              </w:rPr>
            </w:pPr>
            <w:r>
              <w:rPr>
                <w:sz w:val="2"/>
              </w:rPr>
              <mc:AlternateContent>
                <mc:Choice Requires="wps">
                  <w:drawing>
                    <wp:inline distT="0" distB="0" distL="0" distR="0">
                      <wp:extent cx="858519" cy="6350"/>
                      <wp:effectExtent l="0" t="0" r="0" b="0"/>
                      <wp:docPr id="65" name="Group 65"/>
                      <wp:cNvGraphicFramePr>
                        <a:graphicFrameLocks/>
                      </wp:cNvGraphicFramePr>
                      <a:graphic>
                        <a:graphicData uri="http://schemas.microsoft.com/office/word/2010/wordprocessingGroup">
                          <wpg:wgp>
                            <wpg:cNvPr id="65" name="Group 65"/>
                            <wpg:cNvGrpSpPr/>
                            <wpg:grpSpPr>
                              <a:xfrm>
                                <a:off x="0" y="0"/>
                                <a:ext cx="858519" cy="6350"/>
                                <a:chExt cx="858519" cy="6350"/>
                              </a:xfrm>
                            </wpg:grpSpPr>
                            <wps:wsp>
                              <wps:cNvPr id="66" name="Graphic 66"/>
                              <wps:cNvSpPr/>
                              <wps:spPr>
                                <a:xfrm>
                                  <a:off x="0" y="0"/>
                                  <a:ext cx="858519" cy="6350"/>
                                </a:xfrm>
                                <a:custGeom>
                                  <a:avLst/>
                                  <a:gdLst/>
                                  <a:ahLst/>
                                  <a:cxnLst/>
                                  <a:rect l="l" t="t" r="r" b="b"/>
                                  <a:pathLst>
                                    <a:path w="858519" h="6350">
                                      <a:moveTo>
                                        <a:pt x="858012" y="0"/>
                                      </a:moveTo>
                                      <a:lnTo>
                                        <a:pt x="0" y="0"/>
                                      </a:lnTo>
                                      <a:lnTo>
                                        <a:pt x="0" y="6108"/>
                                      </a:lnTo>
                                      <a:lnTo>
                                        <a:pt x="858012" y="6108"/>
                                      </a:lnTo>
                                      <a:lnTo>
                                        <a:pt x="8580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pt;height:.5pt;mso-position-horizontal-relative:char;mso-position-vertical-relative:line" id="docshapegroup55" coordorigin="0,0" coordsize="1352,10">
                      <v:rect style="position:absolute;left:0;top:0;width:1352;height:10" id="docshape56" filled="true" fillcolor="#000000" stroked="false">
                        <v:fill type="solid"/>
                      </v:rect>
                    </v:group>
                  </w:pict>
                </mc:Fallback>
              </mc:AlternateContent>
            </w:r>
            <w:r>
              <w:rPr>
                <w:sz w:val="2"/>
              </w:rPr>
            </w:r>
          </w:p>
          <w:p>
            <w:pPr>
              <w:pStyle w:val="TableParagraph"/>
              <w:spacing w:before="116"/>
              <w:ind w:right="110"/>
              <w:jc w:val="right"/>
              <w:rPr>
                <w:sz w:val="20"/>
              </w:rPr>
            </w:pPr>
            <w:r>
              <w:rPr>
                <w:spacing w:val="-2"/>
                <w:sz w:val="20"/>
              </w:rPr>
              <w:t>29,950</w:t>
            </w:r>
          </w:p>
        </w:tc>
        <w:tc>
          <w:tcPr>
            <w:tcW w:w="1715" w:type="dxa"/>
            <w:gridSpan w:val="2"/>
          </w:tcPr>
          <w:p>
            <w:pPr>
              <w:pStyle w:val="TableParagraph"/>
              <w:spacing w:line="20" w:lineRule="exact"/>
              <w:ind w:left="276" w:right="-44"/>
              <w:rPr>
                <w:sz w:val="2"/>
              </w:rPr>
            </w:pPr>
            <w:r>
              <w:rPr>
                <w:sz w:val="2"/>
              </w:rPr>
              <mc:AlternateContent>
                <mc:Choice Requires="wps">
                  <w:drawing>
                    <wp:inline distT="0" distB="0" distL="0" distR="0">
                      <wp:extent cx="901065" cy="6350"/>
                      <wp:effectExtent l="0" t="0" r="0" b="0"/>
                      <wp:docPr id="67" name="Group 67"/>
                      <wp:cNvGraphicFramePr>
                        <a:graphicFrameLocks/>
                      </wp:cNvGraphicFramePr>
                      <a:graphic>
                        <a:graphicData uri="http://schemas.microsoft.com/office/word/2010/wordprocessingGroup">
                          <wpg:wgp>
                            <wpg:cNvPr id="67" name="Group 67"/>
                            <wpg:cNvGrpSpPr/>
                            <wpg:grpSpPr>
                              <a:xfrm>
                                <a:off x="0" y="0"/>
                                <a:ext cx="901065" cy="6350"/>
                                <a:chExt cx="901065" cy="6350"/>
                              </a:xfrm>
                            </wpg:grpSpPr>
                            <wps:wsp>
                              <wps:cNvPr id="68" name="Graphic 68"/>
                              <wps:cNvSpPr/>
                              <wps:spPr>
                                <a:xfrm>
                                  <a:off x="0" y="0"/>
                                  <a:ext cx="901065" cy="6350"/>
                                </a:xfrm>
                                <a:custGeom>
                                  <a:avLst/>
                                  <a:gdLst/>
                                  <a:ahLst/>
                                  <a:cxnLst/>
                                  <a:rect l="l" t="t" r="r" b="b"/>
                                  <a:pathLst>
                                    <a:path w="901065" h="6350">
                                      <a:moveTo>
                                        <a:pt x="900684" y="0"/>
                                      </a:moveTo>
                                      <a:lnTo>
                                        <a:pt x="0" y="0"/>
                                      </a:lnTo>
                                      <a:lnTo>
                                        <a:pt x="0" y="6108"/>
                                      </a:lnTo>
                                      <a:lnTo>
                                        <a:pt x="900684" y="6108"/>
                                      </a:lnTo>
                                      <a:lnTo>
                                        <a:pt x="9006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95pt;height:.5pt;mso-position-horizontal-relative:char;mso-position-vertical-relative:line" id="docshapegroup57" coordorigin="0,0" coordsize="1419,10">
                      <v:rect style="position:absolute;left:0;top:0;width:1419;height:10" id="docshape58" filled="true" fillcolor="#000000" stroked="false">
                        <v:fill type="solid"/>
                      </v:rect>
                    </v:group>
                  </w:pict>
                </mc:Fallback>
              </mc:AlternateContent>
            </w:r>
            <w:r>
              <w:rPr>
                <w:sz w:val="2"/>
              </w:rPr>
            </w:r>
          </w:p>
          <w:p>
            <w:pPr>
              <w:pStyle w:val="TableParagraph"/>
              <w:spacing w:before="116"/>
              <w:ind w:left="972"/>
              <w:rPr>
                <w:sz w:val="20"/>
              </w:rPr>
            </w:pPr>
            <w:r>
              <w:rPr>
                <w:spacing w:val="-2"/>
                <w:sz w:val="20"/>
              </w:rPr>
              <w:t>29,950</w:t>
            </w:r>
          </w:p>
        </w:tc>
      </w:tr>
      <w:tr>
        <w:trPr>
          <w:trHeight w:val="402" w:hRule="atLeast"/>
        </w:trPr>
        <w:tc>
          <w:tcPr>
            <w:tcW w:w="6388" w:type="dxa"/>
          </w:tcPr>
          <w:p>
            <w:pPr>
              <w:pStyle w:val="TableParagraph"/>
              <w:spacing w:before="86"/>
              <w:ind w:left="50"/>
              <w:rPr>
                <w:b/>
                <w:sz w:val="20"/>
              </w:rPr>
            </w:pPr>
            <w:r>
              <w:rPr>
                <w:b/>
                <w:sz w:val="20"/>
              </w:rPr>
              <w:t>Balance</w:t>
            </w:r>
            <w:r>
              <w:rPr>
                <w:b/>
                <w:spacing w:val="-5"/>
                <w:sz w:val="20"/>
              </w:rPr>
              <w:t> </w:t>
            </w:r>
            <w:r>
              <w:rPr>
                <w:b/>
                <w:sz w:val="20"/>
              </w:rPr>
              <w:t>at</w:t>
            </w:r>
            <w:r>
              <w:rPr>
                <w:b/>
                <w:spacing w:val="-4"/>
                <w:sz w:val="20"/>
              </w:rPr>
              <w:t> </w:t>
            </w:r>
            <w:r>
              <w:rPr>
                <w:b/>
                <w:sz w:val="20"/>
              </w:rPr>
              <w:t>31</w:t>
            </w:r>
            <w:r>
              <w:rPr>
                <w:b/>
                <w:spacing w:val="-5"/>
                <w:sz w:val="20"/>
              </w:rPr>
              <w:t> </w:t>
            </w:r>
            <w:r>
              <w:rPr>
                <w:b/>
                <w:sz w:val="20"/>
              </w:rPr>
              <w:t>July</w:t>
            </w:r>
            <w:r>
              <w:rPr>
                <w:b/>
                <w:spacing w:val="-4"/>
                <w:sz w:val="20"/>
              </w:rPr>
              <w:t> 2022</w:t>
            </w:r>
          </w:p>
        </w:tc>
        <w:tc>
          <w:tcPr>
            <w:tcW w:w="1358" w:type="dxa"/>
            <w:tcBorders>
              <w:top w:val="single" w:sz="4" w:space="0" w:color="000000"/>
              <w:bottom w:val="double" w:sz="4" w:space="0" w:color="000000"/>
            </w:tcBorders>
          </w:tcPr>
          <w:p>
            <w:pPr>
              <w:pStyle w:val="TableParagraph"/>
              <w:spacing w:before="145"/>
              <w:ind w:right="110"/>
              <w:jc w:val="right"/>
              <w:rPr>
                <w:sz w:val="20"/>
              </w:rPr>
            </w:pPr>
            <w:r>
              <w:rPr>
                <w:spacing w:val="-2"/>
                <w:sz w:val="20"/>
              </w:rPr>
              <w:t>26,996</w:t>
            </w:r>
          </w:p>
        </w:tc>
        <w:tc>
          <w:tcPr>
            <w:tcW w:w="268" w:type="dxa"/>
          </w:tcPr>
          <w:p>
            <w:pPr>
              <w:pStyle w:val="TableParagraph"/>
              <w:rPr>
                <w:rFonts w:ascii="Times New Roman"/>
                <w:sz w:val="20"/>
              </w:rPr>
            </w:pPr>
          </w:p>
        </w:tc>
        <w:tc>
          <w:tcPr>
            <w:tcW w:w="1447" w:type="dxa"/>
            <w:tcBorders>
              <w:top w:val="single" w:sz="4" w:space="0" w:color="000000"/>
              <w:bottom w:val="double" w:sz="4" w:space="0" w:color="000000"/>
            </w:tcBorders>
          </w:tcPr>
          <w:p>
            <w:pPr>
              <w:pStyle w:val="TableParagraph"/>
              <w:spacing w:before="145"/>
              <w:ind w:right="130"/>
              <w:jc w:val="right"/>
              <w:rPr>
                <w:sz w:val="20"/>
              </w:rPr>
            </w:pPr>
            <w:r>
              <w:rPr>
                <w:spacing w:val="-2"/>
                <w:sz w:val="20"/>
              </w:rPr>
              <w:t>26,996</w:t>
            </w:r>
          </w:p>
        </w:tc>
      </w:tr>
      <w:tr>
        <w:trPr>
          <w:trHeight w:val="587" w:hRule="atLeast"/>
        </w:trPr>
        <w:tc>
          <w:tcPr>
            <w:tcW w:w="6388" w:type="dxa"/>
          </w:tcPr>
          <w:p>
            <w:pPr>
              <w:pStyle w:val="TableParagraph"/>
              <w:spacing w:before="90"/>
              <w:rPr>
                <w:b/>
                <w:sz w:val="20"/>
              </w:rPr>
            </w:pPr>
          </w:p>
          <w:p>
            <w:pPr>
              <w:pStyle w:val="TableParagraph"/>
              <w:ind w:left="50"/>
              <w:rPr>
                <w:sz w:val="20"/>
              </w:rPr>
            </w:pPr>
            <w:r>
              <w:rPr>
                <w:sz w:val="20"/>
              </w:rPr>
              <w:t>Surplus</w:t>
            </w:r>
            <w:r>
              <w:rPr>
                <w:spacing w:val="-6"/>
                <w:sz w:val="20"/>
              </w:rPr>
              <w:t> </w:t>
            </w:r>
            <w:r>
              <w:rPr>
                <w:sz w:val="20"/>
              </w:rPr>
              <w:t>for</w:t>
            </w:r>
            <w:r>
              <w:rPr>
                <w:spacing w:val="-5"/>
                <w:sz w:val="20"/>
              </w:rPr>
              <w:t> </w:t>
            </w:r>
            <w:r>
              <w:rPr>
                <w:sz w:val="20"/>
              </w:rPr>
              <w:t>the</w:t>
            </w:r>
            <w:r>
              <w:rPr>
                <w:spacing w:val="-6"/>
                <w:sz w:val="20"/>
              </w:rPr>
              <w:t> </w:t>
            </w:r>
            <w:r>
              <w:rPr>
                <w:spacing w:val="-4"/>
                <w:sz w:val="20"/>
              </w:rPr>
              <w:t>year</w:t>
            </w:r>
          </w:p>
        </w:tc>
        <w:tc>
          <w:tcPr>
            <w:tcW w:w="1358" w:type="dxa"/>
            <w:tcBorders>
              <w:top w:val="double" w:sz="4" w:space="0" w:color="000000"/>
            </w:tcBorders>
          </w:tcPr>
          <w:p>
            <w:pPr>
              <w:pStyle w:val="TableParagraph"/>
              <w:spacing w:before="90"/>
              <w:rPr>
                <w:b/>
                <w:sz w:val="20"/>
              </w:rPr>
            </w:pPr>
          </w:p>
          <w:p>
            <w:pPr>
              <w:pStyle w:val="TableParagraph"/>
              <w:ind w:right="110"/>
              <w:jc w:val="right"/>
              <w:rPr>
                <w:sz w:val="20"/>
              </w:rPr>
            </w:pPr>
            <w:r>
              <w:rPr>
                <w:spacing w:val="-5"/>
                <w:sz w:val="20"/>
              </w:rPr>
              <w:t>975</w:t>
            </w:r>
          </w:p>
        </w:tc>
        <w:tc>
          <w:tcPr>
            <w:tcW w:w="268" w:type="dxa"/>
          </w:tcPr>
          <w:p>
            <w:pPr>
              <w:pStyle w:val="TableParagraph"/>
              <w:rPr>
                <w:rFonts w:ascii="Times New Roman"/>
                <w:sz w:val="20"/>
              </w:rPr>
            </w:pPr>
          </w:p>
        </w:tc>
        <w:tc>
          <w:tcPr>
            <w:tcW w:w="1447" w:type="dxa"/>
            <w:tcBorders>
              <w:top w:val="double" w:sz="4" w:space="0" w:color="000000"/>
            </w:tcBorders>
          </w:tcPr>
          <w:p>
            <w:pPr>
              <w:pStyle w:val="TableParagraph"/>
              <w:spacing w:before="90"/>
              <w:rPr>
                <w:b/>
                <w:sz w:val="20"/>
              </w:rPr>
            </w:pPr>
          </w:p>
          <w:p>
            <w:pPr>
              <w:pStyle w:val="TableParagraph"/>
              <w:ind w:right="130"/>
              <w:jc w:val="right"/>
              <w:rPr>
                <w:sz w:val="20"/>
              </w:rPr>
            </w:pPr>
            <w:r>
              <w:rPr>
                <w:spacing w:val="-5"/>
                <w:sz w:val="20"/>
              </w:rPr>
              <w:t>975</w:t>
            </w:r>
          </w:p>
        </w:tc>
      </w:tr>
      <w:tr>
        <w:trPr>
          <w:trHeight w:val="289" w:hRule="atLeast"/>
        </w:trPr>
        <w:tc>
          <w:tcPr>
            <w:tcW w:w="6388" w:type="dxa"/>
          </w:tcPr>
          <w:p>
            <w:pPr>
              <w:pStyle w:val="TableParagraph"/>
              <w:spacing w:before="30"/>
              <w:ind w:left="50"/>
              <w:rPr>
                <w:sz w:val="20"/>
              </w:rPr>
            </w:pPr>
            <w:r>
              <w:rPr>
                <w:sz w:val="20"/>
              </w:rPr>
              <w:t>Other</w:t>
            </w:r>
            <w:r>
              <w:rPr>
                <w:spacing w:val="-11"/>
                <w:sz w:val="20"/>
              </w:rPr>
              <w:t> </w:t>
            </w:r>
            <w:r>
              <w:rPr>
                <w:sz w:val="20"/>
              </w:rPr>
              <w:t>comprehensive</w:t>
            </w:r>
            <w:r>
              <w:rPr>
                <w:spacing w:val="-11"/>
                <w:sz w:val="20"/>
              </w:rPr>
              <w:t> </w:t>
            </w:r>
            <w:r>
              <w:rPr>
                <w:spacing w:val="-2"/>
                <w:sz w:val="20"/>
              </w:rPr>
              <w:t>income</w:t>
            </w:r>
          </w:p>
        </w:tc>
        <w:tc>
          <w:tcPr>
            <w:tcW w:w="1358" w:type="dxa"/>
            <w:tcBorders>
              <w:bottom w:val="single" w:sz="4" w:space="0" w:color="000000"/>
            </w:tcBorders>
          </w:tcPr>
          <w:p>
            <w:pPr>
              <w:pStyle w:val="TableParagraph"/>
              <w:spacing w:before="30"/>
              <w:ind w:right="53"/>
              <w:jc w:val="right"/>
              <w:rPr>
                <w:sz w:val="20"/>
              </w:rPr>
            </w:pPr>
            <w:r>
              <w:rPr>
                <w:spacing w:val="-2"/>
                <w:sz w:val="20"/>
              </w:rPr>
              <w:t>(7,586)</w:t>
            </w:r>
          </w:p>
        </w:tc>
        <w:tc>
          <w:tcPr>
            <w:tcW w:w="268" w:type="dxa"/>
          </w:tcPr>
          <w:p>
            <w:pPr>
              <w:pStyle w:val="TableParagraph"/>
              <w:rPr>
                <w:rFonts w:ascii="Times New Roman"/>
                <w:sz w:val="20"/>
              </w:rPr>
            </w:pPr>
          </w:p>
        </w:tc>
        <w:tc>
          <w:tcPr>
            <w:tcW w:w="1447" w:type="dxa"/>
            <w:tcBorders>
              <w:bottom w:val="single" w:sz="4" w:space="0" w:color="000000"/>
            </w:tcBorders>
          </w:tcPr>
          <w:p>
            <w:pPr>
              <w:pStyle w:val="TableParagraph"/>
              <w:spacing w:before="30"/>
              <w:ind w:right="73"/>
              <w:jc w:val="right"/>
              <w:rPr>
                <w:sz w:val="20"/>
              </w:rPr>
            </w:pPr>
            <w:r>
              <w:rPr>
                <w:spacing w:val="-2"/>
                <w:sz w:val="20"/>
              </w:rPr>
              <w:t>(7,586)</w:t>
            </w:r>
          </w:p>
        </w:tc>
      </w:tr>
      <w:tr>
        <w:trPr>
          <w:trHeight w:val="438" w:hRule="atLeast"/>
        </w:trPr>
        <w:tc>
          <w:tcPr>
            <w:tcW w:w="6388" w:type="dxa"/>
          </w:tcPr>
          <w:p>
            <w:pPr>
              <w:pStyle w:val="TableParagraph"/>
              <w:spacing w:before="162"/>
              <w:ind w:left="50"/>
              <w:rPr>
                <w:b/>
                <w:sz w:val="20"/>
              </w:rPr>
            </w:pPr>
            <w:r>
              <w:rPr>
                <w:b/>
                <w:sz w:val="20"/>
              </w:rPr>
              <w:t>Total</w:t>
            </w:r>
            <w:r>
              <w:rPr>
                <w:b/>
                <w:spacing w:val="-8"/>
                <w:sz w:val="20"/>
              </w:rPr>
              <w:t> </w:t>
            </w:r>
            <w:r>
              <w:rPr>
                <w:b/>
                <w:sz w:val="20"/>
              </w:rPr>
              <w:t>comprehensive</w:t>
            </w:r>
            <w:r>
              <w:rPr>
                <w:b/>
                <w:spacing w:val="-8"/>
                <w:sz w:val="20"/>
              </w:rPr>
              <w:t> </w:t>
            </w:r>
            <w:r>
              <w:rPr>
                <w:b/>
                <w:sz w:val="20"/>
              </w:rPr>
              <w:t>income</w:t>
            </w:r>
            <w:r>
              <w:rPr>
                <w:b/>
                <w:spacing w:val="-7"/>
                <w:sz w:val="20"/>
              </w:rPr>
              <w:t> </w:t>
            </w:r>
            <w:r>
              <w:rPr>
                <w:b/>
                <w:sz w:val="20"/>
              </w:rPr>
              <w:t>for</w:t>
            </w:r>
            <w:r>
              <w:rPr>
                <w:b/>
                <w:spacing w:val="-9"/>
                <w:sz w:val="20"/>
              </w:rPr>
              <w:t> </w:t>
            </w:r>
            <w:r>
              <w:rPr>
                <w:b/>
                <w:sz w:val="20"/>
              </w:rPr>
              <w:t>the</w:t>
            </w:r>
            <w:r>
              <w:rPr>
                <w:b/>
                <w:spacing w:val="-8"/>
                <w:sz w:val="20"/>
              </w:rPr>
              <w:t> </w:t>
            </w:r>
            <w:r>
              <w:rPr>
                <w:b/>
                <w:spacing w:val="-4"/>
                <w:sz w:val="20"/>
              </w:rPr>
              <w:t>year</w:t>
            </w:r>
          </w:p>
        </w:tc>
        <w:tc>
          <w:tcPr>
            <w:tcW w:w="1358" w:type="dxa"/>
            <w:tcBorders>
              <w:top w:val="single" w:sz="4" w:space="0" w:color="000000"/>
              <w:bottom w:val="single" w:sz="4" w:space="0" w:color="000000"/>
            </w:tcBorders>
          </w:tcPr>
          <w:p>
            <w:pPr>
              <w:pStyle w:val="TableParagraph"/>
              <w:spacing w:before="162"/>
              <w:ind w:right="53"/>
              <w:jc w:val="right"/>
              <w:rPr>
                <w:sz w:val="20"/>
              </w:rPr>
            </w:pPr>
            <w:r>
              <w:rPr>
                <w:spacing w:val="-2"/>
                <w:sz w:val="20"/>
              </w:rPr>
              <w:t>(6,611)</w:t>
            </w:r>
          </w:p>
        </w:tc>
        <w:tc>
          <w:tcPr>
            <w:tcW w:w="268" w:type="dxa"/>
          </w:tcPr>
          <w:p>
            <w:pPr>
              <w:pStyle w:val="TableParagraph"/>
              <w:rPr>
                <w:rFonts w:ascii="Times New Roman"/>
                <w:sz w:val="20"/>
              </w:rPr>
            </w:pPr>
          </w:p>
        </w:tc>
        <w:tc>
          <w:tcPr>
            <w:tcW w:w="1447" w:type="dxa"/>
            <w:tcBorders>
              <w:top w:val="single" w:sz="4" w:space="0" w:color="000000"/>
              <w:bottom w:val="single" w:sz="4" w:space="0" w:color="000000"/>
            </w:tcBorders>
          </w:tcPr>
          <w:p>
            <w:pPr>
              <w:pStyle w:val="TableParagraph"/>
              <w:spacing w:before="162"/>
              <w:ind w:right="73"/>
              <w:jc w:val="right"/>
              <w:rPr>
                <w:sz w:val="20"/>
              </w:rPr>
            </w:pPr>
            <w:r>
              <w:rPr>
                <w:spacing w:val="-2"/>
                <w:sz w:val="20"/>
              </w:rPr>
              <w:t>(6,611)</w:t>
            </w:r>
          </w:p>
        </w:tc>
      </w:tr>
      <w:tr>
        <w:trPr>
          <w:trHeight w:val="400" w:hRule="atLeast"/>
        </w:trPr>
        <w:tc>
          <w:tcPr>
            <w:tcW w:w="6388" w:type="dxa"/>
          </w:tcPr>
          <w:p>
            <w:pPr>
              <w:pStyle w:val="TableParagraph"/>
              <w:spacing w:before="143"/>
              <w:ind w:left="50"/>
              <w:rPr>
                <w:b/>
                <w:sz w:val="20"/>
              </w:rPr>
            </w:pPr>
            <w:r>
              <w:rPr>
                <w:b/>
                <w:sz w:val="20"/>
              </w:rPr>
              <w:t>Balance</w:t>
            </w:r>
            <w:r>
              <w:rPr>
                <w:b/>
                <w:spacing w:val="-5"/>
                <w:sz w:val="20"/>
              </w:rPr>
              <w:t> </w:t>
            </w:r>
            <w:r>
              <w:rPr>
                <w:b/>
                <w:sz w:val="20"/>
              </w:rPr>
              <w:t>at</w:t>
            </w:r>
            <w:r>
              <w:rPr>
                <w:b/>
                <w:spacing w:val="-4"/>
                <w:sz w:val="20"/>
              </w:rPr>
              <w:t> </w:t>
            </w:r>
            <w:r>
              <w:rPr>
                <w:b/>
                <w:sz w:val="20"/>
              </w:rPr>
              <w:t>31</w:t>
            </w:r>
            <w:r>
              <w:rPr>
                <w:b/>
                <w:spacing w:val="-5"/>
                <w:sz w:val="20"/>
              </w:rPr>
              <w:t> </w:t>
            </w:r>
            <w:r>
              <w:rPr>
                <w:b/>
                <w:sz w:val="20"/>
              </w:rPr>
              <w:t>July</w:t>
            </w:r>
            <w:r>
              <w:rPr>
                <w:b/>
                <w:spacing w:val="-4"/>
                <w:sz w:val="20"/>
              </w:rPr>
              <w:t> 2023</w:t>
            </w:r>
          </w:p>
        </w:tc>
        <w:tc>
          <w:tcPr>
            <w:tcW w:w="1358" w:type="dxa"/>
            <w:tcBorders>
              <w:top w:val="single" w:sz="4" w:space="0" w:color="000000"/>
              <w:bottom w:val="double" w:sz="4" w:space="0" w:color="000000"/>
            </w:tcBorders>
          </w:tcPr>
          <w:p>
            <w:pPr>
              <w:pStyle w:val="TableParagraph"/>
              <w:spacing w:before="143"/>
              <w:ind w:right="110"/>
              <w:jc w:val="right"/>
              <w:rPr>
                <w:sz w:val="20"/>
              </w:rPr>
            </w:pPr>
            <w:r>
              <w:rPr>
                <w:spacing w:val="-2"/>
                <w:sz w:val="20"/>
              </w:rPr>
              <w:t>20,385</w:t>
            </w:r>
          </w:p>
        </w:tc>
        <w:tc>
          <w:tcPr>
            <w:tcW w:w="268" w:type="dxa"/>
          </w:tcPr>
          <w:p>
            <w:pPr>
              <w:pStyle w:val="TableParagraph"/>
              <w:rPr>
                <w:rFonts w:ascii="Times New Roman"/>
                <w:sz w:val="20"/>
              </w:rPr>
            </w:pPr>
          </w:p>
        </w:tc>
        <w:tc>
          <w:tcPr>
            <w:tcW w:w="1447" w:type="dxa"/>
            <w:tcBorders>
              <w:top w:val="single" w:sz="4" w:space="0" w:color="000000"/>
              <w:bottom w:val="double" w:sz="4" w:space="0" w:color="000000"/>
            </w:tcBorders>
          </w:tcPr>
          <w:p>
            <w:pPr>
              <w:pStyle w:val="TableParagraph"/>
              <w:spacing w:before="143"/>
              <w:ind w:right="130"/>
              <w:jc w:val="right"/>
              <w:rPr>
                <w:sz w:val="20"/>
              </w:rPr>
            </w:pPr>
            <w:r>
              <w:rPr>
                <w:spacing w:val="-2"/>
                <w:sz w:val="20"/>
              </w:rPr>
              <w:t>20,385</w:t>
            </w:r>
          </w:p>
        </w:tc>
      </w:tr>
      <w:tr>
        <w:trPr>
          <w:trHeight w:val="747" w:hRule="atLeast"/>
        </w:trPr>
        <w:tc>
          <w:tcPr>
            <w:tcW w:w="6388" w:type="dxa"/>
          </w:tcPr>
          <w:p>
            <w:pPr>
              <w:pStyle w:val="TableParagraph"/>
              <w:spacing w:before="49"/>
              <w:rPr>
                <w:b/>
                <w:sz w:val="20"/>
              </w:rPr>
            </w:pPr>
          </w:p>
          <w:p>
            <w:pPr>
              <w:pStyle w:val="TableParagraph"/>
              <w:spacing w:before="1"/>
              <w:ind w:left="50"/>
              <w:rPr>
                <w:b/>
                <w:sz w:val="20"/>
              </w:rPr>
            </w:pPr>
            <w:r>
              <w:rPr>
                <w:b/>
                <w:spacing w:val="-2"/>
                <w:sz w:val="20"/>
              </w:rPr>
              <w:t>College</w:t>
            </w:r>
          </w:p>
        </w:tc>
        <w:tc>
          <w:tcPr>
            <w:tcW w:w="1358" w:type="dxa"/>
            <w:tcBorders>
              <w:top w:val="double" w:sz="4" w:space="0" w:color="000000"/>
            </w:tcBorders>
          </w:tcPr>
          <w:p>
            <w:pPr>
              <w:pStyle w:val="TableParagraph"/>
              <w:rPr>
                <w:rFonts w:ascii="Times New Roman"/>
                <w:sz w:val="20"/>
              </w:rPr>
            </w:pPr>
          </w:p>
        </w:tc>
        <w:tc>
          <w:tcPr>
            <w:tcW w:w="268" w:type="dxa"/>
          </w:tcPr>
          <w:p>
            <w:pPr>
              <w:pStyle w:val="TableParagraph"/>
              <w:rPr>
                <w:rFonts w:ascii="Times New Roman"/>
                <w:sz w:val="20"/>
              </w:rPr>
            </w:pPr>
          </w:p>
        </w:tc>
        <w:tc>
          <w:tcPr>
            <w:tcW w:w="1447" w:type="dxa"/>
            <w:tcBorders>
              <w:top w:val="double" w:sz="4" w:space="0" w:color="000000"/>
            </w:tcBorders>
          </w:tcPr>
          <w:p>
            <w:pPr>
              <w:pStyle w:val="TableParagraph"/>
              <w:rPr>
                <w:rFonts w:ascii="Times New Roman"/>
                <w:sz w:val="20"/>
              </w:rPr>
            </w:pPr>
          </w:p>
        </w:tc>
      </w:tr>
      <w:tr>
        <w:trPr>
          <w:trHeight w:val="681" w:hRule="atLeast"/>
        </w:trPr>
        <w:tc>
          <w:tcPr>
            <w:tcW w:w="6388" w:type="dxa"/>
          </w:tcPr>
          <w:p>
            <w:pPr>
              <w:pStyle w:val="TableParagraph"/>
              <w:spacing w:before="170"/>
              <w:ind w:left="50"/>
              <w:rPr>
                <w:b/>
                <w:sz w:val="20"/>
              </w:rPr>
            </w:pPr>
            <w:r>
              <w:rPr>
                <w:b/>
                <w:sz w:val="20"/>
              </w:rPr>
              <w:t>Balance</w:t>
            </w:r>
            <w:r>
              <w:rPr>
                <w:b/>
                <w:spacing w:val="-7"/>
                <w:sz w:val="20"/>
              </w:rPr>
              <w:t> </w:t>
            </w:r>
            <w:r>
              <w:rPr>
                <w:b/>
                <w:sz w:val="20"/>
              </w:rPr>
              <w:t>at</w:t>
            </w:r>
            <w:r>
              <w:rPr>
                <w:b/>
                <w:spacing w:val="-5"/>
                <w:sz w:val="20"/>
              </w:rPr>
              <w:t> </w:t>
            </w:r>
            <w:r>
              <w:rPr>
                <w:b/>
                <w:sz w:val="20"/>
              </w:rPr>
              <w:t>1</w:t>
            </w:r>
            <w:r>
              <w:rPr>
                <w:b/>
                <w:spacing w:val="-4"/>
                <w:sz w:val="20"/>
              </w:rPr>
              <w:t> </w:t>
            </w:r>
            <w:r>
              <w:rPr>
                <w:b/>
                <w:sz w:val="20"/>
              </w:rPr>
              <w:t>August</w:t>
            </w:r>
            <w:r>
              <w:rPr>
                <w:b/>
                <w:spacing w:val="-5"/>
                <w:sz w:val="20"/>
              </w:rPr>
              <w:t> </w:t>
            </w:r>
            <w:r>
              <w:rPr>
                <w:b/>
                <w:spacing w:val="-4"/>
                <w:sz w:val="20"/>
              </w:rPr>
              <w:t>2021</w:t>
            </w:r>
          </w:p>
        </w:tc>
        <w:tc>
          <w:tcPr>
            <w:tcW w:w="1358" w:type="dxa"/>
          </w:tcPr>
          <w:p>
            <w:pPr>
              <w:pStyle w:val="TableParagraph"/>
              <w:rPr>
                <w:b/>
                <w:sz w:val="20"/>
              </w:rPr>
            </w:pPr>
          </w:p>
          <w:p>
            <w:pPr>
              <w:pStyle w:val="TableParagraph"/>
              <w:ind w:right="53"/>
              <w:jc w:val="right"/>
              <w:rPr>
                <w:sz w:val="20"/>
              </w:rPr>
            </w:pPr>
            <w:r>
              <w:rPr>
                <w:spacing w:val="-2"/>
                <w:sz w:val="20"/>
              </w:rPr>
              <w:t>(3,002)</w:t>
            </w:r>
          </w:p>
        </w:tc>
        <w:tc>
          <w:tcPr>
            <w:tcW w:w="268" w:type="dxa"/>
          </w:tcPr>
          <w:p>
            <w:pPr>
              <w:pStyle w:val="TableParagraph"/>
              <w:rPr>
                <w:rFonts w:ascii="Times New Roman"/>
                <w:sz w:val="20"/>
              </w:rPr>
            </w:pPr>
          </w:p>
        </w:tc>
        <w:tc>
          <w:tcPr>
            <w:tcW w:w="1447" w:type="dxa"/>
          </w:tcPr>
          <w:p>
            <w:pPr>
              <w:pStyle w:val="TableParagraph"/>
              <w:rPr>
                <w:b/>
                <w:sz w:val="20"/>
              </w:rPr>
            </w:pPr>
          </w:p>
          <w:p>
            <w:pPr>
              <w:pStyle w:val="TableParagraph"/>
              <w:ind w:right="131"/>
              <w:jc w:val="right"/>
              <w:rPr>
                <w:sz w:val="20"/>
              </w:rPr>
            </w:pPr>
            <w:r>
              <w:rPr>
                <w:spacing w:val="-2"/>
                <w:sz w:val="20"/>
              </w:rPr>
              <w:t>(3,002)</w:t>
            </w:r>
          </w:p>
        </w:tc>
      </w:tr>
      <w:tr>
        <w:trPr>
          <w:trHeight w:val="488" w:hRule="atLeast"/>
        </w:trPr>
        <w:tc>
          <w:tcPr>
            <w:tcW w:w="6388" w:type="dxa"/>
          </w:tcPr>
          <w:p>
            <w:pPr>
              <w:pStyle w:val="TableParagraph"/>
              <w:spacing w:before="214"/>
              <w:ind w:left="50"/>
              <w:rPr>
                <w:sz w:val="20"/>
              </w:rPr>
            </w:pPr>
            <w:r>
              <w:rPr>
                <w:sz w:val="20"/>
              </w:rPr>
              <w:t>Deficit</w:t>
            </w:r>
            <w:r>
              <w:rPr>
                <w:spacing w:val="-6"/>
                <w:sz w:val="20"/>
              </w:rPr>
              <w:t> </w:t>
            </w:r>
            <w:r>
              <w:rPr>
                <w:sz w:val="20"/>
              </w:rPr>
              <w:t>for</w:t>
            </w:r>
            <w:r>
              <w:rPr>
                <w:spacing w:val="-5"/>
                <w:sz w:val="20"/>
              </w:rPr>
              <w:t> </w:t>
            </w:r>
            <w:r>
              <w:rPr>
                <w:sz w:val="20"/>
              </w:rPr>
              <w:t>the</w:t>
            </w:r>
            <w:r>
              <w:rPr>
                <w:spacing w:val="-5"/>
                <w:sz w:val="20"/>
              </w:rPr>
              <w:t> </w:t>
            </w:r>
            <w:r>
              <w:rPr>
                <w:spacing w:val="-4"/>
                <w:sz w:val="20"/>
              </w:rPr>
              <w:t>year</w:t>
            </w:r>
          </w:p>
        </w:tc>
        <w:tc>
          <w:tcPr>
            <w:tcW w:w="1358" w:type="dxa"/>
          </w:tcPr>
          <w:p>
            <w:pPr>
              <w:pStyle w:val="TableParagraph"/>
              <w:spacing w:before="214"/>
              <w:ind w:right="53"/>
              <w:jc w:val="right"/>
              <w:rPr>
                <w:sz w:val="20"/>
              </w:rPr>
            </w:pPr>
            <w:r>
              <w:rPr>
                <w:spacing w:val="-2"/>
                <w:sz w:val="20"/>
              </w:rPr>
              <w:t>(2,346)</w:t>
            </w:r>
          </w:p>
        </w:tc>
        <w:tc>
          <w:tcPr>
            <w:tcW w:w="268" w:type="dxa"/>
          </w:tcPr>
          <w:p>
            <w:pPr>
              <w:pStyle w:val="TableParagraph"/>
              <w:rPr>
                <w:rFonts w:ascii="Times New Roman"/>
                <w:sz w:val="20"/>
              </w:rPr>
            </w:pPr>
          </w:p>
        </w:tc>
        <w:tc>
          <w:tcPr>
            <w:tcW w:w="1447" w:type="dxa"/>
          </w:tcPr>
          <w:p>
            <w:pPr>
              <w:pStyle w:val="TableParagraph"/>
              <w:spacing w:before="214"/>
              <w:ind w:right="74"/>
              <w:jc w:val="right"/>
              <w:rPr>
                <w:sz w:val="20"/>
              </w:rPr>
            </w:pPr>
            <w:r>
              <w:rPr>
                <w:spacing w:val="-2"/>
                <w:sz w:val="20"/>
              </w:rPr>
              <w:t>(2,346)</w:t>
            </w:r>
          </w:p>
        </w:tc>
      </w:tr>
      <w:tr>
        <w:trPr>
          <w:trHeight w:val="296" w:hRule="atLeast"/>
        </w:trPr>
        <w:tc>
          <w:tcPr>
            <w:tcW w:w="6388" w:type="dxa"/>
          </w:tcPr>
          <w:p>
            <w:pPr>
              <w:pStyle w:val="TableParagraph"/>
              <w:spacing w:before="37"/>
              <w:ind w:left="50"/>
              <w:rPr>
                <w:sz w:val="20"/>
              </w:rPr>
            </w:pPr>
            <w:r>
              <w:rPr>
                <w:sz w:val="20"/>
              </w:rPr>
              <w:t>Other</w:t>
            </w:r>
            <w:r>
              <w:rPr>
                <w:spacing w:val="-11"/>
                <w:sz w:val="20"/>
              </w:rPr>
              <w:t> </w:t>
            </w:r>
            <w:r>
              <w:rPr>
                <w:sz w:val="20"/>
              </w:rPr>
              <w:t>comprehensive</w:t>
            </w:r>
            <w:r>
              <w:rPr>
                <w:spacing w:val="-11"/>
                <w:sz w:val="20"/>
              </w:rPr>
              <w:t> </w:t>
            </w:r>
            <w:r>
              <w:rPr>
                <w:spacing w:val="-2"/>
                <w:sz w:val="20"/>
              </w:rPr>
              <w:t>income</w:t>
            </w:r>
          </w:p>
        </w:tc>
        <w:tc>
          <w:tcPr>
            <w:tcW w:w="1358" w:type="dxa"/>
            <w:tcBorders>
              <w:bottom w:val="single" w:sz="4" w:space="0" w:color="000000"/>
            </w:tcBorders>
          </w:tcPr>
          <w:p>
            <w:pPr>
              <w:pStyle w:val="TableParagraph"/>
              <w:spacing w:before="37"/>
              <w:ind w:right="110"/>
              <w:jc w:val="right"/>
              <w:rPr>
                <w:sz w:val="20"/>
              </w:rPr>
            </w:pPr>
            <w:r>
              <w:rPr>
                <w:spacing w:val="-2"/>
                <w:sz w:val="20"/>
              </w:rPr>
              <w:t>32,248</w:t>
            </w:r>
          </w:p>
        </w:tc>
        <w:tc>
          <w:tcPr>
            <w:tcW w:w="268" w:type="dxa"/>
          </w:tcPr>
          <w:p>
            <w:pPr>
              <w:pStyle w:val="TableParagraph"/>
              <w:rPr>
                <w:rFonts w:ascii="Times New Roman"/>
                <w:sz w:val="20"/>
              </w:rPr>
            </w:pPr>
          </w:p>
        </w:tc>
        <w:tc>
          <w:tcPr>
            <w:tcW w:w="1447" w:type="dxa"/>
            <w:tcBorders>
              <w:bottom w:val="single" w:sz="4" w:space="0" w:color="000000"/>
            </w:tcBorders>
          </w:tcPr>
          <w:p>
            <w:pPr>
              <w:pStyle w:val="TableParagraph"/>
              <w:spacing w:before="37"/>
              <w:ind w:right="130"/>
              <w:jc w:val="right"/>
              <w:rPr>
                <w:sz w:val="20"/>
              </w:rPr>
            </w:pPr>
            <w:r>
              <w:rPr>
                <w:spacing w:val="-2"/>
                <w:sz w:val="20"/>
              </w:rPr>
              <w:t>32,248</w:t>
            </w:r>
          </w:p>
        </w:tc>
      </w:tr>
      <w:tr>
        <w:trPr>
          <w:trHeight w:val="373" w:hRule="atLeast"/>
        </w:trPr>
        <w:tc>
          <w:tcPr>
            <w:tcW w:w="6388" w:type="dxa"/>
          </w:tcPr>
          <w:p>
            <w:pPr>
              <w:pStyle w:val="TableParagraph"/>
              <w:spacing w:line="223" w:lineRule="exact" w:before="131"/>
              <w:ind w:left="50"/>
              <w:rPr>
                <w:b/>
                <w:sz w:val="20"/>
              </w:rPr>
            </w:pPr>
            <w:r>
              <w:rPr>
                <w:b/>
                <w:sz w:val="20"/>
              </w:rPr>
              <w:t>Total</w:t>
            </w:r>
            <w:r>
              <w:rPr>
                <w:b/>
                <w:spacing w:val="-8"/>
                <w:sz w:val="20"/>
              </w:rPr>
              <w:t> </w:t>
            </w:r>
            <w:r>
              <w:rPr>
                <w:b/>
                <w:sz w:val="20"/>
              </w:rPr>
              <w:t>comprehensive</w:t>
            </w:r>
            <w:r>
              <w:rPr>
                <w:b/>
                <w:spacing w:val="-8"/>
                <w:sz w:val="20"/>
              </w:rPr>
              <w:t> </w:t>
            </w:r>
            <w:r>
              <w:rPr>
                <w:b/>
                <w:sz w:val="20"/>
              </w:rPr>
              <w:t>income</w:t>
            </w:r>
            <w:r>
              <w:rPr>
                <w:b/>
                <w:spacing w:val="-7"/>
                <w:sz w:val="20"/>
              </w:rPr>
              <w:t> </w:t>
            </w:r>
            <w:r>
              <w:rPr>
                <w:b/>
                <w:sz w:val="20"/>
              </w:rPr>
              <w:t>for</w:t>
            </w:r>
            <w:r>
              <w:rPr>
                <w:b/>
                <w:spacing w:val="-9"/>
                <w:sz w:val="20"/>
              </w:rPr>
              <w:t> </w:t>
            </w:r>
            <w:r>
              <w:rPr>
                <w:b/>
                <w:sz w:val="20"/>
              </w:rPr>
              <w:t>the</w:t>
            </w:r>
            <w:r>
              <w:rPr>
                <w:b/>
                <w:spacing w:val="-8"/>
                <w:sz w:val="20"/>
              </w:rPr>
              <w:t> </w:t>
            </w:r>
            <w:r>
              <w:rPr>
                <w:b/>
                <w:spacing w:val="-4"/>
                <w:sz w:val="20"/>
              </w:rPr>
              <w:t>year</w:t>
            </w:r>
          </w:p>
        </w:tc>
        <w:tc>
          <w:tcPr>
            <w:tcW w:w="1358" w:type="dxa"/>
            <w:tcBorders>
              <w:top w:val="single" w:sz="4" w:space="0" w:color="000000"/>
              <w:bottom w:val="single" w:sz="4" w:space="0" w:color="000000"/>
            </w:tcBorders>
          </w:tcPr>
          <w:p>
            <w:pPr>
              <w:pStyle w:val="TableParagraph"/>
              <w:spacing w:line="223" w:lineRule="exact" w:before="131"/>
              <w:ind w:right="110"/>
              <w:jc w:val="right"/>
              <w:rPr>
                <w:sz w:val="20"/>
              </w:rPr>
            </w:pPr>
            <w:r>
              <w:rPr>
                <w:spacing w:val="-2"/>
                <w:sz w:val="20"/>
              </w:rPr>
              <w:t>29,902</w:t>
            </w:r>
          </w:p>
        </w:tc>
        <w:tc>
          <w:tcPr>
            <w:tcW w:w="268" w:type="dxa"/>
          </w:tcPr>
          <w:p>
            <w:pPr>
              <w:pStyle w:val="TableParagraph"/>
              <w:rPr>
                <w:rFonts w:ascii="Times New Roman"/>
                <w:sz w:val="20"/>
              </w:rPr>
            </w:pPr>
          </w:p>
        </w:tc>
        <w:tc>
          <w:tcPr>
            <w:tcW w:w="1447" w:type="dxa"/>
            <w:tcBorders>
              <w:top w:val="single" w:sz="4" w:space="0" w:color="000000"/>
              <w:bottom w:val="single" w:sz="4" w:space="0" w:color="000000"/>
            </w:tcBorders>
          </w:tcPr>
          <w:p>
            <w:pPr>
              <w:pStyle w:val="TableParagraph"/>
              <w:spacing w:line="223" w:lineRule="exact" w:before="131"/>
              <w:ind w:right="130"/>
              <w:jc w:val="right"/>
              <w:rPr>
                <w:sz w:val="20"/>
              </w:rPr>
            </w:pPr>
            <w:r>
              <w:rPr>
                <w:spacing w:val="-2"/>
                <w:sz w:val="20"/>
              </w:rPr>
              <w:t>29,902</w:t>
            </w:r>
          </w:p>
        </w:tc>
      </w:tr>
      <w:tr>
        <w:trPr>
          <w:trHeight w:val="421" w:hRule="atLeast"/>
        </w:trPr>
        <w:tc>
          <w:tcPr>
            <w:tcW w:w="6388" w:type="dxa"/>
          </w:tcPr>
          <w:p>
            <w:pPr>
              <w:pStyle w:val="TableParagraph"/>
              <w:spacing w:before="95"/>
              <w:ind w:left="50"/>
              <w:rPr>
                <w:b/>
                <w:sz w:val="20"/>
              </w:rPr>
            </w:pPr>
            <w:r>
              <w:rPr>
                <w:b/>
                <w:sz w:val="20"/>
              </w:rPr>
              <w:t>Balance</w:t>
            </w:r>
            <w:r>
              <w:rPr>
                <w:b/>
                <w:spacing w:val="-5"/>
                <w:sz w:val="20"/>
              </w:rPr>
              <w:t> </w:t>
            </w:r>
            <w:r>
              <w:rPr>
                <w:b/>
                <w:sz w:val="20"/>
              </w:rPr>
              <w:t>at</w:t>
            </w:r>
            <w:r>
              <w:rPr>
                <w:b/>
                <w:spacing w:val="-4"/>
                <w:sz w:val="20"/>
              </w:rPr>
              <w:t> </w:t>
            </w:r>
            <w:r>
              <w:rPr>
                <w:b/>
                <w:sz w:val="20"/>
              </w:rPr>
              <w:t>31</w:t>
            </w:r>
            <w:r>
              <w:rPr>
                <w:b/>
                <w:spacing w:val="-5"/>
                <w:sz w:val="20"/>
              </w:rPr>
              <w:t> </w:t>
            </w:r>
            <w:r>
              <w:rPr>
                <w:b/>
                <w:sz w:val="20"/>
              </w:rPr>
              <w:t>July</w:t>
            </w:r>
            <w:r>
              <w:rPr>
                <w:b/>
                <w:spacing w:val="-4"/>
                <w:sz w:val="20"/>
              </w:rPr>
              <w:t> 2022</w:t>
            </w:r>
          </w:p>
        </w:tc>
        <w:tc>
          <w:tcPr>
            <w:tcW w:w="1358" w:type="dxa"/>
            <w:tcBorders>
              <w:top w:val="single" w:sz="4" w:space="0" w:color="000000"/>
              <w:bottom w:val="double" w:sz="4" w:space="0" w:color="000000"/>
            </w:tcBorders>
          </w:tcPr>
          <w:p>
            <w:pPr>
              <w:pStyle w:val="TableParagraph"/>
              <w:spacing w:before="155"/>
              <w:ind w:right="110"/>
              <w:jc w:val="right"/>
              <w:rPr>
                <w:sz w:val="20"/>
              </w:rPr>
            </w:pPr>
            <w:r>
              <w:rPr>
                <w:spacing w:val="-2"/>
                <w:sz w:val="20"/>
              </w:rPr>
              <w:t>26,900</w:t>
            </w:r>
          </w:p>
        </w:tc>
        <w:tc>
          <w:tcPr>
            <w:tcW w:w="268" w:type="dxa"/>
          </w:tcPr>
          <w:p>
            <w:pPr>
              <w:pStyle w:val="TableParagraph"/>
              <w:rPr>
                <w:rFonts w:ascii="Times New Roman"/>
                <w:sz w:val="20"/>
              </w:rPr>
            </w:pPr>
          </w:p>
        </w:tc>
        <w:tc>
          <w:tcPr>
            <w:tcW w:w="1447" w:type="dxa"/>
            <w:tcBorders>
              <w:top w:val="single" w:sz="4" w:space="0" w:color="000000"/>
              <w:bottom w:val="double" w:sz="4" w:space="0" w:color="000000"/>
            </w:tcBorders>
          </w:tcPr>
          <w:p>
            <w:pPr>
              <w:pStyle w:val="TableParagraph"/>
              <w:spacing w:before="155"/>
              <w:ind w:right="130"/>
              <w:jc w:val="right"/>
              <w:rPr>
                <w:sz w:val="20"/>
              </w:rPr>
            </w:pPr>
            <w:r>
              <w:rPr>
                <w:spacing w:val="-2"/>
                <w:sz w:val="20"/>
              </w:rPr>
              <w:t>26,900</w:t>
            </w:r>
          </w:p>
        </w:tc>
      </w:tr>
      <w:tr>
        <w:trPr>
          <w:trHeight w:val="581" w:hRule="atLeast"/>
        </w:trPr>
        <w:tc>
          <w:tcPr>
            <w:tcW w:w="6388" w:type="dxa"/>
          </w:tcPr>
          <w:p>
            <w:pPr>
              <w:pStyle w:val="TableParagraph"/>
              <w:spacing w:before="85"/>
              <w:rPr>
                <w:b/>
                <w:sz w:val="20"/>
              </w:rPr>
            </w:pPr>
          </w:p>
          <w:p>
            <w:pPr>
              <w:pStyle w:val="TableParagraph"/>
              <w:spacing w:before="1"/>
              <w:ind w:left="50"/>
              <w:rPr>
                <w:sz w:val="20"/>
              </w:rPr>
            </w:pPr>
            <w:r>
              <w:rPr>
                <w:sz w:val="20"/>
              </w:rPr>
              <w:t>Surplus</w:t>
            </w:r>
            <w:r>
              <w:rPr>
                <w:spacing w:val="-6"/>
                <w:sz w:val="20"/>
              </w:rPr>
              <w:t> </w:t>
            </w:r>
            <w:r>
              <w:rPr>
                <w:sz w:val="20"/>
              </w:rPr>
              <w:t>for</w:t>
            </w:r>
            <w:r>
              <w:rPr>
                <w:spacing w:val="-5"/>
                <w:sz w:val="20"/>
              </w:rPr>
              <w:t> </w:t>
            </w:r>
            <w:r>
              <w:rPr>
                <w:sz w:val="20"/>
              </w:rPr>
              <w:t>the</w:t>
            </w:r>
            <w:r>
              <w:rPr>
                <w:spacing w:val="-6"/>
                <w:sz w:val="20"/>
              </w:rPr>
              <w:t> </w:t>
            </w:r>
            <w:r>
              <w:rPr>
                <w:spacing w:val="-4"/>
                <w:sz w:val="20"/>
              </w:rPr>
              <w:t>year</w:t>
            </w:r>
          </w:p>
        </w:tc>
        <w:tc>
          <w:tcPr>
            <w:tcW w:w="1358" w:type="dxa"/>
            <w:tcBorders>
              <w:top w:val="double" w:sz="4" w:space="0" w:color="000000"/>
            </w:tcBorders>
          </w:tcPr>
          <w:p>
            <w:pPr>
              <w:pStyle w:val="TableParagraph"/>
              <w:spacing w:before="85"/>
              <w:rPr>
                <w:b/>
                <w:sz w:val="20"/>
              </w:rPr>
            </w:pPr>
          </w:p>
          <w:p>
            <w:pPr>
              <w:pStyle w:val="TableParagraph"/>
              <w:spacing w:before="1"/>
              <w:ind w:right="107"/>
              <w:jc w:val="right"/>
              <w:rPr>
                <w:sz w:val="20"/>
              </w:rPr>
            </w:pPr>
            <w:r>
              <w:rPr>
                <w:spacing w:val="-2"/>
                <w:sz w:val="20"/>
              </w:rPr>
              <w:t>1,003</w:t>
            </w:r>
          </w:p>
        </w:tc>
        <w:tc>
          <w:tcPr>
            <w:tcW w:w="268" w:type="dxa"/>
          </w:tcPr>
          <w:p>
            <w:pPr>
              <w:pStyle w:val="TableParagraph"/>
              <w:rPr>
                <w:rFonts w:ascii="Times New Roman"/>
                <w:sz w:val="20"/>
              </w:rPr>
            </w:pPr>
          </w:p>
        </w:tc>
        <w:tc>
          <w:tcPr>
            <w:tcW w:w="1447" w:type="dxa"/>
            <w:tcBorders>
              <w:top w:val="double" w:sz="4" w:space="0" w:color="000000"/>
            </w:tcBorders>
          </w:tcPr>
          <w:p>
            <w:pPr>
              <w:pStyle w:val="TableParagraph"/>
              <w:spacing w:before="85"/>
              <w:rPr>
                <w:b/>
                <w:sz w:val="20"/>
              </w:rPr>
            </w:pPr>
          </w:p>
          <w:p>
            <w:pPr>
              <w:pStyle w:val="TableParagraph"/>
              <w:spacing w:before="1"/>
              <w:ind w:right="128"/>
              <w:jc w:val="right"/>
              <w:rPr>
                <w:sz w:val="20"/>
              </w:rPr>
            </w:pPr>
            <w:r>
              <w:rPr>
                <w:spacing w:val="-2"/>
                <w:sz w:val="20"/>
              </w:rPr>
              <w:t>1,003</w:t>
            </w:r>
          </w:p>
        </w:tc>
      </w:tr>
      <w:tr>
        <w:trPr>
          <w:trHeight w:val="288" w:hRule="atLeast"/>
        </w:trPr>
        <w:tc>
          <w:tcPr>
            <w:tcW w:w="6388" w:type="dxa"/>
          </w:tcPr>
          <w:p>
            <w:pPr>
              <w:pStyle w:val="TableParagraph"/>
              <w:spacing w:before="29"/>
              <w:ind w:left="50"/>
              <w:rPr>
                <w:sz w:val="20"/>
              </w:rPr>
            </w:pPr>
            <w:r>
              <w:rPr>
                <w:sz w:val="20"/>
              </w:rPr>
              <w:t>Other</w:t>
            </w:r>
            <w:r>
              <w:rPr>
                <w:spacing w:val="-11"/>
                <w:sz w:val="20"/>
              </w:rPr>
              <w:t> </w:t>
            </w:r>
            <w:r>
              <w:rPr>
                <w:sz w:val="20"/>
              </w:rPr>
              <w:t>comprehensive</w:t>
            </w:r>
            <w:r>
              <w:rPr>
                <w:spacing w:val="-11"/>
                <w:sz w:val="20"/>
              </w:rPr>
              <w:t> </w:t>
            </w:r>
            <w:r>
              <w:rPr>
                <w:spacing w:val="-2"/>
                <w:sz w:val="20"/>
              </w:rPr>
              <w:t>income</w:t>
            </w:r>
          </w:p>
        </w:tc>
        <w:tc>
          <w:tcPr>
            <w:tcW w:w="1358" w:type="dxa"/>
            <w:tcBorders>
              <w:bottom w:val="single" w:sz="4" w:space="0" w:color="000000"/>
            </w:tcBorders>
          </w:tcPr>
          <w:p>
            <w:pPr>
              <w:pStyle w:val="TableParagraph"/>
              <w:spacing w:before="29"/>
              <w:ind w:right="53"/>
              <w:jc w:val="right"/>
              <w:rPr>
                <w:sz w:val="20"/>
              </w:rPr>
            </w:pPr>
            <w:r>
              <w:rPr>
                <w:spacing w:val="-2"/>
                <w:sz w:val="20"/>
              </w:rPr>
              <w:t>(7,586)</w:t>
            </w:r>
          </w:p>
        </w:tc>
        <w:tc>
          <w:tcPr>
            <w:tcW w:w="268" w:type="dxa"/>
          </w:tcPr>
          <w:p>
            <w:pPr>
              <w:pStyle w:val="TableParagraph"/>
              <w:rPr>
                <w:rFonts w:ascii="Times New Roman"/>
                <w:sz w:val="20"/>
              </w:rPr>
            </w:pPr>
          </w:p>
        </w:tc>
        <w:tc>
          <w:tcPr>
            <w:tcW w:w="1447" w:type="dxa"/>
            <w:tcBorders>
              <w:bottom w:val="single" w:sz="4" w:space="0" w:color="000000"/>
            </w:tcBorders>
          </w:tcPr>
          <w:p>
            <w:pPr>
              <w:pStyle w:val="TableParagraph"/>
              <w:spacing w:before="29"/>
              <w:ind w:right="73"/>
              <w:jc w:val="right"/>
              <w:rPr>
                <w:sz w:val="20"/>
              </w:rPr>
            </w:pPr>
            <w:r>
              <w:rPr>
                <w:spacing w:val="-2"/>
                <w:sz w:val="20"/>
              </w:rPr>
              <w:t>(7,586)</w:t>
            </w:r>
          </w:p>
        </w:tc>
      </w:tr>
      <w:tr>
        <w:trPr>
          <w:trHeight w:val="385" w:hRule="atLeast"/>
        </w:trPr>
        <w:tc>
          <w:tcPr>
            <w:tcW w:w="6388" w:type="dxa"/>
          </w:tcPr>
          <w:p>
            <w:pPr>
              <w:pStyle w:val="TableParagraph"/>
              <w:spacing w:before="136"/>
              <w:ind w:left="50"/>
              <w:rPr>
                <w:b/>
                <w:sz w:val="20"/>
              </w:rPr>
            </w:pPr>
            <w:r>
              <w:rPr>
                <w:b/>
                <w:sz w:val="20"/>
              </w:rPr>
              <w:t>Total</w:t>
            </w:r>
            <w:r>
              <w:rPr>
                <w:b/>
                <w:spacing w:val="-8"/>
                <w:sz w:val="20"/>
              </w:rPr>
              <w:t> </w:t>
            </w:r>
            <w:r>
              <w:rPr>
                <w:b/>
                <w:sz w:val="20"/>
              </w:rPr>
              <w:t>comprehensive</w:t>
            </w:r>
            <w:r>
              <w:rPr>
                <w:b/>
                <w:spacing w:val="-8"/>
                <w:sz w:val="20"/>
              </w:rPr>
              <w:t> </w:t>
            </w:r>
            <w:r>
              <w:rPr>
                <w:b/>
                <w:sz w:val="20"/>
              </w:rPr>
              <w:t>income</w:t>
            </w:r>
            <w:r>
              <w:rPr>
                <w:b/>
                <w:spacing w:val="-7"/>
                <w:sz w:val="20"/>
              </w:rPr>
              <w:t> </w:t>
            </w:r>
            <w:r>
              <w:rPr>
                <w:b/>
                <w:sz w:val="20"/>
              </w:rPr>
              <w:t>for</w:t>
            </w:r>
            <w:r>
              <w:rPr>
                <w:b/>
                <w:spacing w:val="-9"/>
                <w:sz w:val="20"/>
              </w:rPr>
              <w:t> </w:t>
            </w:r>
            <w:r>
              <w:rPr>
                <w:b/>
                <w:sz w:val="20"/>
              </w:rPr>
              <w:t>the</w:t>
            </w:r>
            <w:r>
              <w:rPr>
                <w:b/>
                <w:spacing w:val="-8"/>
                <w:sz w:val="20"/>
              </w:rPr>
              <w:t> </w:t>
            </w:r>
            <w:r>
              <w:rPr>
                <w:b/>
                <w:spacing w:val="-4"/>
                <w:sz w:val="20"/>
              </w:rPr>
              <w:t>year</w:t>
            </w:r>
          </w:p>
        </w:tc>
        <w:tc>
          <w:tcPr>
            <w:tcW w:w="1358" w:type="dxa"/>
            <w:tcBorders>
              <w:top w:val="single" w:sz="4" w:space="0" w:color="000000"/>
              <w:bottom w:val="single" w:sz="4" w:space="0" w:color="000000"/>
            </w:tcBorders>
          </w:tcPr>
          <w:p>
            <w:pPr>
              <w:pStyle w:val="TableParagraph"/>
              <w:spacing w:before="136"/>
              <w:ind w:right="53"/>
              <w:jc w:val="right"/>
              <w:rPr>
                <w:sz w:val="20"/>
              </w:rPr>
            </w:pPr>
            <w:r>
              <w:rPr>
                <w:spacing w:val="-2"/>
                <w:sz w:val="20"/>
              </w:rPr>
              <w:t>(6,583)</w:t>
            </w:r>
          </w:p>
        </w:tc>
        <w:tc>
          <w:tcPr>
            <w:tcW w:w="268" w:type="dxa"/>
          </w:tcPr>
          <w:p>
            <w:pPr>
              <w:pStyle w:val="TableParagraph"/>
              <w:rPr>
                <w:rFonts w:ascii="Times New Roman"/>
                <w:sz w:val="20"/>
              </w:rPr>
            </w:pPr>
          </w:p>
        </w:tc>
        <w:tc>
          <w:tcPr>
            <w:tcW w:w="1447" w:type="dxa"/>
            <w:tcBorders>
              <w:top w:val="single" w:sz="4" w:space="0" w:color="000000"/>
              <w:bottom w:val="single" w:sz="4" w:space="0" w:color="000000"/>
            </w:tcBorders>
          </w:tcPr>
          <w:p>
            <w:pPr>
              <w:pStyle w:val="TableParagraph"/>
              <w:spacing w:before="136"/>
              <w:ind w:right="73"/>
              <w:jc w:val="right"/>
              <w:rPr>
                <w:sz w:val="20"/>
              </w:rPr>
            </w:pPr>
            <w:r>
              <w:rPr>
                <w:spacing w:val="-2"/>
                <w:sz w:val="20"/>
              </w:rPr>
              <w:t>(6,583)</w:t>
            </w:r>
          </w:p>
        </w:tc>
      </w:tr>
      <w:tr>
        <w:trPr>
          <w:trHeight w:val="387" w:hRule="atLeast"/>
        </w:trPr>
        <w:tc>
          <w:tcPr>
            <w:tcW w:w="6388" w:type="dxa"/>
          </w:tcPr>
          <w:p>
            <w:pPr>
              <w:pStyle w:val="TableParagraph"/>
              <w:spacing w:line="229" w:lineRule="exact" w:before="138"/>
              <w:ind w:left="50"/>
              <w:rPr>
                <w:b/>
                <w:sz w:val="20"/>
              </w:rPr>
            </w:pPr>
            <w:r>
              <w:rPr>
                <w:b/>
                <w:sz w:val="20"/>
              </w:rPr>
              <w:t>Balance</w:t>
            </w:r>
            <w:r>
              <w:rPr>
                <w:b/>
                <w:spacing w:val="-5"/>
                <w:sz w:val="20"/>
              </w:rPr>
              <w:t> </w:t>
            </w:r>
            <w:r>
              <w:rPr>
                <w:b/>
                <w:sz w:val="20"/>
              </w:rPr>
              <w:t>at</w:t>
            </w:r>
            <w:r>
              <w:rPr>
                <w:b/>
                <w:spacing w:val="-4"/>
                <w:sz w:val="20"/>
              </w:rPr>
              <w:t> </w:t>
            </w:r>
            <w:r>
              <w:rPr>
                <w:b/>
                <w:sz w:val="20"/>
              </w:rPr>
              <w:t>31</w:t>
            </w:r>
            <w:r>
              <w:rPr>
                <w:b/>
                <w:spacing w:val="-5"/>
                <w:sz w:val="20"/>
              </w:rPr>
              <w:t> </w:t>
            </w:r>
            <w:r>
              <w:rPr>
                <w:b/>
                <w:sz w:val="20"/>
              </w:rPr>
              <w:t>July</w:t>
            </w:r>
            <w:r>
              <w:rPr>
                <w:b/>
                <w:spacing w:val="-4"/>
                <w:sz w:val="20"/>
              </w:rPr>
              <w:t> 2023</w:t>
            </w:r>
          </w:p>
        </w:tc>
        <w:tc>
          <w:tcPr>
            <w:tcW w:w="1358" w:type="dxa"/>
            <w:tcBorders>
              <w:top w:val="single" w:sz="4" w:space="0" w:color="000000"/>
              <w:bottom w:val="double" w:sz="4" w:space="0" w:color="000000"/>
            </w:tcBorders>
          </w:tcPr>
          <w:p>
            <w:pPr>
              <w:pStyle w:val="TableParagraph"/>
              <w:spacing w:line="229" w:lineRule="exact" w:before="138"/>
              <w:ind w:right="110"/>
              <w:jc w:val="right"/>
              <w:rPr>
                <w:sz w:val="20"/>
              </w:rPr>
            </w:pPr>
            <w:r>
              <w:rPr>
                <w:spacing w:val="-2"/>
                <w:sz w:val="20"/>
              </w:rPr>
              <w:t>20,317</w:t>
            </w:r>
          </w:p>
        </w:tc>
        <w:tc>
          <w:tcPr>
            <w:tcW w:w="268" w:type="dxa"/>
          </w:tcPr>
          <w:p>
            <w:pPr>
              <w:pStyle w:val="TableParagraph"/>
              <w:rPr>
                <w:rFonts w:ascii="Times New Roman"/>
                <w:sz w:val="20"/>
              </w:rPr>
            </w:pPr>
          </w:p>
        </w:tc>
        <w:tc>
          <w:tcPr>
            <w:tcW w:w="1447" w:type="dxa"/>
            <w:tcBorders>
              <w:top w:val="single" w:sz="4" w:space="0" w:color="000000"/>
              <w:bottom w:val="double" w:sz="4" w:space="0" w:color="000000"/>
            </w:tcBorders>
          </w:tcPr>
          <w:p>
            <w:pPr>
              <w:pStyle w:val="TableParagraph"/>
              <w:spacing w:line="229" w:lineRule="exact" w:before="138"/>
              <w:ind w:right="130"/>
              <w:jc w:val="right"/>
              <w:rPr>
                <w:sz w:val="20"/>
              </w:rPr>
            </w:pPr>
            <w:r>
              <w:rPr>
                <w:spacing w:val="-2"/>
                <w:sz w:val="20"/>
              </w:rPr>
              <w:t>20,317</w:t>
            </w:r>
          </w:p>
        </w:tc>
      </w:tr>
    </w:tbl>
    <w:p>
      <w:pPr>
        <w:pStyle w:val="TableParagraph"/>
        <w:spacing w:after="0" w:line="229" w:lineRule="exact"/>
        <w:jc w:val="right"/>
        <w:rPr>
          <w:sz w:val="20"/>
        </w:rPr>
        <w:sectPr>
          <w:headerReference w:type="default" r:id="rId34"/>
          <w:footerReference w:type="default" r:id="rId35"/>
          <w:pgSz w:w="11910" w:h="16850"/>
          <w:pgMar w:header="727" w:footer="702" w:top="1520" w:bottom="900" w:left="566" w:right="708"/>
        </w:sectPr>
      </w:pPr>
    </w:p>
    <w:p>
      <w:pPr>
        <w:pStyle w:val="BodyText"/>
        <w:rPr>
          <w:b/>
          <w:sz w:val="24"/>
        </w:rPr>
      </w:pPr>
    </w:p>
    <w:p>
      <w:pPr>
        <w:spacing w:before="0"/>
        <w:ind w:left="852" w:right="1278" w:firstLine="0"/>
        <w:jc w:val="left"/>
        <w:rPr>
          <w:b/>
          <w:sz w:val="24"/>
        </w:rPr>
      </w:pPr>
      <w:r>
        <w:rPr>
          <w:b/>
          <w:sz w:val="24"/>
        </w:rPr>
        <w:t>CONSOLIDATED</w:t>
      </w:r>
      <w:r>
        <w:rPr>
          <w:b/>
          <w:spacing w:val="-4"/>
          <w:sz w:val="24"/>
        </w:rPr>
        <w:t> </w:t>
      </w:r>
      <w:r>
        <w:rPr>
          <w:b/>
          <w:sz w:val="24"/>
        </w:rPr>
        <w:t>STATEMENT</w:t>
      </w:r>
      <w:r>
        <w:rPr>
          <w:b/>
          <w:spacing w:val="-2"/>
          <w:sz w:val="24"/>
        </w:rPr>
        <w:t> </w:t>
      </w:r>
      <w:r>
        <w:rPr>
          <w:b/>
          <w:sz w:val="24"/>
        </w:rPr>
        <w:t>OF</w:t>
      </w:r>
      <w:r>
        <w:rPr>
          <w:b/>
          <w:spacing w:val="-4"/>
          <w:sz w:val="24"/>
        </w:rPr>
        <w:t> </w:t>
      </w:r>
      <w:r>
        <w:rPr>
          <w:b/>
          <w:sz w:val="24"/>
        </w:rPr>
        <w:t>CASH</w:t>
      </w:r>
      <w:r>
        <w:rPr>
          <w:b/>
          <w:spacing w:val="-7"/>
          <w:sz w:val="24"/>
        </w:rPr>
        <w:t> </w:t>
      </w:r>
      <w:r>
        <w:rPr>
          <w:b/>
          <w:sz w:val="24"/>
        </w:rPr>
        <w:t>FLOWS</w:t>
      </w:r>
      <w:r>
        <w:rPr>
          <w:b/>
          <w:spacing w:val="-4"/>
          <w:sz w:val="24"/>
        </w:rPr>
        <w:t> </w:t>
      </w:r>
      <w:r>
        <w:rPr>
          <w:b/>
          <w:sz w:val="24"/>
        </w:rPr>
        <w:t>FOR</w:t>
      </w:r>
      <w:r>
        <w:rPr>
          <w:b/>
          <w:spacing w:val="-4"/>
          <w:sz w:val="24"/>
        </w:rPr>
        <w:t> </w:t>
      </w:r>
      <w:r>
        <w:rPr>
          <w:b/>
          <w:sz w:val="24"/>
        </w:rPr>
        <w:t>THE</w:t>
      </w:r>
      <w:r>
        <w:rPr>
          <w:b/>
          <w:spacing w:val="-6"/>
          <w:sz w:val="24"/>
        </w:rPr>
        <w:t> </w:t>
      </w:r>
      <w:r>
        <w:rPr>
          <w:b/>
          <w:sz w:val="24"/>
        </w:rPr>
        <w:t>YEAR</w:t>
      </w:r>
      <w:r>
        <w:rPr>
          <w:b/>
          <w:spacing w:val="-4"/>
          <w:sz w:val="24"/>
        </w:rPr>
        <w:t> </w:t>
      </w:r>
      <w:r>
        <w:rPr>
          <w:b/>
          <w:sz w:val="24"/>
        </w:rPr>
        <w:t>ENDED 31 JULY 2023</w:t>
      </w:r>
    </w:p>
    <w:p>
      <w:pPr>
        <w:pStyle w:val="BodyText"/>
        <w:spacing w:before="52" w:after="1"/>
        <w:rPr>
          <w:b/>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5"/>
        <w:gridCol w:w="961"/>
        <w:gridCol w:w="1286"/>
        <w:gridCol w:w="276"/>
        <w:gridCol w:w="1423"/>
      </w:tblGrid>
      <w:tr>
        <w:trPr>
          <w:trHeight w:val="821" w:hRule="atLeast"/>
        </w:trPr>
        <w:tc>
          <w:tcPr>
            <w:tcW w:w="5635" w:type="dxa"/>
          </w:tcPr>
          <w:p>
            <w:pPr>
              <w:pStyle w:val="TableParagraph"/>
              <w:rPr>
                <w:b/>
                <w:sz w:val="20"/>
              </w:rPr>
            </w:pPr>
          </w:p>
          <w:p>
            <w:pPr>
              <w:pStyle w:val="TableParagraph"/>
              <w:spacing w:before="101"/>
              <w:rPr>
                <w:b/>
                <w:sz w:val="20"/>
              </w:rPr>
            </w:pPr>
          </w:p>
          <w:p>
            <w:pPr>
              <w:pStyle w:val="TableParagraph"/>
              <w:ind w:left="50"/>
              <w:rPr>
                <w:b/>
                <w:sz w:val="20"/>
              </w:rPr>
            </w:pPr>
            <w:r>
              <w:rPr>
                <w:b/>
                <w:sz w:val="20"/>
              </w:rPr>
              <w:t>Operating</w:t>
            </w:r>
            <w:r>
              <w:rPr>
                <w:b/>
                <w:spacing w:val="-13"/>
                <w:sz w:val="20"/>
              </w:rPr>
              <w:t> </w:t>
            </w:r>
            <w:r>
              <w:rPr>
                <w:b/>
                <w:spacing w:val="-2"/>
                <w:sz w:val="20"/>
              </w:rPr>
              <w:t>activities</w:t>
            </w:r>
          </w:p>
        </w:tc>
        <w:tc>
          <w:tcPr>
            <w:tcW w:w="961" w:type="dxa"/>
          </w:tcPr>
          <w:p>
            <w:pPr>
              <w:pStyle w:val="TableParagraph"/>
              <w:spacing w:line="223" w:lineRule="exact"/>
              <w:ind w:right="99"/>
              <w:jc w:val="right"/>
              <w:rPr>
                <w:b/>
                <w:sz w:val="20"/>
              </w:rPr>
            </w:pPr>
            <w:r>
              <w:rPr>
                <w:b/>
                <w:spacing w:val="-2"/>
                <w:sz w:val="20"/>
              </w:rPr>
              <w:t>Notes</w:t>
            </w:r>
          </w:p>
        </w:tc>
        <w:tc>
          <w:tcPr>
            <w:tcW w:w="1286" w:type="dxa"/>
          </w:tcPr>
          <w:p>
            <w:pPr>
              <w:pStyle w:val="TableParagraph"/>
              <w:spacing w:line="223" w:lineRule="exact"/>
              <w:ind w:left="730"/>
              <w:rPr>
                <w:b/>
                <w:sz w:val="20"/>
              </w:rPr>
            </w:pPr>
            <w:r>
              <w:rPr>
                <w:b/>
                <w:spacing w:val="-4"/>
                <w:sz w:val="20"/>
              </w:rPr>
              <w:t>2023</w:t>
            </w:r>
          </w:p>
          <w:p>
            <w:pPr>
              <w:pStyle w:val="TableParagraph"/>
              <w:spacing w:before="53"/>
              <w:ind w:left="673"/>
              <w:rPr>
                <w:b/>
                <w:sz w:val="20"/>
              </w:rPr>
            </w:pPr>
            <w:r>
              <w:rPr>
                <w:b/>
                <w:spacing w:val="-2"/>
                <w:sz w:val="20"/>
              </w:rPr>
              <w:t>£’000</w:t>
            </w:r>
          </w:p>
        </w:tc>
        <w:tc>
          <w:tcPr>
            <w:tcW w:w="276" w:type="dxa"/>
          </w:tcPr>
          <w:p>
            <w:pPr>
              <w:pStyle w:val="TableParagraph"/>
              <w:rPr>
                <w:rFonts w:ascii="Times New Roman"/>
                <w:sz w:val="20"/>
              </w:rPr>
            </w:pPr>
          </w:p>
        </w:tc>
        <w:tc>
          <w:tcPr>
            <w:tcW w:w="1423" w:type="dxa"/>
          </w:tcPr>
          <w:p>
            <w:pPr>
              <w:pStyle w:val="TableParagraph"/>
              <w:spacing w:line="223" w:lineRule="exact"/>
              <w:ind w:left="870"/>
              <w:rPr>
                <w:b/>
                <w:sz w:val="20"/>
              </w:rPr>
            </w:pPr>
            <w:r>
              <w:rPr>
                <w:b/>
                <w:spacing w:val="-4"/>
                <w:sz w:val="20"/>
              </w:rPr>
              <w:t>2022</w:t>
            </w:r>
          </w:p>
          <w:p>
            <w:pPr>
              <w:pStyle w:val="TableParagraph"/>
              <w:spacing w:before="53"/>
              <w:ind w:left="812"/>
              <w:rPr>
                <w:b/>
                <w:sz w:val="20"/>
              </w:rPr>
            </w:pPr>
            <w:r>
              <w:rPr>
                <w:b/>
                <w:spacing w:val="-2"/>
                <w:sz w:val="20"/>
              </w:rPr>
              <w:t>£’000</w:t>
            </w:r>
          </w:p>
        </w:tc>
      </w:tr>
      <w:tr>
        <w:trPr>
          <w:trHeight w:val="308" w:hRule="atLeast"/>
        </w:trPr>
        <w:tc>
          <w:tcPr>
            <w:tcW w:w="5635" w:type="dxa"/>
          </w:tcPr>
          <w:p>
            <w:pPr>
              <w:pStyle w:val="TableParagraph"/>
              <w:spacing w:before="23"/>
              <w:ind w:left="50"/>
              <w:rPr>
                <w:sz w:val="20"/>
              </w:rPr>
            </w:pPr>
            <w:r>
              <w:rPr>
                <w:sz w:val="20"/>
              </w:rPr>
              <w:t>Net</w:t>
            </w:r>
            <w:r>
              <w:rPr>
                <w:spacing w:val="-8"/>
                <w:sz w:val="20"/>
              </w:rPr>
              <w:t> </w:t>
            </w:r>
            <w:r>
              <w:rPr>
                <w:sz w:val="20"/>
              </w:rPr>
              <w:t>cash</w:t>
            </w:r>
            <w:r>
              <w:rPr>
                <w:spacing w:val="-8"/>
                <w:sz w:val="20"/>
              </w:rPr>
              <w:t> </w:t>
            </w:r>
            <w:r>
              <w:rPr>
                <w:sz w:val="20"/>
              </w:rPr>
              <w:t>generated</w:t>
            </w:r>
            <w:r>
              <w:rPr>
                <w:spacing w:val="-6"/>
                <w:sz w:val="20"/>
              </w:rPr>
              <w:t> </w:t>
            </w:r>
            <w:r>
              <w:rPr>
                <w:sz w:val="20"/>
              </w:rPr>
              <w:t>from/(used</w:t>
            </w:r>
            <w:r>
              <w:rPr>
                <w:spacing w:val="-8"/>
                <w:sz w:val="20"/>
              </w:rPr>
              <w:t> </w:t>
            </w:r>
            <w:r>
              <w:rPr>
                <w:sz w:val="20"/>
              </w:rPr>
              <w:t>in)</w:t>
            </w:r>
            <w:r>
              <w:rPr>
                <w:spacing w:val="-5"/>
                <w:sz w:val="20"/>
              </w:rPr>
              <w:t> </w:t>
            </w:r>
            <w:r>
              <w:rPr>
                <w:spacing w:val="-2"/>
                <w:sz w:val="20"/>
              </w:rPr>
              <w:t>operations</w:t>
            </w:r>
          </w:p>
        </w:tc>
        <w:tc>
          <w:tcPr>
            <w:tcW w:w="961" w:type="dxa"/>
          </w:tcPr>
          <w:p>
            <w:pPr>
              <w:pStyle w:val="TableParagraph"/>
              <w:spacing w:before="23"/>
              <w:ind w:right="99"/>
              <w:jc w:val="right"/>
              <w:rPr>
                <w:sz w:val="20"/>
              </w:rPr>
            </w:pPr>
            <w:r>
              <w:rPr>
                <w:spacing w:val="-5"/>
                <w:sz w:val="20"/>
              </w:rPr>
              <w:t>17</w:t>
            </w:r>
          </w:p>
        </w:tc>
        <w:tc>
          <w:tcPr>
            <w:tcW w:w="1286" w:type="dxa"/>
            <w:tcBorders>
              <w:bottom w:val="single" w:sz="4" w:space="0" w:color="000000"/>
            </w:tcBorders>
          </w:tcPr>
          <w:p>
            <w:pPr>
              <w:pStyle w:val="TableParagraph"/>
              <w:spacing w:before="23"/>
              <w:ind w:right="53"/>
              <w:jc w:val="right"/>
              <w:rPr>
                <w:sz w:val="20"/>
              </w:rPr>
            </w:pPr>
            <w:r>
              <w:rPr>
                <w:spacing w:val="-2"/>
                <w:sz w:val="20"/>
              </w:rPr>
              <w:t>3,509</w:t>
            </w:r>
          </w:p>
        </w:tc>
        <w:tc>
          <w:tcPr>
            <w:tcW w:w="276" w:type="dxa"/>
          </w:tcPr>
          <w:p>
            <w:pPr>
              <w:pStyle w:val="TableParagraph"/>
              <w:rPr>
                <w:rFonts w:ascii="Times New Roman"/>
                <w:sz w:val="20"/>
              </w:rPr>
            </w:pPr>
          </w:p>
        </w:tc>
        <w:tc>
          <w:tcPr>
            <w:tcW w:w="1423" w:type="dxa"/>
            <w:tcBorders>
              <w:bottom w:val="single" w:sz="4" w:space="0" w:color="000000"/>
            </w:tcBorders>
          </w:tcPr>
          <w:p>
            <w:pPr>
              <w:pStyle w:val="TableParagraph"/>
              <w:spacing w:before="23"/>
              <w:ind w:right="52"/>
              <w:jc w:val="right"/>
              <w:rPr>
                <w:sz w:val="20"/>
              </w:rPr>
            </w:pPr>
            <w:r>
              <w:rPr>
                <w:spacing w:val="-2"/>
                <w:sz w:val="20"/>
              </w:rPr>
              <w:t>(346)</w:t>
            </w:r>
          </w:p>
        </w:tc>
      </w:tr>
      <w:tr>
        <w:trPr>
          <w:trHeight w:val="396" w:hRule="atLeast"/>
        </w:trPr>
        <w:tc>
          <w:tcPr>
            <w:tcW w:w="5635" w:type="dxa"/>
          </w:tcPr>
          <w:p>
            <w:pPr>
              <w:pStyle w:val="TableParagraph"/>
              <w:spacing w:line="229" w:lineRule="exact"/>
              <w:ind w:left="50"/>
              <w:rPr>
                <w:b/>
                <w:sz w:val="20"/>
              </w:rPr>
            </w:pPr>
            <w:r>
              <w:rPr>
                <w:b/>
                <w:sz w:val="20"/>
              </w:rPr>
              <w:t>Net</w:t>
            </w:r>
            <w:r>
              <w:rPr>
                <w:b/>
                <w:spacing w:val="-8"/>
                <w:sz w:val="20"/>
              </w:rPr>
              <w:t> </w:t>
            </w:r>
            <w:r>
              <w:rPr>
                <w:b/>
                <w:sz w:val="20"/>
              </w:rPr>
              <w:t>cash</w:t>
            </w:r>
            <w:r>
              <w:rPr>
                <w:b/>
                <w:spacing w:val="-7"/>
                <w:sz w:val="20"/>
              </w:rPr>
              <w:t> </w:t>
            </w:r>
            <w:r>
              <w:rPr>
                <w:b/>
                <w:sz w:val="20"/>
              </w:rPr>
              <w:t>from/(used</w:t>
            </w:r>
            <w:r>
              <w:rPr>
                <w:b/>
                <w:spacing w:val="-7"/>
                <w:sz w:val="20"/>
              </w:rPr>
              <w:t> </w:t>
            </w:r>
            <w:r>
              <w:rPr>
                <w:b/>
                <w:sz w:val="20"/>
              </w:rPr>
              <w:t>in)</w:t>
            </w:r>
            <w:r>
              <w:rPr>
                <w:b/>
                <w:spacing w:val="-8"/>
                <w:sz w:val="20"/>
              </w:rPr>
              <w:t> </w:t>
            </w:r>
            <w:r>
              <w:rPr>
                <w:b/>
                <w:sz w:val="20"/>
              </w:rPr>
              <w:t>operating</w:t>
            </w:r>
            <w:r>
              <w:rPr>
                <w:b/>
                <w:spacing w:val="-8"/>
                <w:sz w:val="20"/>
              </w:rPr>
              <w:t> </w:t>
            </w:r>
            <w:r>
              <w:rPr>
                <w:b/>
                <w:spacing w:val="-2"/>
                <w:sz w:val="20"/>
              </w:rPr>
              <w:t>activities</w:t>
            </w:r>
          </w:p>
        </w:tc>
        <w:tc>
          <w:tcPr>
            <w:tcW w:w="961" w:type="dxa"/>
          </w:tcPr>
          <w:p>
            <w:pPr>
              <w:pStyle w:val="TableParagraph"/>
              <w:rPr>
                <w:rFonts w:ascii="Times New Roman"/>
                <w:sz w:val="20"/>
              </w:rPr>
            </w:pPr>
          </w:p>
        </w:tc>
        <w:tc>
          <w:tcPr>
            <w:tcW w:w="1286" w:type="dxa"/>
            <w:tcBorders>
              <w:top w:val="single" w:sz="4" w:space="0" w:color="000000"/>
            </w:tcBorders>
          </w:tcPr>
          <w:p>
            <w:pPr>
              <w:pStyle w:val="TableParagraph"/>
              <w:spacing w:line="229" w:lineRule="exact"/>
              <w:ind w:right="53"/>
              <w:jc w:val="right"/>
              <w:rPr>
                <w:sz w:val="20"/>
              </w:rPr>
            </w:pPr>
            <w:r>
              <w:rPr>
                <w:spacing w:val="-2"/>
                <w:sz w:val="20"/>
              </w:rPr>
              <w:t>3,509</w:t>
            </w:r>
          </w:p>
        </w:tc>
        <w:tc>
          <w:tcPr>
            <w:tcW w:w="276" w:type="dxa"/>
          </w:tcPr>
          <w:p>
            <w:pPr>
              <w:pStyle w:val="TableParagraph"/>
              <w:rPr>
                <w:rFonts w:ascii="Times New Roman"/>
                <w:sz w:val="20"/>
              </w:rPr>
            </w:pPr>
          </w:p>
        </w:tc>
        <w:tc>
          <w:tcPr>
            <w:tcW w:w="1423" w:type="dxa"/>
            <w:tcBorders>
              <w:top w:val="single" w:sz="4" w:space="0" w:color="000000"/>
            </w:tcBorders>
          </w:tcPr>
          <w:p>
            <w:pPr>
              <w:pStyle w:val="TableParagraph"/>
              <w:spacing w:line="229" w:lineRule="exact"/>
              <w:ind w:right="52"/>
              <w:jc w:val="right"/>
              <w:rPr>
                <w:sz w:val="20"/>
              </w:rPr>
            </w:pPr>
            <w:r>
              <w:rPr>
                <w:spacing w:val="-2"/>
                <w:sz w:val="20"/>
              </w:rPr>
              <w:t>(346)</w:t>
            </w:r>
          </w:p>
        </w:tc>
      </w:tr>
      <w:tr>
        <w:trPr>
          <w:trHeight w:val="420" w:hRule="atLeast"/>
        </w:trPr>
        <w:tc>
          <w:tcPr>
            <w:tcW w:w="5635" w:type="dxa"/>
          </w:tcPr>
          <w:p>
            <w:pPr>
              <w:pStyle w:val="TableParagraph"/>
              <w:spacing w:before="160"/>
              <w:ind w:left="50"/>
              <w:rPr>
                <w:b/>
                <w:sz w:val="20"/>
              </w:rPr>
            </w:pPr>
            <w:r>
              <w:rPr>
                <w:b/>
                <w:sz w:val="20"/>
              </w:rPr>
              <w:t>Investing</w:t>
            </w:r>
            <w:r>
              <w:rPr>
                <w:b/>
                <w:spacing w:val="-14"/>
                <w:sz w:val="20"/>
              </w:rPr>
              <w:t> </w:t>
            </w:r>
            <w:r>
              <w:rPr>
                <w:b/>
                <w:spacing w:val="-2"/>
                <w:sz w:val="20"/>
              </w:rPr>
              <w:t>activities</w:t>
            </w:r>
          </w:p>
        </w:tc>
        <w:tc>
          <w:tcPr>
            <w:tcW w:w="961" w:type="dxa"/>
          </w:tcPr>
          <w:p>
            <w:pPr>
              <w:pStyle w:val="TableParagraph"/>
              <w:rPr>
                <w:rFonts w:ascii="Times New Roman"/>
                <w:sz w:val="20"/>
              </w:rPr>
            </w:pPr>
          </w:p>
        </w:tc>
        <w:tc>
          <w:tcPr>
            <w:tcW w:w="1286" w:type="dxa"/>
          </w:tcPr>
          <w:p>
            <w:pPr>
              <w:pStyle w:val="TableParagraph"/>
              <w:rPr>
                <w:rFonts w:ascii="Times New Roman"/>
                <w:sz w:val="20"/>
              </w:rPr>
            </w:pPr>
          </w:p>
        </w:tc>
        <w:tc>
          <w:tcPr>
            <w:tcW w:w="276" w:type="dxa"/>
          </w:tcPr>
          <w:p>
            <w:pPr>
              <w:pStyle w:val="TableParagraph"/>
              <w:rPr>
                <w:rFonts w:ascii="Times New Roman"/>
                <w:sz w:val="20"/>
              </w:rPr>
            </w:pPr>
          </w:p>
        </w:tc>
        <w:tc>
          <w:tcPr>
            <w:tcW w:w="1423" w:type="dxa"/>
          </w:tcPr>
          <w:p>
            <w:pPr>
              <w:pStyle w:val="TableParagraph"/>
              <w:rPr>
                <w:rFonts w:ascii="Times New Roman"/>
                <w:sz w:val="20"/>
              </w:rPr>
            </w:pPr>
          </w:p>
        </w:tc>
      </w:tr>
      <w:tr>
        <w:trPr>
          <w:trHeight w:val="304" w:hRule="atLeast"/>
        </w:trPr>
        <w:tc>
          <w:tcPr>
            <w:tcW w:w="5635" w:type="dxa"/>
          </w:tcPr>
          <w:p>
            <w:pPr>
              <w:pStyle w:val="TableParagraph"/>
              <w:spacing w:before="23"/>
              <w:ind w:left="50"/>
              <w:rPr>
                <w:sz w:val="20"/>
              </w:rPr>
            </w:pPr>
            <w:r>
              <w:rPr>
                <w:sz w:val="20"/>
              </w:rPr>
              <w:t>Purchase</w:t>
            </w:r>
            <w:r>
              <w:rPr>
                <w:spacing w:val="-6"/>
                <w:sz w:val="20"/>
              </w:rPr>
              <w:t> </w:t>
            </w:r>
            <w:r>
              <w:rPr>
                <w:sz w:val="20"/>
              </w:rPr>
              <w:t>of</w:t>
            </w:r>
            <w:r>
              <w:rPr>
                <w:spacing w:val="-7"/>
                <w:sz w:val="20"/>
              </w:rPr>
              <w:t> </w:t>
            </w:r>
            <w:r>
              <w:rPr>
                <w:sz w:val="20"/>
              </w:rPr>
              <w:t>tangible</w:t>
            </w:r>
            <w:r>
              <w:rPr>
                <w:spacing w:val="-7"/>
                <w:sz w:val="20"/>
              </w:rPr>
              <w:t> </w:t>
            </w:r>
            <w:r>
              <w:rPr>
                <w:sz w:val="20"/>
              </w:rPr>
              <w:t>fixed</w:t>
            </w:r>
            <w:r>
              <w:rPr>
                <w:spacing w:val="-5"/>
                <w:sz w:val="20"/>
              </w:rPr>
              <w:t> </w:t>
            </w:r>
            <w:r>
              <w:rPr>
                <w:spacing w:val="-2"/>
                <w:sz w:val="20"/>
              </w:rPr>
              <w:t>assets</w:t>
            </w:r>
          </w:p>
        </w:tc>
        <w:tc>
          <w:tcPr>
            <w:tcW w:w="961" w:type="dxa"/>
          </w:tcPr>
          <w:p>
            <w:pPr>
              <w:pStyle w:val="TableParagraph"/>
              <w:rPr>
                <w:rFonts w:ascii="Times New Roman"/>
                <w:sz w:val="20"/>
              </w:rPr>
            </w:pPr>
          </w:p>
        </w:tc>
        <w:tc>
          <w:tcPr>
            <w:tcW w:w="1286" w:type="dxa"/>
            <w:tcBorders>
              <w:bottom w:val="single" w:sz="4" w:space="0" w:color="000000"/>
            </w:tcBorders>
          </w:tcPr>
          <w:p>
            <w:pPr>
              <w:pStyle w:val="TableParagraph"/>
              <w:spacing w:before="23"/>
              <w:ind w:right="55"/>
              <w:jc w:val="right"/>
              <w:rPr>
                <w:sz w:val="20"/>
              </w:rPr>
            </w:pPr>
            <w:r>
              <w:rPr>
                <w:spacing w:val="-2"/>
                <w:sz w:val="20"/>
              </w:rPr>
              <w:t>(2,118)</w:t>
            </w:r>
          </w:p>
        </w:tc>
        <w:tc>
          <w:tcPr>
            <w:tcW w:w="276" w:type="dxa"/>
          </w:tcPr>
          <w:p>
            <w:pPr>
              <w:pStyle w:val="TableParagraph"/>
              <w:rPr>
                <w:rFonts w:ascii="Times New Roman"/>
                <w:sz w:val="20"/>
              </w:rPr>
            </w:pPr>
          </w:p>
        </w:tc>
        <w:tc>
          <w:tcPr>
            <w:tcW w:w="1423" w:type="dxa"/>
            <w:tcBorders>
              <w:bottom w:val="single" w:sz="4" w:space="0" w:color="000000"/>
            </w:tcBorders>
          </w:tcPr>
          <w:p>
            <w:pPr>
              <w:pStyle w:val="TableParagraph"/>
              <w:spacing w:before="23"/>
              <w:ind w:right="52"/>
              <w:jc w:val="right"/>
              <w:rPr>
                <w:sz w:val="20"/>
              </w:rPr>
            </w:pPr>
            <w:r>
              <w:rPr>
                <w:spacing w:val="-2"/>
                <w:sz w:val="20"/>
              </w:rPr>
              <w:t>(1,771)</w:t>
            </w:r>
          </w:p>
        </w:tc>
      </w:tr>
      <w:tr>
        <w:trPr>
          <w:trHeight w:val="273" w:hRule="atLeast"/>
        </w:trPr>
        <w:tc>
          <w:tcPr>
            <w:tcW w:w="5635" w:type="dxa"/>
          </w:tcPr>
          <w:p>
            <w:pPr>
              <w:pStyle w:val="TableParagraph"/>
              <w:rPr>
                <w:rFonts w:ascii="Times New Roman"/>
                <w:sz w:val="20"/>
              </w:rPr>
            </w:pPr>
          </w:p>
        </w:tc>
        <w:tc>
          <w:tcPr>
            <w:tcW w:w="961" w:type="dxa"/>
          </w:tcPr>
          <w:p>
            <w:pPr>
              <w:pStyle w:val="TableParagraph"/>
              <w:rPr>
                <w:rFonts w:ascii="Times New Roman"/>
                <w:sz w:val="20"/>
              </w:rPr>
            </w:pPr>
          </w:p>
        </w:tc>
        <w:tc>
          <w:tcPr>
            <w:tcW w:w="1286" w:type="dxa"/>
            <w:tcBorders>
              <w:top w:val="single" w:sz="4" w:space="0" w:color="000000"/>
              <w:bottom w:val="single" w:sz="4" w:space="0" w:color="000000"/>
            </w:tcBorders>
          </w:tcPr>
          <w:p>
            <w:pPr>
              <w:pStyle w:val="TableParagraph"/>
              <w:spacing w:line="229" w:lineRule="exact"/>
              <w:ind w:right="55"/>
              <w:jc w:val="right"/>
              <w:rPr>
                <w:sz w:val="20"/>
              </w:rPr>
            </w:pPr>
            <w:r>
              <w:rPr>
                <w:spacing w:val="-2"/>
                <w:sz w:val="20"/>
              </w:rPr>
              <w:t>(2,118)</w:t>
            </w:r>
          </w:p>
        </w:tc>
        <w:tc>
          <w:tcPr>
            <w:tcW w:w="276" w:type="dxa"/>
          </w:tcPr>
          <w:p>
            <w:pPr>
              <w:pStyle w:val="TableParagraph"/>
              <w:rPr>
                <w:rFonts w:ascii="Times New Roman"/>
                <w:sz w:val="20"/>
              </w:rPr>
            </w:pPr>
          </w:p>
        </w:tc>
        <w:tc>
          <w:tcPr>
            <w:tcW w:w="1423" w:type="dxa"/>
            <w:tcBorders>
              <w:top w:val="single" w:sz="4" w:space="0" w:color="000000"/>
              <w:bottom w:val="single" w:sz="4" w:space="0" w:color="000000"/>
            </w:tcBorders>
          </w:tcPr>
          <w:p>
            <w:pPr>
              <w:pStyle w:val="TableParagraph"/>
              <w:spacing w:line="229" w:lineRule="exact"/>
              <w:ind w:right="52"/>
              <w:jc w:val="right"/>
              <w:rPr>
                <w:sz w:val="20"/>
              </w:rPr>
            </w:pPr>
            <w:r>
              <w:rPr>
                <w:spacing w:val="-2"/>
                <w:sz w:val="20"/>
              </w:rPr>
              <w:t>(1,771)</w:t>
            </w:r>
          </w:p>
        </w:tc>
      </w:tr>
      <w:tr>
        <w:trPr>
          <w:trHeight w:val="808" w:hRule="atLeast"/>
        </w:trPr>
        <w:tc>
          <w:tcPr>
            <w:tcW w:w="5635" w:type="dxa"/>
          </w:tcPr>
          <w:p>
            <w:pPr>
              <w:pStyle w:val="TableParagraph"/>
              <w:spacing w:before="86"/>
              <w:rPr>
                <w:b/>
                <w:sz w:val="20"/>
              </w:rPr>
            </w:pPr>
          </w:p>
          <w:p>
            <w:pPr>
              <w:pStyle w:val="TableParagraph"/>
              <w:ind w:left="50"/>
              <w:rPr>
                <w:b/>
                <w:sz w:val="20"/>
              </w:rPr>
            </w:pPr>
            <w:r>
              <w:rPr>
                <w:b/>
                <w:sz w:val="20"/>
              </w:rPr>
              <w:t>Increase/(decrease)</w:t>
            </w:r>
            <w:r>
              <w:rPr>
                <w:b/>
                <w:spacing w:val="-6"/>
                <w:sz w:val="20"/>
              </w:rPr>
              <w:t> </w:t>
            </w:r>
            <w:r>
              <w:rPr>
                <w:b/>
                <w:sz w:val="20"/>
              </w:rPr>
              <w:t>in</w:t>
            </w:r>
            <w:r>
              <w:rPr>
                <w:b/>
                <w:spacing w:val="-6"/>
                <w:sz w:val="20"/>
              </w:rPr>
              <w:t> </w:t>
            </w:r>
            <w:r>
              <w:rPr>
                <w:b/>
                <w:sz w:val="20"/>
              </w:rPr>
              <w:t>cash</w:t>
            </w:r>
            <w:r>
              <w:rPr>
                <w:b/>
                <w:spacing w:val="-6"/>
                <w:sz w:val="20"/>
              </w:rPr>
              <w:t> </w:t>
            </w:r>
            <w:r>
              <w:rPr>
                <w:b/>
                <w:sz w:val="20"/>
              </w:rPr>
              <w:t>and</w:t>
            </w:r>
            <w:r>
              <w:rPr>
                <w:b/>
                <w:spacing w:val="-6"/>
                <w:sz w:val="20"/>
              </w:rPr>
              <w:t> </w:t>
            </w:r>
            <w:r>
              <w:rPr>
                <w:b/>
                <w:sz w:val="20"/>
              </w:rPr>
              <w:t>cash</w:t>
            </w:r>
            <w:r>
              <w:rPr>
                <w:b/>
                <w:spacing w:val="-6"/>
                <w:sz w:val="20"/>
              </w:rPr>
              <w:t> </w:t>
            </w:r>
            <w:r>
              <w:rPr>
                <w:b/>
                <w:sz w:val="20"/>
              </w:rPr>
              <w:t>equivalents</w:t>
            </w:r>
            <w:r>
              <w:rPr>
                <w:b/>
                <w:spacing w:val="-5"/>
                <w:sz w:val="20"/>
              </w:rPr>
              <w:t> </w:t>
            </w:r>
            <w:r>
              <w:rPr>
                <w:b/>
                <w:sz w:val="20"/>
              </w:rPr>
              <w:t>in</w:t>
            </w:r>
            <w:r>
              <w:rPr>
                <w:b/>
                <w:spacing w:val="-6"/>
                <w:sz w:val="20"/>
              </w:rPr>
              <w:t> </w:t>
            </w:r>
            <w:r>
              <w:rPr>
                <w:b/>
                <w:sz w:val="20"/>
              </w:rPr>
              <w:t>the </w:t>
            </w:r>
            <w:r>
              <w:rPr>
                <w:b/>
                <w:spacing w:val="-4"/>
                <w:sz w:val="20"/>
              </w:rPr>
              <w:t>year</w:t>
            </w:r>
          </w:p>
        </w:tc>
        <w:tc>
          <w:tcPr>
            <w:tcW w:w="961" w:type="dxa"/>
          </w:tcPr>
          <w:p>
            <w:pPr>
              <w:pStyle w:val="TableParagraph"/>
              <w:rPr>
                <w:rFonts w:ascii="Times New Roman"/>
                <w:sz w:val="20"/>
              </w:rPr>
            </w:pPr>
          </w:p>
        </w:tc>
        <w:tc>
          <w:tcPr>
            <w:tcW w:w="1286" w:type="dxa"/>
            <w:tcBorders>
              <w:top w:val="single" w:sz="4" w:space="0" w:color="000000"/>
              <w:bottom w:val="double" w:sz="4" w:space="0" w:color="000000"/>
            </w:tcBorders>
          </w:tcPr>
          <w:p>
            <w:pPr>
              <w:pStyle w:val="TableParagraph"/>
              <w:rPr>
                <w:b/>
                <w:sz w:val="20"/>
              </w:rPr>
            </w:pPr>
          </w:p>
          <w:p>
            <w:pPr>
              <w:pStyle w:val="TableParagraph"/>
              <w:spacing w:before="86"/>
              <w:rPr>
                <w:b/>
                <w:sz w:val="20"/>
              </w:rPr>
            </w:pPr>
          </w:p>
          <w:p>
            <w:pPr>
              <w:pStyle w:val="TableParagraph"/>
              <w:ind w:right="111"/>
              <w:jc w:val="right"/>
              <w:rPr>
                <w:sz w:val="20"/>
              </w:rPr>
            </w:pPr>
            <w:r>
              <w:rPr>
                <w:spacing w:val="-2"/>
                <w:sz w:val="20"/>
              </w:rPr>
              <w:t>1,391</w:t>
            </w:r>
          </w:p>
        </w:tc>
        <w:tc>
          <w:tcPr>
            <w:tcW w:w="276" w:type="dxa"/>
          </w:tcPr>
          <w:p>
            <w:pPr>
              <w:pStyle w:val="TableParagraph"/>
              <w:rPr>
                <w:rFonts w:ascii="Times New Roman"/>
                <w:sz w:val="20"/>
              </w:rPr>
            </w:pPr>
          </w:p>
        </w:tc>
        <w:tc>
          <w:tcPr>
            <w:tcW w:w="1423" w:type="dxa"/>
            <w:tcBorders>
              <w:top w:val="single" w:sz="4" w:space="0" w:color="000000"/>
              <w:bottom w:val="double" w:sz="4" w:space="0" w:color="000000"/>
            </w:tcBorders>
          </w:tcPr>
          <w:p>
            <w:pPr>
              <w:pStyle w:val="TableParagraph"/>
              <w:rPr>
                <w:b/>
                <w:sz w:val="20"/>
              </w:rPr>
            </w:pPr>
          </w:p>
          <w:p>
            <w:pPr>
              <w:pStyle w:val="TableParagraph"/>
              <w:spacing w:before="86"/>
              <w:rPr>
                <w:b/>
                <w:sz w:val="20"/>
              </w:rPr>
            </w:pPr>
          </w:p>
          <w:p>
            <w:pPr>
              <w:pStyle w:val="TableParagraph"/>
              <w:ind w:right="52"/>
              <w:jc w:val="right"/>
              <w:rPr>
                <w:sz w:val="20"/>
              </w:rPr>
            </w:pPr>
            <w:r>
              <w:rPr>
                <w:spacing w:val="-2"/>
                <w:sz w:val="20"/>
              </w:rPr>
              <w:t>(2,117)</w:t>
            </w:r>
          </w:p>
        </w:tc>
      </w:tr>
      <w:tr>
        <w:trPr>
          <w:trHeight w:val="767" w:hRule="atLeast"/>
        </w:trPr>
        <w:tc>
          <w:tcPr>
            <w:tcW w:w="5635" w:type="dxa"/>
          </w:tcPr>
          <w:p>
            <w:pPr>
              <w:pStyle w:val="TableParagraph"/>
              <w:rPr>
                <w:b/>
                <w:sz w:val="20"/>
              </w:rPr>
            </w:pPr>
          </w:p>
          <w:p>
            <w:pPr>
              <w:pStyle w:val="TableParagraph"/>
              <w:spacing w:before="23"/>
              <w:rPr>
                <w:b/>
                <w:sz w:val="20"/>
              </w:rPr>
            </w:pPr>
          </w:p>
          <w:p>
            <w:pPr>
              <w:pStyle w:val="TableParagraph"/>
              <w:spacing w:before="1"/>
              <w:ind w:left="50"/>
              <w:rPr>
                <w:b/>
                <w:sz w:val="20"/>
              </w:rPr>
            </w:pPr>
            <w:r>
              <w:rPr>
                <w:b/>
                <w:sz w:val="20"/>
              </w:rPr>
              <w:t>Cash</w:t>
            </w:r>
            <w:r>
              <w:rPr>
                <w:b/>
                <w:spacing w:val="-7"/>
                <w:sz w:val="20"/>
              </w:rPr>
              <w:t> </w:t>
            </w:r>
            <w:r>
              <w:rPr>
                <w:b/>
                <w:sz w:val="20"/>
              </w:rPr>
              <w:t>and</w:t>
            </w:r>
            <w:r>
              <w:rPr>
                <w:b/>
                <w:spacing w:val="-4"/>
                <w:sz w:val="20"/>
              </w:rPr>
              <w:t> </w:t>
            </w:r>
            <w:r>
              <w:rPr>
                <w:b/>
                <w:sz w:val="20"/>
              </w:rPr>
              <w:t>cash</w:t>
            </w:r>
            <w:r>
              <w:rPr>
                <w:b/>
                <w:spacing w:val="-5"/>
                <w:sz w:val="20"/>
              </w:rPr>
              <w:t> </w:t>
            </w:r>
            <w:r>
              <w:rPr>
                <w:b/>
                <w:sz w:val="20"/>
              </w:rPr>
              <w:t>equivalents</w:t>
            </w:r>
            <w:r>
              <w:rPr>
                <w:b/>
                <w:spacing w:val="-7"/>
                <w:sz w:val="20"/>
              </w:rPr>
              <w:t> </w:t>
            </w:r>
            <w:r>
              <w:rPr>
                <w:b/>
                <w:sz w:val="20"/>
              </w:rPr>
              <w:t>at</w:t>
            </w:r>
            <w:r>
              <w:rPr>
                <w:b/>
                <w:spacing w:val="-6"/>
                <w:sz w:val="20"/>
              </w:rPr>
              <w:t> </w:t>
            </w:r>
            <w:r>
              <w:rPr>
                <w:b/>
                <w:sz w:val="20"/>
              </w:rPr>
              <w:t>beginning</w:t>
            </w:r>
            <w:r>
              <w:rPr>
                <w:b/>
                <w:spacing w:val="-6"/>
                <w:sz w:val="20"/>
              </w:rPr>
              <w:t> </w:t>
            </w:r>
            <w:r>
              <w:rPr>
                <w:b/>
                <w:sz w:val="20"/>
              </w:rPr>
              <w:t>of</w:t>
            </w:r>
            <w:r>
              <w:rPr>
                <w:b/>
                <w:spacing w:val="-7"/>
                <w:sz w:val="20"/>
              </w:rPr>
              <w:t> </w:t>
            </w:r>
            <w:r>
              <w:rPr>
                <w:b/>
                <w:sz w:val="20"/>
              </w:rPr>
              <w:t>the</w:t>
            </w:r>
            <w:r>
              <w:rPr>
                <w:b/>
                <w:spacing w:val="-7"/>
                <w:sz w:val="20"/>
              </w:rPr>
              <w:t> </w:t>
            </w:r>
            <w:r>
              <w:rPr>
                <w:b/>
                <w:spacing w:val="-4"/>
                <w:sz w:val="20"/>
              </w:rPr>
              <w:t>year</w:t>
            </w:r>
          </w:p>
        </w:tc>
        <w:tc>
          <w:tcPr>
            <w:tcW w:w="961" w:type="dxa"/>
          </w:tcPr>
          <w:p>
            <w:pPr>
              <w:pStyle w:val="TableParagraph"/>
              <w:rPr>
                <w:rFonts w:ascii="Times New Roman"/>
                <w:sz w:val="20"/>
              </w:rPr>
            </w:pPr>
          </w:p>
        </w:tc>
        <w:tc>
          <w:tcPr>
            <w:tcW w:w="1286" w:type="dxa"/>
            <w:tcBorders>
              <w:top w:val="double" w:sz="4" w:space="0" w:color="000000"/>
              <w:bottom w:val="single" w:sz="4" w:space="0" w:color="000000"/>
            </w:tcBorders>
          </w:tcPr>
          <w:p>
            <w:pPr>
              <w:pStyle w:val="TableParagraph"/>
              <w:rPr>
                <w:b/>
                <w:sz w:val="20"/>
              </w:rPr>
            </w:pPr>
          </w:p>
          <w:p>
            <w:pPr>
              <w:pStyle w:val="TableParagraph"/>
              <w:spacing w:before="23"/>
              <w:rPr>
                <w:b/>
                <w:sz w:val="20"/>
              </w:rPr>
            </w:pPr>
          </w:p>
          <w:p>
            <w:pPr>
              <w:pStyle w:val="TableParagraph"/>
              <w:spacing w:before="1"/>
              <w:ind w:right="111"/>
              <w:jc w:val="right"/>
              <w:rPr>
                <w:sz w:val="20"/>
              </w:rPr>
            </w:pPr>
            <w:r>
              <w:rPr>
                <w:spacing w:val="-2"/>
                <w:sz w:val="20"/>
              </w:rPr>
              <w:t>7,030</w:t>
            </w:r>
          </w:p>
        </w:tc>
        <w:tc>
          <w:tcPr>
            <w:tcW w:w="276" w:type="dxa"/>
          </w:tcPr>
          <w:p>
            <w:pPr>
              <w:pStyle w:val="TableParagraph"/>
              <w:rPr>
                <w:rFonts w:ascii="Times New Roman"/>
                <w:sz w:val="20"/>
              </w:rPr>
            </w:pPr>
          </w:p>
        </w:tc>
        <w:tc>
          <w:tcPr>
            <w:tcW w:w="1423" w:type="dxa"/>
            <w:tcBorders>
              <w:top w:val="double" w:sz="4" w:space="0" w:color="000000"/>
              <w:bottom w:val="single" w:sz="4" w:space="0" w:color="000000"/>
            </w:tcBorders>
          </w:tcPr>
          <w:p>
            <w:pPr>
              <w:pStyle w:val="TableParagraph"/>
              <w:rPr>
                <w:b/>
                <w:sz w:val="20"/>
              </w:rPr>
            </w:pPr>
          </w:p>
          <w:p>
            <w:pPr>
              <w:pStyle w:val="TableParagraph"/>
              <w:spacing w:before="23"/>
              <w:rPr>
                <w:b/>
                <w:sz w:val="20"/>
              </w:rPr>
            </w:pPr>
          </w:p>
          <w:p>
            <w:pPr>
              <w:pStyle w:val="TableParagraph"/>
              <w:spacing w:before="1"/>
              <w:ind w:right="108"/>
              <w:jc w:val="right"/>
              <w:rPr>
                <w:sz w:val="20"/>
              </w:rPr>
            </w:pPr>
            <w:r>
              <w:rPr>
                <w:spacing w:val="-2"/>
                <w:sz w:val="20"/>
              </w:rPr>
              <w:t>9,147</w:t>
            </w:r>
          </w:p>
        </w:tc>
      </w:tr>
      <w:tr>
        <w:trPr>
          <w:trHeight w:val="258" w:hRule="atLeast"/>
        </w:trPr>
        <w:tc>
          <w:tcPr>
            <w:tcW w:w="5635" w:type="dxa"/>
          </w:tcPr>
          <w:p>
            <w:pPr>
              <w:pStyle w:val="TableParagraph"/>
              <w:spacing w:line="229" w:lineRule="exact"/>
              <w:ind w:left="50"/>
              <w:rPr>
                <w:b/>
                <w:sz w:val="20"/>
              </w:rPr>
            </w:pPr>
            <w:r>
              <w:rPr>
                <w:b/>
                <w:sz w:val="20"/>
              </w:rPr>
              <w:t>Cash</w:t>
            </w:r>
            <w:r>
              <w:rPr>
                <w:b/>
                <w:spacing w:val="-6"/>
                <w:sz w:val="20"/>
              </w:rPr>
              <w:t> </w:t>
            </w:r>
            <w:r>
              <w:rPr>
                <w:b/>
                <w:sz w:val="20"/>
              </w:rPr>
              <w:t>and</w:t>
            </w:r>
            <w:r>
              <w:rPr>
                <w:b/>
                <w:spacing w:val="-3"/>
                <w:sz w:val="20"/>
              </w:rPr>
              <w:t> </w:t>
            </w:r>
            <w:r>
              <w:rPr>
                <w:b/>
                <w:sz w:val="20"/>
              </w:rPr>
              <w:t>cash</w:t>
            </w:r>
            <w:r>
              <w:rPr>
                <w:b/>
                <w:spacing w:val="-4"/>
                <w:sz w:val="20"/>
              </w:rPr>
              <w:t> </w:t>
            </w:r>
            <w:r>
              <w:rPr>
                <w:b/>
                <w:sz w:val="20"/>
              </w:rPr>
              <w:t>equivalents</w:t>
            </w:r>
            <w:r>
              <w:rPr>
                <w:b/>
                <w:spacing w:val="-6"/>
                <w:sz w:val="20"/>
              </w:rPr>
              <w:t> </w:t>
            </w:r>
            <w:r>
              <w:rPr>
                <w:b/>
                <w:sz w:val="20"/>
              </w:rPr>
              <w:t>at</w:t>
            </w:r>
            <w:r>
              <w:rPr>
                <w:b/>
                <w:spacing w:val="-5"/>
                <w:sz w:val="20"/>
              </w:rPr>
              <w:t> </w:t>
            </w:r>
            <w:r>
              <w:rPr>
                <w:b/>
                <w:sz w:val="20"/>
              </w:rPr>
              <w:t>end</w:t>
            </w:r>
            <w:r>
              <w:rPr>
                <w:b/>
                <w:spacing w:val="-5"/>
                <w:sz w:val="20"/>
              </w:rPr>
              <w:t> </w:t>
            </w:r>
            <w:r>
              <w:rPr>
                <w:b/>
                <w:sz w:val="20"/>
              </w:rPr>
              <w:t>of</w:t>
            </w:r>
            <w:r>
              <w:rPr>
                <w:b/>
                <w:spacing w:val="-6"/>
                <w:sz w:val="20"/>
              </w:rPr>
              <w:t> </w:t>
            </w:r>
            <w:r>
              <w:rPr>
                <w:b/>
                <w:sz w:val="20"/>
              </w:rPr>
              <w:t>the</w:t>
            </w:r>
            <w:r>
              <w:rPr>
                <w:b/>
                <w:spacing w:val="-6"/>
                <w:sz w:val="20"/>
              </w:rPr>
              <w:t> </w:t>
            </w:r>
            <w:r>
              <w:rPr>
                <w:b/>
                <w:spacing w:val="-4"/>
                <w:sz w:val="20"/>
              </w:rPr>
              <w:t>year</w:t>
            </w:r>
          </w:p>
        </w:tc>
        <w:tc>
          <w:tcPr>
            <w:tcW w:w="961" w:type="dxa"/>
          </w:tcPr>
          <w:p>
            <w:pPr>
              <w:pStyle w:val="TableParagraph"/>
              <w:rPr>
                <w:rFonts w:ascii="Times New Roman"/>
                <w:sz w:val="18"/>
              </w:rPr>
            </w:pPr>
          </w:p>
        </w:tc>
        <w:tc>
          <w:tcPr>
            <w:tcW w:w="1286" w:type="dxa"/>
            <w:tcBorders>
              <w:top w:val="single" w:sz="4" w:space="0" w:color="000000"/>
              <w:bottom w:val="double" w:sz="4" w:space="0" w:color="000000"/>
            </w:tcBorders>
          </w:tcPr>
          <w:p>
            <w:pPr>
              <w:pStyle w:val="TableParagraph"/>
              <w:spacing w:line="229" w:lineRule="exact"/>
              <w:ind w:right="111"/>
              <w:jc w:val="right"/>
              <w:rPr>
                <w:sz w:val="20"/>
              </w:rPr>
            </w:pPr>
            <w:r>
              <w:rPr>
                <w:spacing w:val="-2"/>
                <w:sz w:val="20"/>
              </w:rPr>
              <w:t>8,421</w:t>
            </w:r>
          </w:p>
        </w:tc>
        <w:tc>
          <w:tcPr>
            <w:tcW w:w="276" w:type="dxa"/>
          </w:tcPr>
          <w:p>
            <w:pPr>
              <w:pStyle w:val="TableParagraph"/>
              <w:rPr>
                <w:rFonts w:ascii="Times New Roman"/>
                <w:sz w:val="18"/>
              </w:rPr>
            </w:pPr>
          </w:p>
        </w:tc>
        <w:tc>
          <w:tcPr>
            <w:tcW w:w="1423" w:type="dxa"/>
            <w:tcBorders>
              <w:top w:val="single" w:sz="4" w:space="0" w:color="000000"/>
              <w:bottom w:val="double" w:sz="4" w:space="0" w:color="000000"/>
            </w:tcBorders>
          </w:tcPr>
          <w:p>
            <w:pPr>
              <w:pStyle w:val="TableParagraph"/>
              <w:spacing w:line="229" w:lineRule="exact"/>
              <w:ind w:right="108"/>
              <w:jc w:val="right"/>
              <w:rPr>
                <w:sz w:val="20"/>
              </w:rPr>
            </w:pPr>
            <w:r>
              <w:rPr>
                <w:spacing w:val="-2"/>
                <w:sz w:val="20"/>
              </w:rPr>
              <w:t>7,030</w:t>
            </w:r>
          </w:p>
        </w:tc>
      </w:tr>
      <w:tr>
        <w:trPr>
          <w:trHeight w:val="578" w:hRule="atLeast"/>
        </w:trPr>
        <w:tc>
          <w:tcPr>
            <w:tcW w:w="5635" w:type="dxa"/>
          </w:tcPr>
          <w:p>
            <w:pPr>
              <w:pStyle w:val="TableParagraph"/>
              <w:spacing w:before="229"/>
              <w:ind w:left="52"/>
              <w:rPr>
                <w:sz w:val="20"/>
              </w:rPr>
            </w:pPr>
            <w:r>
              <w:rPr>
                <w:sz w:val="20"/>
              </w:rPr>
              <w:t>Relating</w:t>
            </w:r>
            <w:r>
              <w:rPr>
                <w:spacing w:val="-11"/>
                <w:sz w:val="20"/>
              </w:rPr>
              <w:t> </w:t>
            </w:r>
            <w:r>
              <w:rPr>
                <w:spacing w:val="-5"/>
                <w:sz w:val="20"/>
              </w:rPr>
              <w:t>to:</w:t>
            </w:r>
          </w:p>
        </w:tc>
        <w:tc>
          <w:tcPr>
            <w:tcW w:w="961" w:type="dxa"/>
          </w:tcPr>
          <w:p>
            <w:pPr>
              <w:pStyle w:val="TableParagraph"/>
              <w:rPr>
                <w:rFonts w:ascii="Times New Roman"/>
                <w:sz w:val="20"/>
              </w:rPr>
            </w:pPr>
          </w:p>
        </w:tc>
        <w:tc>
          <w:tcPr>
            <w:tcW w:w="1286" w:type="dxa"/>
            <w:tcBorders>
              <w:top w:val="double" w:sz="4" w:space="0" w:color="000000"/>
            </w:tcBorders>
          </w:tcPr>
          <w:p>
            <w:pPr>
              <w:pStyle w:val="TableParagraph"/>
              <w:rPr>
                <w:rFonts w:ascii="Times New Roman"/>
                <w:sz w:val="20"/>
              </w:rPr>
            </w:pPr>
          </w:p>
        </w:tc>
        <w:tc>
          <w:tcPr>
            <w:tcW w:w="276" w:type="dxa"/>
          </w:tcPr>
          <w:p>
            <w:pPr>
              <w:pStyle w:val="TableParagraph"/>
              <w:rPr>
                <w:rFonts w:ascii="Times New Roman"/>
                <w:sz w:val="20"/>
              </w:rPr>
            </w:pPr>
          </w:p>
        </w:tc>
        <w:tc>
          <w:tcPr>
            <w:tcW w:w="1423" w:type="dxa"/>
            <w:tcBorders>
              <w:top w:val="double" w:sz="4" w:space="0" w:color="000000"/>
            </w:tcBorders>
          </w:tcPr>
          <w:p>
            <w:pPr>
              <w:pStyle w:val="TableParagraph"/>
              <w:rPr>
                <w:rFonts w:ascii="Times New Roman"/>
                <w:sz w:val="20"/>
              </w:rPr>
            </w:pPr>
          </w:p>
        </w:tc>
      </w:tr>
      <w:tr>
        <w:trPr>
          <w:trHeight w:val="678" w:hRule="atLeast"/>
        </w:trPr>
        <w:tc>
          <w:tcPr>
            <w:tcW w:w="5635" w:type="dxa"/>
          </w:tcPr>
          <w:p>
            <w:pPr>
              <w:pStyle w:val="TableParagraph"/>
              <w:spacing w:before="112"/>
              <w:ind w:left="86"/>
              <w:rPr>
                <w:sz w:val="20"/>
              </w:rPr>
            </w:pPr>
            <w:r>
              <w:rPr>
                <w:sz w:val="20"/>
              </w:rPr>
              <w:t>Bank</w:t>
            </w:r>
            <w:r>
              <w:rPr>
                <w:spacing w:val="-5"/>
                <w:sz w:val="20"/>
              </w:rPr>
              <w:t> </w:t>
            </w:r>
            <w:r>
              <w:rPr>
                <w:sz w:val="20"/>
              </w:rPr>
              <w:t>balances</w:t>
            </w:r>
            <w:r>
              <w:rPr>
                <w:spacing w:val="-5"/>
                <w:sz w:val="20"/>
              </w:rPr>
              <w:t> </w:t>
            </w:r>
            <w:r>
              <w:rPr>
                <w:sz w:val="20"/>
              </w:rPr>
              <w:t>included</w:t>
            </w:r>
            <w:r>
              <w:rPr>
                <w:spacing w:val="-3"/>
                <w:sz w:val="20"/>
              </w:rPr>
              <w:t> </w:t>
            </w:r>
            <w:r>
              <w:rPr>
                <w:sz w:val="20"/>
              </w:rPr>
              <w:t>in</w:t>
            </w:r>
            <w:r>
              <w:rPr>
                <w:spacing w:val="-4"/>
                <w:sz w:val="20"/>
              </w:rPr>
              <w:t> </w:t>
            </w:r>
            <w:r>
              <w:rPr>
                <w:sz w:val="20"/>
              </w:rPr>
              <w:t>cash</w:t>
            </w:r>
            <w:r>
              <w:rPr>
                <w:spacing w:val="-5"/>
                <w:sz w:val="20"/>
              </w:rPr>
              <w:t> </w:t>
            </w:r>
            <w:r>
              <w:rPr>
                <w:sz w:val="20"/>
              </w:rPr>
              <w:t>at</w:t>
            </w:r>
            <w:r>
              <w:rPr>
                <w:spacing w:val="-6"/>
                <w:sz w:val="20"/>
              </w:rPr>
              <w:t> </w:t>
            </w:r>
            <w:r>
              <w:rPr>
                <w:sz w:val="20"/>
              </w:rPr>
              <w:t>bank</w:t>
            </w:r>
            <w:r>
              <w:rPr>
                <w:spacing w:val="-4"/>
                <w:sz w:val="20"/>
              </w:rPr>
              <w:t> </w:t>
            </w:r>
            <w:r>
              <w:rPr>
                <w:sz w:val="20"/>
              </w:rPr>
              <w:t>and</w:t>
            </w:r>
            <w:r>
              <w:rPr>
                <w:spacing w:val="-6"/>
                <w:sz w:val="20"/>
              </w:rPr>
              <w:t> </w:t>
            </w:r>
            <w:r>
              <w:rPr>
                <w:sz w:val="20"/>
              </w:rPr>
              <w:t>in</w:t>
            </w:r>
            <w:r>
              <w:rPr>
                <w:spacing w:val="-5"/>
                <w:sz w:val="20"/>
              </w:rPr>
              <w:t> </w:t>
            </w:r>
            <w:r>
              <w:rPr>
                <w:spacing w:val="-4"/>
                <w:sz w:val="20"/>
              </w:rPr>
              <w:t>hand</w:t>
            </w:r>
          </w:p>
        </w:tc>
        <w:tc>
          <w:tcPr>
            <w:tcW w:w="961" w:type="dxa"/>
          </w:tcPr>
          <w:p>
            <w:pPr>
              <w:pStyle w:val="TableParagraph"/>
              <w:rPr>
                <w:rFonts w:ascii="Times New Roman"/>
                <w:sz w:val="20"/>
              </w:rPr>
            </w:pPr>
          </w:p>
        </w:tc>
        <w:tc>
          <w:tcPr>
            <w:tcW w:w="1286" w:type="dxa"/>
            <w:tcBorders>
              <w:bottom w:val="single" w:sz="4" w:space="0" w:color="000000"/>
            </w:tcBorders>
          </w:tcPr>
          <w:p>
            <w:pPr>
              <w:pStyle w:val="TableParagraph"/>
              <w:spacing w:before="112"/>
              <w:ind w:right="111"/>
              <w:jc w:val="right"/>
              <w:rPr>
                <w:sz w:val="20"/>
              </w:rPr>
            </w:pPr>
            <w:r>
              <w:rPr>
                <w:spacing w:val="-2"/>
                <w:sz w:val="20"/>
              </w:rPr>
              <w:t>8,421</w:t>
            </w:r>
          </w:p>
        </w:tc>
        <w:tc>
          <w:tcPr>
            <w:tcW w:w="276" w:type="dxa"/>
          </w:tcPr>
          <w:p>
            <w:pPr>
              <w:pStyle w:val="TableParagraph"/>
              <w:rPr>
                <w:rFonts w:ascii="Times New Roman"/>
                <w:sz w:val="20"/>
              </w:rPr>
            </w:pPr>
          </w:p>
        </w:tc>
        <w:tc>
          <w:tcPr>
            <w:tcW w:w="1423" w:type="dxa"/>
            <w:tcBorders>
              <w:bottom w:val="single" w:sz="4" w:space="0" w:color="000000"/>
            </w:tcBorders>
          </w:tcPr>
          <w:p>
            <w:pPr>
              <w:pStyle w:val="TableParagraph"/>
              <w:spacing w:before="112"/>
              <w:ind w:right="108"/>
              <w:jc w:val="right"/>
              <w:rPr>
                <w:sz w:val="20"/>
              </w:rPr>
            </w:pPr>
            <w:r>
              <w:rPr>
                <w:spacing w:val="-2"/>
                <w:sz w:val="20"/>
              </w:rPr>
              <w:t>7,030</w:t>
            </w:r>
          </w:p>
        </w:tc>
      </w:tr>
      <w:tr>
        <w:trPr>
          <w:trHeight w:val="229" w:hRule="atLeast"/>
        </w:trPr>
        <w:tc>
          <w:tcPr>
            <w:tcW w:w="5635" w:type="dxa"/>
          </w:tcPr>
          <w:p>
            <w:pPr>
              <w:pStyle w:val="TableParagraph"/>
              <w:spacing w:line="210" w:lineRule="exact"/>
              <w:ind w:left="50"/>
              <w:rPr>
                <w:sz w:val="20"/>
              </w:rPr>
            </w:pPr>
            <w:r>
              <w:rPr>
                <w:sz w:val="20"/>
              </w:rPr>
              <w:t>Cash</w:t>
            </w:r>
            <w:r>
              <w:rPr>
                <w:spacing w:val="-5"/>
                <w:sz w:val="20"/>
              </w:rPr>
              <w:t> </w:t>
            </w:r>
            <w:r>
              <w:rPr>
                <w:sz w:val="20"/>
              </w:rPr>
              <w:t>and</w:t>
            </w:r>
            <w:r>
              <w:rPr>
                <w:spacing w:val="-4"/>
                <w:sz w:val="20"/>
              </w:rPr>
              <w:t> </w:t>
            </w:r>
            <w:r>
              <w:rPr>
                <w:sz w:val="20"/>
              </w:rPr>
              <w:t>cash</w:t>
            </w:r>
            <w:r>
              <w:rPr>
                <w:spacing w:val="-5"/>
                <w:sz w:val="20"/>
              </w:rPr>
              <w:t> </w:t>
            </w:r>
            <w:r>
              <w:rPr>
                <w:sz w:val="20"/>
              </w:rPr>
              <w:t>equivalents</w:t>
            </w:r>
            <w:r>
              <w:rPr>
                <w:spacing w:val="-1"/>
                <w:sz w:val="20"/>
              </w:rPr>
              <w:t> </w:t>
            </w:r>
            <w:r>
              <w:rPr>
                <w:sz w:val="20"/>
              </w:rPr>
              <w:t>at</w:t>
            </w:r>
            <w:r>
              <w:rPr>
                <w:spacing w:val="-4"/>
                <w:sz w:val="20"/>
              </w:rPr>
              <w:t> </w:t>
            </w:r>
            <w:r>
              <w:rPr>
                <w:sz w:val="20"/>
              </w:rPr>
              <w:t>end</w:t>
            </w:r>
            <w:r>
              <w:rPr>
                <w:spacing w:val="-4"/>
                <w:sz w:val="20"/>
              </w:rPr>
              <w:t> </w:t>
            </w:r>
            <w:r>
              <w:rPr>
                <w:sz w:val="20"/>
              </w:rPr>
              <w:t>of</w:t>
            </w:r>
            <w:r>
              <w:rPr>
                <w:spacing w:val="-5"/>
                <w:sz w:val="20"/>
              </w:rPr>
              <w:t> </w:t>
            </w:r>
            <w:r>
              <w:rPr>
                <w:sz w:val="20"/>
              </w:rPr>
              <w:t>the</w:t>
            </w:r>
            <w:r>
              <w:rPr>
                <w:spacing w:val="-4"/>
                <w:sz w:val="20"/>
              </w:rPr>
              <w:t> year</w:t>
            </w:r>
          </w:p>
        </w:tc>
        <w:tc>
          <w:tcPr>
            <w:tcW w:w="961" w:type="dxa"/>
          </w:tcPr>
          <w:p>
            <w:pPr>
              <w:pStyle w:val="TableParagraph"/>
              <w:rPr>
                <w:rFonts w:ascii="Times New Roman"/>
                <w:sz w:val="16"/>
              </w:rPr>
            </w:pPr>
          </w:p>
        </w:tc>
        <w:tc>
          <w:tcPr>
            <w:tcW w:w="1286" w:type="dxa"/>
            <w:tcBorders>
              <w:top w:val="single" w:sz="4" w:space="0" w:color="000000"/>
              <w:bottom w:val="double" w:sz="4" w:space="0" w:color="000000"/>
            </w:tcBorders>
          </w:tcPr>
          <w:p>
            <w:pPr>
              <w:pStyle w:val="TableParagraph"/>
              <w:spacing w:line="210" w:lineRule="exact"/>
              <w:ind w:right="111"/>
              <w:jc w:val="right"/>
              <w:rPr>
                <w:sz w:val="20"/>
              </w:rPr>
            </w:pPr>
            <w:r>
              <w:rPr>
                <w:spacing w:val="-2"/>
                <w:sz w:val="20"/>
              </w:rPr>
              <w:t>8,421</w:t>
            </w:r>
          </w:p>
        </w:tc>
        <w:tc>
          <w:tcPr>
            <w:tcW w:w="276" w:type="dxa"/>
          </w:tcPr>
          <w:p>
            <w:pPr>
              <w:pStyle w:val="TableParagraph"/>
              <w:rPr>
                <w:rFonts w:ascii="Times New Roman"/>
                <w:sz w:val="16"/>
              </w:rPr>
            </w:pPr>
          </w:p>
        </w:tc>
        <w:tc>
          <w:tcPr>
            <w:tcW w:w="1423" w:type="dxa"/>
            <w:tcBorders>
              <w:top w:val="single" w:sz="4" w:space="0" w:color="000000"/>
              <w:bottom w:val="double" w:sz="4" w:space="0" w:color="000000"/>
            </w:tcBorders>
          </w:tcPr>
          <w:p>
            <w:pPr>
              <w:pStyle w:val="TableParagraph"/>
              <w:spacing w:line="210" w:lineRule="exact"/>
              <w:ind w:right="108"/>
              <w:jc w:val="right"/>
              <w:rPr>
                <w:sz w:val="20"/>
              </w:rPr>
            </w:pPr>
            <w:r>
              <w:rPr>
                <w:spacing w:val="-2"/>
                <w:sz w:val="20"/>
              </w:rPr>
              <w:t>7,030</w:t>
            </w:r>
          </w:p>
        </w:tc>
      </w:tr>
    </w:tbl>
    <w:p>
      <w:pPr>
        <w:pStyle w:val="TableParagraph"/>
        <w:spacing w:after="0" w:line="210" w:lineRule="exact"/>
        <w:jc w:val="right"/>
        <w:rPr>
          <w:sz w:val="20"/>
        </w:rPr>
        <w:sectPr>
          <w:pgSz w:w="11910" w:h="16850"/>
          <w:pgMar w:header="727" w:footer="702" w:top="1520" w:bottom="900" w:left="566" w:right="708"/>
        </w:sectPr>
      </w:pPr>
    </w:p>
    <w:p>
      <w:pPr>
        <w:pStyle w:val="BodyText"/>
        <w:rPr>
          <w:b/>
          <w:sz w:val="24"/>
        </w:rPr>
      </w:pPr>
    </w:p>
    <w:p>
      <w:pPr>
        <w:pStyle w:val="Heading2"/>
      </w:pPr>
      <w:bookmarkStart w:name="_TOC_250000" w:id="8"/>
      <w:r>
        <w:rPr/>
        <w:t>NOTES</w:t>
      </w:r>
      <w:r>
        <w:rPr>
          <w:spacing w:val="-5"/>
        </w:rPr>
        <w:t> </w:t>
      </w:r>
      <w:r>
        <w:rPr/>
        <w:t>TO</w:t>
      </w:r>
      <w:r>
        <w:rPr>
          <w:spacing w:val="-3"/>
        </w:rPr>
        <w:t> </w:t>
      </w:r>
      <w:r>
        <w:rPr/>
        <w:t>THE FINANCIAL</w:t>
      </w:r>
      <w:r>
        <w:rPr>
          <w:spacing w:val="-1"/>
        </w:rPr>
        <w:t> </w:t>
      </w:r>
      <w:bookmarkEnd w:id="8"/>
      <w:r>
        <w:rPr>
          <w:spacing w:val="-2"/>
        </w:rPr>
        <w:t>STATEMENTS</w:t>
      </w:r>
    </w:p>
    <w:p>
      <w:pPr>
        <w:pStyle w:val="BodyText"/>
        <w:rPr>
          <w:b/>
          <w:sz w:val="24"/>
        </w:rPr>
      </w:pPr>
    </w:p>
    <w:p>
      <w:pPr>
        <w:pStyle w:val="Heading5"/>
        <w:tabs>
          <w:tab w:pos="852" w:val="left" w:leader="none"/>
        </w:tabs>
        <w:ind w:left="425"/>
      </w:pPr>
      <w:r>
        <w:rPr>
          <w:spacing w:val="-10"/>
        </w:rPr>
        <w:t>1</w:t>
      </w:r>
      <w:r>
        <w:rPr/>
        <w:tab/>
        <w:t>Accounting</w:t>
      </w:r>
      <w:r>
        <w:rPr>
          <w:spacing w:val="-6"/>
        </w:rPr>
        <w:t> </w:t>
      </w:r>
      <w:r>
        <w:rPr>
          <w:spacing w:val="-2"/>
        </w:rPr>
        <w:t>policies</w:t>
      </w:r>
    </w:p>
    <w:p>
      <w:pPr>
        <w:pStyle w:val="BodyText"/>
        <w:spacing w:before="44"/>
        <w:rPr>
          <w:b/>
        </w:rPr>
      </w:pPr>
    </w:p>
    <w:p>
      <w:pPr>
        <w:pStyle w:val="Heading6"/>
      </w:pPr>
      <w:r>
        <w:rPr/>
        <w:t>General</w:t>
      </w:r>
      <w:r>
        <w:rPr>
          <w:spacing w:val="-10"/>
        </w:rPr>
        <w:t> </w:t>
      </w:r>
      <w:r>
        <w:rPr>
          <w:spacing w:val="-2"/>
        </w:rPr>
        <w:t>information</w:t>
      </w:r>
    </w:p>
    <w:p>
      <w:pPr>
        <w:pStyle w:val="BodyText"/>
        <w:spacing w:before="1"/>
        <w:rPr>
          <w:b/>
        </w:rPr>
      </w:pPr>
    </w:p>
    <w:p>
      <w:pPr>
        <w:pStyle w:val="BodyText"/>
        <w:ind w:left="852" w:right="708"/>
        <w:jc w:val="both"/>
      </w:pPr>
      <w:r>
        <w:rPr/>
        <w:t>Hull</w:t>
      </w:r>
      <w:r>
        <w:rPr>
          <w:spacing w:val="-14"/>
        </w:rPr>
        <w:t> </w:t>
      </w:r>
      <w:r>
        <w:rPr/>
        <w:t>College</w:t>
      </w:r>
      <w:r>
        <w:rPr>
          <w:spacing w:val="-14"/>
        </w:rPr>
        <w:t> </w:t>
      </w:r>
      <w:r>
        <w:rPr/>
        <w:t>is</w:t>
      </w:r>
      <w:r>
        <w:rPr>
          <w:spacing w:val="-14"/>
        </w:rPr>
        <w:t> </w:t>
      </w:r>
      <w:r>
        <w:rPr/>
        <w:t>a</w:t>
      </w:r>
      <w:r>
        <w:rPr>
          <w:spacing w:val="-14"/>
        </w:rPr>
        <w:t> </w:t>
      </w:r>
      <w:r>
        <w:rPr/>
        <w:t>corporation</w:t>
      </w:r>
      <w:r>
        <w:rPr>
          <w:spacing w:val="-14"/>
        </w:rPr>
        <w:t> </w:t>
      </w:r>
      <w:r>
        <w:rPr/>
        <w:t>established</w:t>
      </w:r>
      <w:r>
        <w:rPr>
          <w:spacing w:val="-14"/>
        </w:rPr>
        <w:t> </w:t>
      </w:r>
      <w:r>
        <w:rPr/>
        <w:t>under</w:t>
      </w:r>
      <w:r>
        <w:rPr>
          <w:spacing w:val="-13"/>
        </w:rPr>
        <w:t> </w:t>
      </w:r>
      <w:r>
        <w:rPr/>
        <w:t>the</w:t>
      </w:r>
      <w:r>
        <w:rPr>
          <w:spacing w:val="-12"/>
        </w:rPr>
        <w:t> </w:t>
      </w:r>
      <w:r>
        <w:rPr/>
        <w:t>Further</w:t>
      </w:r>
      <w:r>
        <w:rPr>
          <w:spacing w:val="-14"/>
        </w:rPr>
        <w:t> </w:t>
      </w:r>
      <w:r>
        <w:rPr/>
        <w:t>and</w:t>
      </w:r>
      <w:r>
        <w:rPr>
          <w:spacing w:val="-13"/>
        </w:rPr>
        <w:t> </w:t>
      </w:r>
      <w:r>
        <w:rPr/>
        <w:t>Higher</w:t>
      </w:r>
      <w:r>
        <w:rPr>
          <w:spacing w:val="-12"/>
        </w:rPr>
        <w:t> </w:t>
      </w:r>
      <w:r>
        <w:rPr/>
        <w:t>Education</w:t>
      </w:r>
      <w:r>
        <w:rPr>
          <w:spacing w:val="-13"/>
        </w:rPr>
        <w:t> </w:t>
      </w:r>
      <w:r>
        <w:rPr/>
        <w:t>Act</w:t>
      </w:r>
      <w:r>
        <w:rPr>
          <w:spacing w:val="-14"/>
        </w:rPr>
        <w:t> </w:t>
      </w:r>
      <w:r>
        <w:rPr/>
        <w:t>1992</w:t>
      </w:r>
      <w:r>
        <w:rPr>
          <w:spacing w:val="-13"/>
        </w:rPr>
        <w:t> </w:t>
      </w:r>
      <w:r>
        <w:rPr/>
        <w:t>as</w:t>
      </w:r>
      <w:r>
        <w:rPr>
          <w:spacing w:val="-14"/>
        </w:rPr>
        <w:t> </w:t>
      </w:r>
      <w:r>
        <w:rPr/>
        <w:t>an</w:t>
      </w:r>
      <w:r>
        <w:rPr>
          <w:spacing w:val="-13"/>
        </w:rPr>
        <w:t> </w:t>
      </w:r>
      <w:r>
        <w:rPr/>
        <w:t>English general college of further education. The address of the College’s principal place of business is given on page 3.</w:t>
      </w:r>
      <w:r>
        <w:rPr>
          <w:spacing w:val="40"/>
        </w:rPr>
        <w:t> </w:t>
      </w:r>
      <w:r>
        <w:rPr/>
        <w:t>The nature of the College’s operations is set out in the Report of the Board of Governors.</w:t>
      </w:r>
    </w:p>
    <w:p>
      <w:pPr>
        <w:pStyle w:val="BodyText"/>
      </w:pPr>
    </w:p>
    <w:p>
      <w:pPr>
        <w:pStyle w:val="Heading6"/>
      </w:pPr>
      <w:r>
        <w:rPr/>
        <w:t>Basis</w:t>
      </w:r>
      <w:r>
        <w:rPr>
          <w:spacing w:val="-5"/>
        </w:rPr>
        <w:t> </w:t>
      </w:r>
      <w:r>
        <w:rPr/>
        <w:t>of</w:t>
      </w:r>
      <w:r>
        <w:rPr>
          <w:spacing w:val="-5"/>
        </w:rPr>
        <w:t> </w:t>
      </w:r>
      <w:r>
        <w:rPr>
          <w:spacing w:val="-2"/>
        </w:rPr>
        <w:t>accounting</w:t>
      </w:r>
    </w:p>
    <w:p>
      <w:pPr>
        <w:pStyle w:val="BodyText"/>
        <w:spacing w:before="1"/>
        <w:rPr>
          <w:b/>
        </w:rPr>
      </w:pPr>
    </w:p>
    <w:p>
      <w:pPr>
        <w:pStyle w:val="BodyText"/>
        <w:ind w:left="852" w:right="707"/>
        <w:jc w:val="both"/>
      </w:pPr>
      <w:r>
        <w:rPr/>
        <w:t>These financial statements have been prepared in accordance with the Statement of Recommended Practice: Accounting for Further and Higher Education (the F &amp; HE SORP) the College Accounts Direction for 2022 to 2023, Regulatory Advice 9: Accounts Direction issued by the Office for Students and in accordance with Financial Reporting Standard 102 – “The Financial Reporting Standard applicable in the United Kingdom and Republic of Ireland” (FRS 102) under the historical cost convention. The College is a public benefit entity and has therefore applied the relevant public benefit requirements of FRS 102.</w:t>
      </w:r>
    </w:p>
    <w:p>
      <w:pPr>
        <w:pStyle w:val="BodyText"/>
        <w:spacing w:before="1"/>
      </w:pPr>
    </w:p>
    <w:p>
      <w:pPr>
        <w:pStyle w:val="BodyText"/>
        <w:spacing w:before="1"/>
        <w:ind w:left="852" w:right="708"/>
        <w:jc w:val="both"/>
      </w:pPr>
      <w:r>
        <w:rPr/>
        <w:t>The</w:t>
      </w:r>
      <w:r>
        <w:rPr>
          <w:spacing w:val="-11"/>
        </w:rPr>
        <w:t> </w:t>
      </w:r>
      <w:r>
        <w:rPr/>
        <w:t>principal</w:t>
      </w:r>
      <w:r>
        <w:rPr>
          <w:spacing w:val="-10"/>
        </w:rPr>
        <w:t> </w:t>
      </w:r>
      <w:r>
        <w:rPr/>
        <w:t>accounting</w:t>
      </w:r>
      <w:r>
        <w:rPr>
          <w:spacing w:val="-11"/>
        </w:rPr>
        <w:t> </w:t>
      </w:r>
      <w:r>
        <w:rPr/>
        <w:t>policies</w:t>
      </w:r>
      <w:r>
        <w:rPr>
          <w:spacing w:val="-10"/>
        </w:rPr>
        <w:t> </w:t>
      </w:r>
      <w:r>
        <w:rPr/>
        <w:t>applied</w:t>
      </w:r>
      <w:r>
        <w:rPr>
          <w:spacing w:val="-9"/>
        </w:rPr>
        <w:t> </w:t>
      </w:r>
      <w:r>
        <w:rPr/>
        <w:t>in</w:t>
      </w:r>
      <w:r>
        <w:rPr>
          <w:spacing w:val="-9"/>
        </w:rPr>
        <w:t> </w:t>
      </w:r>
      <w:r>
        <w:rPr/>
        <w:t>the</w:t>
      </w:r>
      <w:r>
        <w:rPr>
          <w:spacing w:val="-9"/>
        </w:rPr>
        <w:t> </w:t>
      </w:r>
      <w:r>
        <w:rPr/>
        <w:t>preparation</w:t>
      </w:r>
      <w:r>
        <w:rPr>
          <w:spacing w:val="-9"/>
        </w:rPr>
        <w:t> </w:t>
      </w:r>
      <w:r>
        <w:rPr/>
        <w:t>of</w:t>
      </w:r>
      <w:r>
        <w:rPr>
          <w:spacing w:val="-9"/>
        </w:rPr>
        <w:t> </w:t>
      </w:r>
      <w:r>
        <w:rPr/>
        <w:t>these</w:t>
      </w:r>
      <w:r>
        <w:rPr>
          <w:spacing w:val="-11"/>
        </w:rPr>
        <w:t> </w:t>
      </w:r>
      <w:r>
        <w:rPr/>
        <w:t>consolidated</w:t>
      </w:r>
      <w:r>
        <w:rPr>
          <w:spacing w:val="-9"/>
        </w:rPr>
        <w:t> </w:t>
      </w:r>
      <w:r>
        <w:rPr/>
        <w:t>and</w:t>
      </w:r>
      <w:r>
        <w:rPr>
          <w:spacing w:val="-11"/>
        </w:rPr>
        <w:t> </w:t>
      </w:r>
      <w:r>
        <w:rPr/>
        <w:t>separate</w:t>
      </w:r>
      <w:r>
        <w:rPr>
          <w:spacing w:val="-9"/>
        </w:rPr>
        <w:t> </w:t>
      </w:r>
      <w:r>
        <w:rPr/>
        <w:t>financial statements</w:t>
      </w:r>
      <w:r>
        <w:rPr>
          <w:spacing w:val="-4"/>
        </w:rPr>
        <w:t> </w:t>
      </w:r>
      <w:r>
        <w:rPr/>
        <w:t>are</w:t>
      </w:r>
      <w:r>
        <w:rPr>
          <w:spacing w:val="-6"/>
        </w:rPr>
        <w:t> </w:t>
      </w:r>
      <w:r>
        <w:rPr/>
        <w:t>set</w:t>
      </w:r>
      <w:r>
        <w:rPr>
          <w:spacing w:val="-3"/>
        </w:rPr>
        <w:t> </w:t>
      </w:r>
      <w:r>
        <w:rPr/>
        <w:t>out</w:t>
      </w:r>
      <w:r>
        <w:rPr>
          <w:spacing w:val="-5"/>
        </w:rPr>
        <w:t> </w:t>
      </w:r>
      <w:r>
        <w:rPr/>
        <w:t>below.</w:t>
      </w:r>
      <w:r>
        <w:rPr>
          <w:spacing w:val="-5"/>
        </w:rPr>
        <w:t> </w:t>
      </w:r>
      <w:r>
        <w:rPr/>
        <w:t>These</w:t>
      </w:r>
      <w:r>
        <w:rPr>
          <w:spacing w:val="-3"/>
        </w:rPr>
        <w:t> </w:t>
      </w:r>
      <w:r>
        <w:rPr/>
        <w:t>policies</w:t>
      </w:r>
      <w:r>
        <w:rPr>
          <w:spacing w:val="-2"/>
        </w:rPr>
        <w:t> </w:t>
      </w:r>
      <w:r>
        <w:rPr/>
        <w:t>have</w:t>
      </w:r>
      <w:r>
        <w:rPr>
          <w:spacing w:val="-3"/>
        </w:rPr>
        <w:t> </w:t>
      </w:r>
      <w:r>
        <w:rPr/>
        <w:t>been</w:t>
      </w:r>
      <w:r>
        <w:rPr>
          <w:spacing w:val="-6"/>
        </w:rPr>
        <w:t> </w:t>
      </w:r>
      <w:r>
        <w:rPr/>
        <w:t>consistently</w:t>
      </w:r>
      <w:r>
        <w:rPr>
          <w:spacing w:val="-4"/>
        </w:rPr>
        <w:t> </w:t>
      </w:r>
      <w:r>
        <w:rPr/>
        <w:t>applied</w:t>
      </w:r>
      <w:r>
        <w:rPr>
          <w:spacing w:val="-6"/>
        </w:rPr>
        <w:t> </w:t>
      </w:r>
      <w:r>
        <w:rPr/>
        <w:t>to</w:t>
      </w:r>
      <w:r>
        <w:rPr>
          <w:spacing w:val="-6"/>
        </w:rPr>
        <w:t> </w:t>
      </w:r>
      <w:r>
        <w:rPr/>
        <w:t>all</w:t>
      </w:r>
      <w:r>
        <w:rPr>
          <w:spacing w:val="-1"/>
        </w:rPr>
        <w:t> </w:t>
      </w:r>
      <w:r>
        <w:rPr/>
        <w:t>the</w:t>
      </w:r>
      <w:r>
        <w:rPr>
          <w:spacing w:val="-6"/>
        </w:rPr>
        <w:t> </w:t>
      </w:r>
      <w:r>
        <w:rPr/>
        <w:t>years</w:t>
      </w:r>
      <w:r>
        <w:rPr>
          <w:spacing w:val="-4"/>
        </w:rPr>
        <w:t> </w:t>
      </w:r>
      <w:r>
        <w:rPr/>
        <w:t>presented, unless otherwise stated.</w:t>
      </w:r>
    </w:p>
    <w:p>
      <w:pPr>
        <w:pStyle w:val="BodyText"/>
        <w:spacing w:before="229"/>
        <w:ind w:left="852" w:right="707"/>
        <w:jc w:val="both"/>
      </w:pPr>
      <w:r>
        <w:rPr/>
        <w:t>The</w:t>
      </w:r>
      <w:r>
        <w:rPr>
          <w:spacing w:val="-2"/>
        </w:rPr>
        <w:t> </w:t>
      </w:r>
      <w:r>
        <w:rPr/>
        <w:t>consolidated financial statements are</w:t>
      </w:r>
      <w:r>
        <w:rPr>
          <w:spacing w:val="-2"/>
        </w:rPr>
        <w:t> </w:t>
      </w:r>
      <w:r>
        <w:rPr/>
        <w:t>presented in</w:t>
      </w:r>
      <w:r>
        <w:rPr>
          <w:spacing w:val="-2"/>
        </w:rPr>
        <w:t> </w:t>
      </w:r>
      <w:r>
        <w:rPr/>
        <w:t>sterling which is also the functional</w:t>
      </w:r>
      <w:r>
        <w:rPr>
          <w:spacing w:val="-3"/>
        </w:rPr>
        <w:t> </w:t>
      </w:r>
      <w:r>
        <w:rPr/>
        <w:t>currency of the College.</w:t>
      </w:r>
    </w:p>
    <w:p>
      <w:pPr>
        <w:pStyle w:val="BodyText"/>
        <w:spacing w:before="229"/>
        <w:ind w:left="852" w:right="708"/>
        <w:jc w:val="both"/>
      </w:pPr>
      <w:r>
        <w:rPr/>
        <w:t>Monetary</w:t>
      </w:r>
      <w:r>
        <w:rPr>
          <w:spacing w:val="-12"/>
        </w:rPr>
        <w:t> </w:t>
      </w:r>
      <w:r>
        <w:rPr/>
        <w:t>amounts</w:t>
      </w:r>
      <w:r>
        <w:rPr>
          <w:spacing w:val="-10"/>
        </w:rPr>
        <w:t> </w:t>
      </w:r>
      <w:r>
        <w:rPr/>
        <w:t>in</w:t>
      </w:r>
      <w:r>
        <w:rPr>
          <w:spacing w:val="-11"/>
        </w:rPr>
        <w:t> </w:t>
      </w:r>
      <w:r>
        <w:rPr/>
        <w:t>these</w:t>
      </w:r>
      <w:r>
        <w:rPr>
          <w:spacing w:val="-10"/>
        </w:rPr>
        <w:t> </w:t>
      </w:r>
      <w:r>
        <w:rPr/>
        <w:t>financial</w:t>
      </w:r>
      <w:r>
        <w:rPr>
          <w:spacing w:val="-14"/>
        </w:rPr>
        <w:t> </w:t>
      </w:r>
      <w:r>
        <w:rPr/>
        <w:t>statements</w:t>
      </w:r>
      <w:r>
        <w:rPr>
          <w:spacing w:val="-10"/>
        </w:rPr>
        <w:t> </w:t>
      </w:r>
      <w:r>
        <w:rPr/>
        <w:t>are</w:t>
      </w:r>
      <w:r>
        <w:rPr>
          <w:spacing w:val="-14"/>
        </w:rPr>
        <w:t> </w:t>
      </w:r>
      <w:r>
        <w:rPr/>
        <w:t>rounded</w:t>
      </w:r>
      <w:r>
        <w:rPr>
          <w:spacing w:val="-11"/>
        </w:rPr>
        <w:t> </w:t>
      </w:r>
      <w:r>
        <w:rPr/>
        <w:t>to</w:t>
      </w:r>
      <w:r>
        <w:rPr>
          <w:spacing w:val="-11"/>
        </w:rPr>
        <w:t> </w:t>
      </w:r>
      <w:r>
        <w:rPr/>
        <w:t>the</w:t>
      </w:r>
      <w:r>
        <w:rPr>
          <w:spacing w:val="-11"/>
        </w:rPr>
        <w:t> </w:t>
      </w:r>
      <w:r>
        <w:rPr/>
        <w:t>nearest</w:t>
      </w:r>
      <w:r>
        <w:rPr>
          <w:spacing w:val="-11"/>
        </w:rPr>
        <w:t> </w:t>
      </w:r>
      <w:r>
        <w:rPr/>
        <w:t>whole</w:t>
      </w:r>
      <w:r>
        <w:rPr>
          <w:spacing w:val="-11"/>
        </w:rPr>
        <w:t> </w:t>
      </w:r>
      <w:r>
        <w:rPr/>
        <w:t>£1,000,</w:t>
      </w:r>
      <w:r>
        <w:rPr>
          <w:spacing w:val="-11"/>
        </w:rPr>
        <w:t> </w:t>
      </w:r>
      <w:r>
        <w:rPr/>
        <w:t>except</w:t>
      </w:r>
      <w:r>
        <w:rPr>
          <w:spacing w:val="-14"/>
        </w:rPr>
        <w:t> </w:t>
      </w:r>
      <w:r>
        <w:rPr/>
        <w:t>where otherwise indicated.</w:t>
      </w:r>
    </w:p>
    <w:p>
      <w:pPr>
        <w:pStyle w:val="BodyText"/>
        <w:spacing w:before="1"/>
      </w:pPr>
    </w:p>
    <w:p>
      <w:pPr>
        <w:pStyle w:val="Heading6"/>
        <w:spacing w:before="1"/>
      </w:pPr>
      <w:r>
        <w:rPr/>
        <w:t>Reduced</w:t>
      </w:r>
      <w:r>
        <w:rPr>
          <w:spacing w:val="-12"/>
        </w:rPr>
        <w:t> </w:t>
      </w:r>
      <w:r>
        <w:rPr>
          <w:spacing w:val="-2"/>
        </w:rPr>
        <w:t>disclosures</w:t>
      </w:r>
    </w:p>
    <w:p>
      <w:pPr>
        <w:pStyle w:val="BodyText"/>
        <w:spacing w:before="120"/>
        <w:ind w:left="852" w:right="706"/>
        <w:jc w:val="both"/>
      </w:pPr>
      <w:r>
        <w:rPr/>
        <w:t>In accordance with the F &amp; HE SORP, the College in its separate financial statements, which are presented alongside the consolidated financial statements, has taken advantage of the disclosure exemptions</w:t>
      </w:r>
      <w:r>
        <w:rPr>
          <w:spacing w:val="-3"/>
        </w:rPr>
        <w:t> </w:t>
      </w:r>
      <w:r>
        <w:rPr/>
        <w:t>available</w:t>
      </w:r>
      <w:r>
        <w:rPr>
          <w:spacing w:val="-4"/>
        </w:rPr>
        <w:t> </w:t>
      </w:r>
      <w:r>
        <w:rPr/>
        <w:t>to</w:t>
      </w:r>
      <w:r>
        <w:rPr>
          <w:spacing w:val="-2"/>
        </w:rPr>
        <w:t> </w:t>
      </w:r>
      <w:r>
        <w:rPr/>
        <w:t>it</w:t>
      </w:r>
      <w:r>
        <w:rPr>
          <w:spacing w:val="-4"/>
        </w:rPr>
        <w:t> </w:t>
      </w:r>
      <w:r>
        <w:rPr/>
        <w:t>in</w:t>
      </w:r>
      <w:r>
        <w:rPr>
          <w:spacing w:val="-2"/>
        </w:rPr>
        <w:t> </w:t>
      </w:r>
      <w:r>
        <w:rPr/>
        <w:t>respect</w:t>
      </w:r>
      <w:r>
        <w:rPr>
          <w:spacing w:val="-4"/>
        </w:rPr>
        <w:t> </w:t>
      </w:r>
      <w:r>
        <w:rPr/>
        <w:t>of</w:t>
      </w:r>
      <w:r>
        <w:rPr>
          <w:spacing w:val="-4"/>
        </w:rPr>
        <w:t> </w:t>
      </w:r>
      <w:r>
        <w:rPr/>
        <w:t>presentation</w:t>
      </w:r>
      <w:r>
        <w:rPr>
          <w:spacing w:val="-4"/>
        </w:rPr>
        <w:t> </w:t>
      </w:r>
      <w:r>
        <w:rPr/>
        <w:t>of</w:t>
      </w:r>
      <w:r>
        <w:rPr>
          <w:spacing w:val="-2"/>
        </w:rPr>
        <w:t> </w:t>
      </w:r>
      <w:r>
        <w:rPr/>
        <w:t>a</w:t>
      </w:r>
      <w:r>
        <w:rPr>
          <w:spacing w:val="-4"/>
        </w:rPr>
        <w:t> </w:t>
      </w:r>
      <w:r>
        <w:rPr/>
        <w:t>cash</w:t>
      </w:r>
      <w:r>
        <w:rPr>
          <w:spacing w:val="-4"/>
        </w:rPr>
        <w:t> </w:t>
      </w:r>
      <w:r>
        <w:rPr/>
        <w:t>flow</w:t>
      </w:r>
      <w:r>
        <w:rPr>
          <w:spacing w:val="-4"/>
        </w:rPr>
        <w:t> </w:t>
      </w:r>
      <w:r>
        <w:rPr/>
        <w:t>statement</w:t>
      </w:r>
      <w:r>
        <w:rPr>
          <w:spacing w:val="-4"/>
        </w:rPr>
        <w:t> </w:t>
      </w:r>
      <w:r>
        <w:rPr/>
        <w:t>and</w:t>
      </w:r>
      <w:r>
        <w:rPr>
          <w:spacing w:val="-4"/>
        </w:rPr>
        <w:t> </w:t>
      </w:r>
      <w:r>
        <w:rPr/>
        <w:t>financial</w:t>
      </w:r>
      <w:r>
        <w:rPr>
          <w:spacing w:val="-5"/>
        </w:rPr>
        <w:t> </w:t>
      </w:r>
      <w:r>
        <w:rPr/>
        <w:t>instruments.</w:t>
      </w:r>
    </w:p>
    <w:p>
      <w:pPr>
        <w:pStyle w:val="BodyText"/>
        <w:spacing w:before="9"/>
      </w:pPr>
    </w:p>
    <w:p>
      <w:pPr>
        <w:pStyle w:val="Heading6"/>
      </w:pPr>
      <w:r>
        <w:rPr/>
        <w:t>Basis</w:t>
      </w:r>
      <w:r>
        <w:rPr>
          <w:spacing w:val="-5"/>
        </w:rPr>
        <w:t> </w:t>
      </w:r>
      <w:r>
        <w:rPr/>
        <w:t>of</w:t>
      </w:r>
      <w:r>
        <w:rPr>
          <w:spacing w:val="-5"/>
        </w:rPr>
        <w:t> </w:t>
      </w:r>
      <w:r>
        <w:rPr>
          <w:spacing w:val="-2"/>
        </w:rPr>
        <w:t>consolidation</w:t>
      </w:r>
    </w:p>
    <w:p>
      <w:pPr>
        <w:pStyle w:val="BodyText"/>
        <w:spacing w:before="120"/>
        <w:ind w:left="852" w:right="708"/>
        <w:jc w:val="both"/>
      </w:pPr>
      <w:r>
        <w:rPr/>
        <w:t>The</w:t>
      </w:r>
      <w:r>
        <w:rPr>
          <w:spacing w:val="-9"/>
        </w:rPr>
        <w:t> </w:t>
      </w:r>
      <w:r>
        <w:rPr/>
        <w:t>consolidated</w:t>
      </w:r>
      <w:r>
        <w:rPr>
          <w:spacing w:val="-7"/>
        </w:rPr>
        <w:t> </w:t>
      </w:r>
      <w:r>
        <w:rPr/>
        <w:t>financial</w:t>
      </w:r>
      <w:r>
        <w:rPr>
          <w:spacing w:val="-7"/>
        </w:rPr>
        <w:t> </w:t>
      </w:r>
      <w:r>
        <w:rPr/>
        <w:t>statements</w:t>
      </w:r>
      <w:r>
        <w:rPr>
          <w:spacing w:val="-5"/>
        </w:rPr>
        <w:t> </w:t>
      </w:r>
      <w:r>
        <w:rPr/>
        <w:t>include</w:t>
      </w:r>
      <w:r>
        <w:rPr>
          <w:spacing w:val="-7"/>
        </w:rPr>
        <w:t> </w:t>
      </w:r>
      <w:r>
        <w:rPr/>
        <w:t>the</w:t>
      </w:r>
      <w:r>
        <w:rPr>
          <w:spacing w:val="-7"/>
        </w:rPr>
        <w:t> </w:t>
      </w:r>
      <w:r>
        <w:rPr/>
        <w:t>College</w:t>
      </w:r>
      <w:r>
        <w:rPr>
          <w:spacing w:val="-7"/>
        </w:rPr>
        <w:t> </w:t>
      </w:r>
      <w:r>
        <w:rPr/>
        <w:t>and</w:t>
      </w:r>
      <w:r>
        <w:rPr>
          <w:spacing w:val="-7"/>
        </w:rPr>
        <w:t> </w:t>
      </w:r>
      <w:r>
        <w:rPr/>
        <w:t>its</w:t>
      </w:r>
      <w:r>
        <w:rPr>
          <w:spacing w:val="-7"/>
        </w:rPr>
        <w:t> </w:t>
      </w:r>
      <w:r>
        <w:rPr/>
        <w:t>subsidiaries,</w:t>
      </w:r>
      <w:r>
        <w:rPr>
          <w:spacing w:val="-9"/>
        </w:rPr>
        <w:t> </w:t>
      </w:r>
      <w:r>
        <w:rPr/>
        <w:t>Hull</w:t>
      </w:r>
      <w:r>
        <w:rPr>
          <w:spacing w:val="-7"/>
        </w:rPr>
        <w:t> </w:t>
      </w:r>
      <w:r>
        <w:rPr/>
        <w:t>College</w:t>
      </w:r>
      <w:r>
        <w:rPr>
          <w:spacing w:val="-7"/>
        </w:rPr>
        <w:t> </w:t>
      </w:r>
      <w:r>
        <w:rPr/>
        <w:t>Enterprises Ltd and HCUK Resourcing Ltd, controlled by the Group. Control is achieved where the Group has the power</w:t>
      </w:r>
      <w:r>
        <w:rPr>
          <w:spacing w:val="-14"/>
        </w:rPr>
        <w:t> </w:t>
      </w:r>
      <w:r>
        <w:rPr/>
        <w:t>to</w:t>
      </w:r>
      <w:r>
        <w:rPr>
          <w:spacing w:val="-14"/>
        </w:rPr>
        <w:t> </w:t>
      </w:r>
      <w:r>
        <w:rPr/>
        <w:t>govern</w:t>
      </w:r>
      <w:r>
        <w:rPr>
          <w:spacing w:val="-14"/>
        </w:rPr>
        <w:t> </w:t>
      </w:r>
      <w:r>
        <w:rPr/>
        <w:t>the</w:t>
      </w:r>
      <w:r>
        <w:rPr>
          <w:spacing w:val="-14"/>
        </w:rPr>
        <w:t> </w:t>
      </w:r>
      <w:r>
        <w:rPr/>
        <w:t>financial</w:t>
      </w:r>
      <w:r>
        <w:rPr>
          <w:spacing w:val="-14"/>
        </w:rPr>
        <w:t> </w:t>
      </w:r>
      <w:r>
        <w:rPr/>
        <w:t>and</w:t>
      </w:r>
      <w:r>
        <w:rPr>
          <w:spacing w:val="-14"/>
        </w:rPr>
        <w:t> </w:t>
      </w:r>
      <w:r>
        <w:rPr/>
        <w:t>operating</w:t>
      </w:r>
      <w:r>
        <w:rPr>
          <w:spacing w:val="-14"/>
        </w:rPr>
        <w:t> </w:t>
      </w:r>
      <w:r>
        <w:rPr/>
        <w:t>policies</w:t>
      </w:r>
      <w:r>
        <w:rPr>
          <w:spacing w:val="-14"/>
        </w:rPr>
        <w:t> </w:t>
      </w:r>
      <w:r>
        <w:rPr/>
        <w:t>of</w:t>
      </w:r>
      <w:r>
        <w:rPr>
          <w:spacing w:val="-14"/>
        </w:rPr>
        <w:t> </w:t>
      </w:r>
      <w:r>
        <w:rPr/>
        <w:t>an</w:t>
      </w:r>
      <w:r>
        <w:rPr>
          <w:spacing w:val="-13"/>
        </w:rPr>
        <w:t> </w:t>
      </w:r>
      <w:r>
        <w:rPr/>
        <w:t>entity</w:t>
      </w:r>
      <w:r>
        <w:rPr>
          <w:spacing w:val="-14"/>
        </w:rPr>
        <w:t> </w:t>
      </w:r>
      <w:r>
        <w:rPr/>
        <w:t>so</w:t>
      </w:r>
      <w:r>
        <w:rPr>
          <w:spacing w:val="-14"/>
        </w:rPr>
        <w:t> </w:t>
      </w:r>
      <w:r>
        <w:rPr/>
        <w:t>as</w:t>
      </w:r>
      <w:r>
        <w:rPr>
          <w:spacing w:val="-14"/>
        </w:rPr>
        <w:t> </w:t>
      </w:r>
      <w:r>
        <w:rPr/>
        <w:t>to</w:t>
      </w:r>
      <w:r>
        <w:rPr>
          <w:spacing w:val="-14"/>
        </w:rPr>
        <w:t> </w:t>
      </w:r>
      <w:r>
        <w:rPr/>
        <w:t>obtain</w:t>
      </w:r>
      <w:r>
        <w:rPr>
          <w:spacing w:val="-14"/>
        </w:rPr>
        <w:t> </w:t>
      </w:r>
      <w:r>
        <w:rPr/>
        <w:t>benefits</w:t>
      </w:r>
      <w:r>
        <w:rPr>
          <w:spacing w:val="-14"/>
        </w:rPr>
        <w:t> </w:t>
      </w:r>
      <w:r>
        <w:rPr/>
        <w:t>from</w:t>
      </w:r>
      <w:r>
        <w:rPr>
          <w:spacing w:val="-14"/>
        </w:rPr>
        <w:t> </w:t>
      </w:r>
      <w:r>
        <w:rPr/>
        <w:t>its</w:t>
      </w:r>
      <w:r>
        <w:rPr>
          <w:spacing w:val="-14"/>
        </w:rPr>
        <w:t> </w:t>
      </w:r>
      <w:r>
        <w:rPr/>
        <w:t>activities. The</w:t>
      </w:r>
      <w:r>
        <w:rPr>
          <w:spacing w:val="-8"/>
        </w:rPr>
        <w:t> </w:t>
      </w:r>
      <w:r>
        <w:rPr/>
        <w:t>results</w:t>
      </w:r>
      <w:r>
        <w:rPr>
          <w:spacing w:val="-4"/>
        </w:rPr>
        <w:t> </w:t>
      </w:r>
      <w:r>
        <w:rPr/>
        <w:t>of</w:t>
      </w:r>
      <w:r>
        <w:rPr>
          <w:spacing w:val="-8"/>
        </w:rPr>
        <w:t> </w:t>
      </w:r>
      <w:r>
        <w:rPr/>
        <w:t>subsidiaries</w:t>
      </w:r>
      <w:r>
        <w:rPr>
          <w:spacing w:val="-4"/>
        </w:rPr>
        <w:t> </w:t>
      </w:r>
      <w:r>
        <w:rPr/>
        <w:t>acquired</w:t>
      </w:r>
      <w:r>
        <w:rPr>
          <w:spacing w:val="-6"/>
        </w:rPr>
        <w:t> </w:t>
      </w:r>
      <w:r>
        <w:rPr/>
        <w:t>or</w:t>
      </w:r>
      <w:r>
        <w:rPr>
          <w:spacing w:val="-7"/>
        </w:rPr>
        <w:t> </w:t>
      </w:r>
      <w:r>
        <w:rPr/>
        <w:t>sold</w:t>
      </w:r>
      <w:r>
        <w:rPr>
          <w:spacing w:val="-6"/>
        </w:rPr>
        <w:t> </w:t>
      </w:r>
      <w:r>
        <w:rPr/>
        <w:t>are</w:t>
      </w:r>
      <w:r>
        <w:rPr>
          <w:spacing w:val="-8"/>
        </w:rPr>
        <w:t> </w:t>
      </w:r>
      <w:r>
        <w:rPr/>
        <w:t>consolidated</w:t>
      </w:r>
      <w:r>
        <w:rPr>
          <w:spacing w:val="-8"/>
        </w:rPr>
        <w:t> </w:t>
      </w:r>
      <w:r>
        <w:rPr/>
        <w:t>using</w:t>
      </w:r>
      <w:r>
        <w:rPr>
          <w:spacing w:val="-6"/>
        </w:rPr>
        <w:t> </w:t>
      </w:r>
      <w:r>
        <w:rPr/>
        <w:t>the</w:t>
      </w:r>
      <w:r>
        <w:rPr>
          <w:spacing w:val="-6"/>
        </w:rPr>
        <w:t> </w:t>
      </w:r>
      <w:r>
        <w:rPr/>
        <w:t>purchase</w:t>
      </w:r>
      <w:r>
        <w:rPr>
          <w:spacing w:val="-6"/>
        </w:rPr>
        <w:t> </w:t>
      </w:r>
      <w:r>
        <w:rPr/>
        <w:t>method</w:t>
      </w:r>
      <w:r>
        <w:rPr>
          <w:spacing w:val="-8"/>
        </w:rPr>
        <w:t> </w:t>
      </w:r>
      <w:r>
        <w:rPr/>
        <w:t>for</w:t>
      </w:r>
      <w:r>
        <w:rPr>
          <w:spacing w:val="-7"/>
        </w:rPr>
        <w:t> </w:t>
      </w:r>
      <w:r>
        <w:rPr/>
        <w:t>the</w:t>
      </w:r>
      <w:r>
        <w:rPr>
          <w:spacing w:val="-6"/>
        </w:rPr>
        <w:t> </w:t>
      </w:r>
      <w:r>
        <w:rPr/>
        <w:t>periods from or to the date that control passes. All financial statements are made up to 31 July 2023.</w:t>
      </w:r>
    </w:p>
    <w:p>
      <w:pPr>
        <w:pStyle w:val="BodyText"/>
        <w:spacing w:before="120"/>
        <w:ind w:left="852" w:right="708"/>
        <w:jc w:val="both"/>
      </w:pPr>
      <w:r>
        <w:rPr/>
        <w:t>All</w:t>
      </w:r>
      <w:r>
        <w:rPr>
          <w:spacing w:val="-4"/>
        </w:rPr>
        <w:t> </w:t>
      </w:r>
      <w:r>
        <w:rPr/>
        <w:t>intra-group</w:t>
      </w:r>
      <w:r>
        <w:rPr>
          <w:spacing w:val="-3"/>
        </w:rPr>
        <w:t> </w:t>
      </w:r>
      <w:r>
        <w:rPr/>
        <w:t>transactions,</w:t>
      </w:r>
      <w:r>
        <w:rPr>
          <w:spacing w:val="-3"/>
        </w:rPr>
        <w:t> </w:t>
      </w:r>
      <w:r>
        <w:rPr/>
        <w:t>balances</w:t>
      </w:r>
      <w:r>
        <w:rPr>
          <w:spacing w:val="-1"/>
        </w:rPr>
        <w:t> </w:t>
      </w:r>
      <w:r>
        <w:rPr/>
        <w:t>and</w:t>
      </w:r>
      <w:r>
        <w:rPr>
          <w:spacing w:val="-3"/>
        </w:rPr>
        <w:t> </w:t>
      </w:r>
      <w:r>
        <w:rPr/>
        <w:t>unrealised</w:t>
      </w:r>
      <w:r>
        <w:rPr>
          <w:spacing w:val="-3"/>
        </w:rPr>
        <w:t> </w:t>
      </w:r>
      <w:r>
        <w:rPr/>
        <w:t>gains</w:t>
      </w:r>
      <w:r>
        <w:rPr>
          <w:spacing w:val="-1"/>
        </w:rPr>
        <w:t> </w:t>
      </w:r>
      <w:r>
        <w:rPr/>
        <w:t>on</w:t>
      </w:r>
      <w:r>
        <w:rPr>
          <w:spacing w:val="-3"/>
        </w:rPr>
        <w:t> </w:t>
      </w:r>
      <w:r>
        <w:rPr/>
        <w:t>transactions</w:t>
      </w:r>
      <w:r>
        <w:rPr>
          <w:spacing w:val="-1"/>
        </w:rPr>
        <w:t> </w:t>
      </w:r>
      <w:r>
        <w:rPr/>
        <w:t>between</w:t>
      </w:r>
      <w:r>
        <w:rPr>
          <w:spacing w:val="-5"/>
        </w:rPr>
        <w:t> </w:t>
      </w:r>
      <w:r>
        <w:rPr/>
        <w:t>Group</w:t>
      </w:r>
      <w:r>
        <w:rPr>
          <w:spacing w:val="-3"/>
        </w:rPr>
        <w:t> </w:t>
      </w:r>
      <w:r>
        <w:rPr/>
        <w:t>entities</w:t>
      </w:r>
      <w:r>
        <w:rPr>
          <w:spacing w:val="-4"/>
        </w:rPr>
        <w:t> </w:t>
      </w:r>
      <w:r>
        <w:rPr/>
        <w:t>are eliminated on consolidation. Unrealised losses are also eliminated unless the transaction provides evidence of an impairment of the asset transferred. Where necessary, adjustments are made to the financial statements of subsidiaries to bring the accounting policies used into line with those used by other members of the Group.</w:t>
      </w:r>
    </w:p>
    <w:p>
      <w:pPr>
        <w:pStyle w:val="Heading6"/>
        <w:spacing w:before="120"/>
      </w:pPr>
      <w:r>
        <w:rPr/>
        <w:t>Going</w:t>
      </w:r>
      <w:r>
        <w:rPr>
          <w:spacing w:val="-6"/>
        </w:rPr>
        <w:t> </w:t>
      </w:r>
      <w:r>
        <w:rPr>
          <w:spacing w:val="-2"/>
        </w:rPr>
        <w:t>concern</w:t>
      </w:r>
    </w:p>
    <w:p>
      <w:pPr>
        <w:pStyle w:val="BodyText"/>
        <w:spacing w:before="229"/>
        <w:ind w:left="852" w:right="705"/>
        <w:jc w:val="both"/>
      </w:pPr>
      <w:r>
        <w:rPr/>
        <w:t>The College group maintains a close focus on balancing strength and availability of liquid resources to meet both short-term and longer term financial needs, taking into account the continuing financial, operational and</w:t>
      </w:r>
      <w:r>
        <w:rPr>
          <w:spacing w:val="-2"/>
        </w:rPr>
        <w:t> </w:t>
      </w:r>
      <w:r>
        <w:rPr/>
        <w:t>structural</w:t>
      </w:r>
      <w:r>
        <w:rPr>
          <w:spacing w:val="-3"/>
        </w:rPr>
        <w:t> </w:t>
      </w:r>
      <w:r>
        <w:rPr/>
        <w:t>developments within</w:t>
      </w:r>
      <w:r>
        <w:rPr>
          <w:spacing w:val="-2"/>
        </w:rPr>
        <w:t> </w:t>
      </w:r>
      <w:r>
        <w:rPr/>
        <w:t>the</w:t>
      </w:r>
      <w:r>
        <w:rPr>
          <w:spacing w:val="-2"/>
        </w:rPr>
        <w:t> </w:t>
      </w:r>
      <w:r>
        <w:rPr/>
        <w:t>FE sector.</w:t>
      </w:r>
      <w:r>
        <w:rPr>
          <w:spacing w:val="-2"/>
        </w:rPr>
        <w:t> </w:t>
      </w:r>
      <w:r>
        <w:rPr/>
        <w:t>The</w:t>
      </w:r>
      <w:r>
        <w:rPr>
          <w:spacing w:val="-2"/>
        </w:rPr>
        <w:t> </w:t>
      </w:r>
      <w:r>
        <w:rPr/>
        <w:t>College</w:t>
      </w:r>
      <w:r>
        <w:rPr>
          <w:spacing w:val="-1"/>
        </w:rPr>
        <w:t> </w:t>
      </w:r>
      <w:r>
        <w:rPr/>
        <w:t>has developed</w:t>
      </w:r>
      <w:r>
        <w:rPr>
          <w:spacing w:val="-2"/>
        </w:rPr>
        <w:t> </w:t>
      </w:r>
      <w:r>
        <w:rPr/>
        <w:t>a</w:t>
      </w:r>
      <w:r>
        <w:rPr>
          <w:spacing w:val="-2"/>
        </w:rPr>
        <w:t> </w:t>
      </w:r>
      <w:r>
        <w:rPr/>
        <w:t>three-year strategic</w:t>
      </w:r>
      <w:r>
        <w:rPr>
          <w:spacing w:val="-12"/>
        </w:rPr>
        <w:t> </w:t>
      </w:r>
      <w:r>
        <w:rPr/>
        <w:t>plan</w:t>
      </w:r>
      <w:r>
        <w:rPr>
          <w:spacing w:val="-14"/>
        </w:rPr>
        <w:t> </w:t>
      </w:r>
      <w:r>
        <w:rPr/>
        <w:t>for</w:t>
      </w:r>
      <w:r>
        <w:rPr>
          <w:spacing w:val="-12"/>
        </w:rPr>
        <w:t> </w:t>
      </w:r>
      <w:r>
        <w:rPr/>
        <w:t>the</w:t>
      </w:r>
      <w:r>
        <w:rPr>
          <w:spacing w:val="-11"/>
        </w:rPr>
        <w:t> </w:t>
      </w:r>
      <w:r>
        <w:rPr/>
        <w:t>period</w:t>
      </w:r>
      <w:r>
        <w:rPr>
          <w:spacing w:val="-11"/>
        </w:rPr>
        <w:t> </w:t>
      </w:r>
      <w:r>
        <w:rPr/>
        <w:t>2021-2025</w:t>
      </w:r>
      <w:r>
        <w:rPr>
          <w:spacing w:val="-14"/>
        </w:rPr>
        <w:t> </w:t>
      </w:r>
      <w:r>
        <w:rPr/>
        <w:t>incorporating</w:t>
      </w:r>
      <w:r>
        <w:rPr>
          <w:spacing w:val="-13"/>
        </w:rPr>
        <w:t> </w:t>
      </w:r>
      <w:r>
        <w:rPr/>
        <w:t>financial</w:t>
      </w:r>
      <w:r>
        <w:rPr>
          <w:spacing w:val="-14"/>
        </w:rPr>
        <w:t> </w:t>
      </w:r>
      <w:r>
        <w:rPr/>
        <w:t>cash</w:t>
      </w:r>
      <w:r>
        <w:rPr>
          <w:spacing w:val="-13"/>
        </w:rPr>
        <w:t> </w:t>
      </w:r>
      <w:r>
        <w:rPr/>
        <w:t>flows</w:t>
      </w:r>
      <w:r>
        <w:rPr>
          <w:spacing w:val="-12"/>
        </w:rPr>
        <w:t> </w:t>
      </w:r>
      <w:r>
        <w:rPr/>
        <w:t>and</w:t>
      </w:r>
      <w:r>
        <w:rPr>
          <w:spacing w:val="-14"/>
        </w:rPr>
        <w:t> </w:t>
      </w:r>
      <w:r>
        <w:rPr/>
        <w:t>forecasts,</w:t>
      </w:r>
      <w:r>
        <w:rPr>
          <w:spacing w:val="-13"/>
        </w:rPr>
        <w:t> </w:t>
      </w:r>
      <w:r>
        <w:rPr/>
        <w:t>with</w:t>
      </w:r>
      <w:r>
        <w:rPr>
          <w:spacing w:val="-11"/>
        </w:rPr>
        <w:t> </w:t>
      </w:r>
      <w:r>
        <w:rPr/>
        <w:t>the</w:t>
      </w:r>
      <w:r>
        <w:rPr>
          <w:spacing w:val="-11"/>
        </w:rPr>
        <w:t> </w:t>
      </w:r>
      <w:r>
        <w:rPr/>
        <w:t>support and participation of Hull College staff members</w:t>
      </w:r>
    </w:p>
    <w:p>
      <w:pPr>
        <w:pStyle w:val="BodyText"/>
        <w:spacing w:after="0"/>
        <w:jc w:val="both"/>
        <w:sectPr>
          <w:headerReference w:type="default" r:id="rId36"/>
          <w:footerReference w:type="default" r:id="rId37"/>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rPr>
          <w:b/>
          <w:sz w:val="24"/>
        </w:rPr>
      </w:pPr>
    </w:p>
    <w:p>
      <w:pPr>
        <w:pStyle w:val="Heading5"/>
        <w:tabs>
          <w:tab w:pos="852" w:val="left" w:leader="none"/>
        </w:tabs>
        <w:ind w:left="425"/>
      </w:pPr>
      <w:r>
        <w:rPr>
          <w:spacing w:val="-10"/>
        </w:rPr>
        <w:t>1</w:t>
      </w:r>
      <w:r>
        <w:rPr/>
        <w:tab/>
        <w:t>Accounting</w:t>
      </w:r>
      <w:r>
        <w:rPr>
          <w:spacing w:val="-6"/>
        </w:rPr>
        <w:t> </w:t>
      </w:r>
      <w:r>
        <w:rPr/>
        <w:t>policies</w:t>
      </w:r>
      <w:r>
        <w:rPr>
          <w:spacing w:val="-7"/>
        </w:rPr>
        <w:t> </w:t>
      </w:r>
      <w:r>
        <w:rPr>
          <w:spacing w:val="-2"/>
        </w:rPr>
        <w:t>(continued)</w:t>
      </w:r>
    </w:p>
    <w:p>
      <w:pPr>
        <w:pStyle w:val="BodyText"/>
        <w:spacing w:before="44"/>
        <w:rPr>
          <w:b/>
        </w:rPr>
      </w:pPr>
    </w:p>
    <w:p>
      <w:pPr>
        <w:pStyle w:val="Heading6"/>
      </w:pPr>
      <w:r>
        <w:rPr/>
        <w:t>Going</w:t>
      </w:r>
      <w:r>
        <w:rPr>
          <w:spacing w:val="-9"/>
        </w:rPr>
        <w:t> </w:t>
      </w:r>
      <w:r>
        <w:rPr/>
        <w:t>concern</w:t>
      </w:r>
      <w:r>
        <w:rPr>
          <w:spacing w:val="-9"/>
        </w:rPr>
        <w:t> </w:t>
      </w:r>
      <w:r>
        <w:rPr>
          <w:spacing w:val="-2"/>
        </w:rPr>
        <w:t>(continued)</w:t>
      </w:r>
    </w:p>
    <w:p>
      <w:pPr>
        <w:pStyle w:val="BodyText"/>
        <w:spacing w:before="1"/>
        <w:rPr>
          <w:b/>
        </w:rPr>
      </w:pPr>
    </w:p>
    <w:p>
      <w:pPr>
        <w:pStyle w:val="BodyText"/>
        <w:ind w:left="852" w:right="706"/>
        <w:jc w:val="both"/>
      </w:pPr>
      <w:r>
        <w:rPr/>
        <w:t>The financial position of the College group, its cash flow, liquidity and borrowings are presented in the Financial Statements and accompanying Notes and this summary highlights that the College group made a</w:t>
      </w:r>
      <w:r>
        <w:rPr>
          <w:spacing w:val="-1"/>
        </w:rPr>
        <w:t> </w:t>
      </w:r>
      <w:r>
        <w:rPr/>
        <w:t>surplus of</w:t>
      </w:r>
      <w:r>
        <w:rPr>
          <w:spacing w:val="-2"/>
        </w:rPr>
        <w:t> </w:t>
      </w:r>
      <w:r>
        <w:rPr/>
        <w:t>£975,000,</w:t>
      </w:r>
      <w:r>
        <w:rPr>
          <w:spacing w:val="-2"/>
        </w:rPr>
        <w:t> </w:t>
      </w:r>
      <w:r>
        <w:rPr/>
        <w:t>has net</w:t>
      </w:r>
      <w:r>
        <w:rPr>
          <w:spacing w:val="-2"/>
        </w:rPr>
        <w:t> </w:t>
      </w:r>
      <w:r>
        <w:rPr/>
        <w:t>current</w:t>
      </w:r>
      <w:r>
        <w:rPr>
          <w:spacing w:val="-2"/>
        </w:rPr>
        <w:t> </w:t>
      </w:r>
      <w:r>
        <w:rPr/>
        <w:t>assets of £2,485,000</w:t>
      </w:r>
      <w:r>
        <w:rPr>
          <w:spacing w:val="-2"/>
        </w:rPr>
        <w:t> </w:t>
      </w:r>
      <w:r>
        <w:rPr/>
        <w:t>and</w:t>
      </w:r>
      <w:r>
        <w:rPr>
          <w:spacing w:val="-2"/>
        </w:rPr>
        <w:t> </w:t>
      </w:r>
      <w:r>
        <w:rPr/>
        <w:t>net</w:t>
      </w:r>
      <w:r>
        <w:rPr>
          <w:spacing w:val="-2"/>
        </w:rPr>
        <w:t> </w:t>
      </w:r>
      <w:r>
        <w:rPr/>
        <w:t>assets of</w:t>
      </w:r>
      <w:r>
        <w:rPr>
          <w:spacing w:val="-2"/>
        </w:rPr>
        <w:t> </w:t>
      </w:r>
      <w:r>
        <w:rPr/>
        <w:t>£20,385,000.</w:t>
      </w:r>
      <w:r>
        <w:rPr>
          <w:spacing w:val="-1"/>
        </w:rPr>
        <w:t> </w:t>
      </w:r>
      <w:r>
        <w:rPr/>
        <w:t>The College</w:t>
      </w:r>
      <w:r>
        <w:rPr>
          <w:spacing w:val="-4"/>
        </w:rPr>
        <w:t> </w:t>
      </w:r>
      <w:r>
        <w:rPr/>
        <w:t>group</w:t>
      </w:r>
      <w:r>
        <w:rPr>
          <w:spacing w:val="-4"/>
        </w:rPr>
        <w:t> </w:t>
      </w:r>
      <w:r>
        <w:rPr/>
        <w:t>has</w:t>
      </w:r>
      <w:r>
        <w:rPr>
          <w:spacing w:val="-3"/>
        </w:rPr>
        <w:t> </w:t>
      </w:r>
      <w:r>
        <w:rPr/>
        <w:t>a</w:t>
      </w:r>
      <w:r>
        <w:rPr>
          <w:spacing w:val="-4"/>
        </w:rPr>
        <w:t> </w:t>
      </w:r>
      <w:r>
        <w:rPr/>
        <w:t>strong</w:t>
      </w:r>
      <w:r>
        <w:rPr>
          <w:spacing w:val="-2"/>
        </w:rPr>
        <w:t> </w:t>
      </w:r>
      <w:r>
        <w:rPr/>
        <w:t>level</w:t>
      </w:r>
      <w:r>
        <w:rPr>
          <w:spacing w:val="-3"/>
        </w:rPr>
        <w:t> </w:t>
      </w:r>
      <w:r>
        <w:rPr/>
        <w:t>of</w:t>
      </w:r>
      <w:r>
        <w:rPr>
          <w:spacing w:val="-4"/>
        </w:rPr>
        <w:t> </w:t>
      </w:r>
      <w:r>
        <w:rPr/>
        <w:t>liquidity,</w:t>
      </w:r>
      <w:r>
        <w:rPr>
          <w:spacing w:val="-4"/>
        </w:rPr>
        <w:t> </w:t>
      </w:r>
      <w:r>
        <w:rPr/>
        <w:t>with</w:t>
      </w:r>
      <w:r>
        <w:rPr>
          <w:spacing w:val="-4"/>
        </w:rPr>
        <w:t> </w:t>
      </w:r>
      <w:r>
        <w:rPr/>
        <w:t>a</w:t>
      </w:r>
      <w:r>
        <w:rPr>
          <w:spacing w:val="-4"/>
        </w:rPr>
        <w:t> </w:t>
      </w:r>
      <w:r>
        <w:rPr/>
        <w:t>closing</w:t>
      </w:r>
      <w:r>
        <w:rPr>
          <w:spacing w:val="-4"/>
        </w:rPr>
        <w:t> </w:t>
      </w:r>
      <w:r>
        <w:rPr/>
        <w:t>bank</w:t>
      </w:r>
      <w:r>
        <w:rPr>
          <w:spacing w:val="-3"/>
        </w:rPr>
        <w:t> </w:t>
      </w:r>
      <w:r>
        <w:rPr/>
        <w:t>balance</w:t>
      </w:r>
      <w:r>
        <w:rPr>
          <w:spacing w:val="-4"/>
        </w:rPr>
        <w:t> </w:t>
      </w:r>
      <w:r>
        <w:rPr/>
        <w:t>of</w:t>
      </w:r>
      <w:r>
        <w:rPr>
          <w:spacing w:val="-2"/>
        </w:rPr>
        <w:t> </w:t>
      </w:r>
      <w:r>
        <w:rPr/>
        <w:t>£8,421,000</w:t>
      </w:r>
      <w:r>
        <w:rPr>
          <w:spacing w:val="-3"/>
        </w:rPr>
        <w:t> </w:t>
      </w:r>
      <w:r>
        <w:rPr/>
        <w:t>and</w:t>
      </w:r>
      <w:r>
        <w:rPr>
          <w:spacing w:val="-4"/>
        </w:rPr>
        <w:t> </w:t>
      </w:r>
      <w:r>
        <w:rPr/>
        <w:t>no</w:t>
      </w:r>
      <w:r>
        <w:rPr>
          <w:spacing w:val="-2"/>
        </w:rPr>
        <w:t> </w:t>
      </w:r>
      <w:r>
        <w:rPr/>
        <w:t>external borrowings. The College maintains robust forecasts, which expect to see this position continue. Accordingly,</w:t>
      </w:r>
      <w:r>
        <w:rPr>
          <w:spacing w:val="-11"/>
        </w:rPr>
        <w:t> </w:t>
      </w:r>
      <w:r>
        <w:rPr/>
        <w:t>the</w:t>
      </w:r>
      <w:r>
        <w:rPr>
          <w:spacing w:val="-11"/>
        </w:rPr>
        <w:t> </w:t>
      </w:r>
      <w:r>
        <w:rPr/>
        <w:t>College</w:t>
      </w:r>
      <w:r>
        <w:rPr>
          <w:spacing w:val="-11"/>
        </w:rPr>
        <w:t> </w:t>
      </w:r>
      <w:r>
        <w:rPr/>
        <w:t>group</w:t>
      </w:r>
      <w:r>
        <w:rPr>
          <w:spacing w:val="-9"/>
        </w:rPr>
        <w:t> </w:t>
      </w:r>
      <w:r>
        <w:rPr/>
        <w:t>has</w:t>
      </w:r>
      <w:r>
        <w:rPr>
          <w:spacing w:val="-10"/>
        </w:rPr>
        <w:t> </w:t>
      </w:r>
      <w:r>
        <w:rPr/>
        <w:t>a</w:t>
      </w:r>
      <w:r>
        <w:rPr>
          <w:spacing w:val="-11"/>
        </w:rPr>
        <w:t> </w:t>
      </w:r>
      <w:r>
        <w:rPr/>
        <w:t>reasonable</w:t>
      </w:r>
      <w:r>
        <w:rPr>
          <w:spacing w:val="-11"/>
        </w:rPr>
        <w:t> </w:t>
      </w:r>
      <w:r>
        <w:rPr/>
        <w:t>expectation</w:t>
      </w:r>
      <w:r>
        <w:rPr>
          <w:spacing w:val="-11"/>
        </w:rPr>
        <w:t> </w:t>
      </w:r>
      <w:r>
        <w:rPr/>
        <w:t>that</w:t>
      </w:r>
      <w:r>
        <w:rPr>
          <w:spacing w:val="-11"/>
        </w:rPr>
        <w:t> </w:t>
      </w:r>
      <w:r>
        <w:rPr/>
        <w:t>it</w:t>
      </w:r>
      <w:r>
        <w:rPr>
          <w:spacing w:val="-9"/>
        </w:rPr>
        <w:t> </w:t>
      </w:r>
      <w:r>
        <w:rPr/>
        <w:t>has</w:t>
      </w:r>
      <w:r>
        <w:rPr>
          <w:spacing w:val="-10"/>
        </w:rPr>
        <w:t> </w:t>
      </w:r>
      <w:r>
        <w:rPr/>
        <w:t>adequate</w:t>
      </w:r>
      <w:r>
        <w:rPr>
          <w:spacing w:val="-9"/>
        </w:rPr>
        <w:t> </w:t>
      </w:r>
      <w:r>
        <w:rPr/>
        <w:t>resources</w:t>
      </w:r>
      <w:r>
        <w:rPr>
          <w:spacing w:val="-10"/>
        </w:rPr>
        <w:t> </w:t>
      </w:r>
      <w:r>
        <w:rPr/>
        <w:t>to</w:t>
      </w:r>
      <w:r>
        <w:rPr>
          <w:spacing w:val="-11"/>
        </w:rPr>
        <w:t> </w:t>
      </w:r>
      <w:r>
        <w:rPr/>
        <w:t>continue in operational existence for the period to at least 31 July 2025, the period of our current financial plan.</w:t>
      </w:r>
    </w:p>
    <w:p>
      <w:pPr>
        <w:pStyle w:val="BodyText"/>
        <w:spacing w:before="2"/>
      </w:pPr>
    </w:p>
    <w:p>
      <w:pPr>
        <w:pStyle w:val="BodyText"/>
        <w:ind w:left="852" w:right="708"/>
        <w:jc w:val="both"/>
      </w:pPr>
      <w:r>
        <w:rPr/>
        <w:t>Accordingly,</w:t>
      </w:r>
      <w:r>
        <w:rPr>
          <w:spacing w:val="-11"/>
        </w:rPr>
        <w:t> </w:t>
      </w:r>
      <w:r>
        <w:rPr/>
        <w:t>the</w:t>
      </w:r>
      <w:r>
        <w:rPr>
          <w:spacing w:val="-11"/>
        </w:rPr>
        <w:t> </w:t>
      </w:r>
      <w:r>
        <w:rPr/>
        <w:t>College</w:t>
      </w:r>
      <w:r>
        <w:rPr>
          <w:spacing w:val="-11"/>
        </w:rPr>
        <w:t> </w:t>
      </w:r>
      <w:r>
        <w:rPr/>
        <w:t>group</w:t>
      </w:r>
      <w:r>
        <w:rPr>
          <w:spacing w:val="-9"/>
        </w:rPr>
        <w:t> </w:t>
      </w:r>
      <w:r>
        <w:rPr/>
        <w:t>has</w:t>
      </w:r>
      <w:r>
        <w:rPr>
          <w:spacing w:val="-10"/>
        </w:rPr>
        <w:t> </w:t>
      </w:r>
      <w:r>
        <w:rPr/>
        <w:t>a</w:t>
      </w:r>
      <w:r>
        <w:rPr>
          <w:spacing w:val="-11"/>
        </w:rPr>
        <w:t> </w:t>
      </w:r>
      <w:r>
        <w:rPr/>
        <w:t>reasonable</w:t>
      </w:r>
      <w:r>
        <w:rPr>
          <w:spacing w:val="-11"/>
        </w:rPr>
        <w:t> </w:t>
      </w:r>
      <w:r>
        <w:rPr/>
        <w:t>expectation</w:t>
      </w:r>
      <w:r>
        <w:rPr>
          <w:spacing w:val="-11"/>
        </w:rPr>
        <w:t> </w:t>
      </w:r>
      <w:r>
        <w:rPr/>
        <w:t>that</w:t>
      </w:r>
      <w:r>
        <w:rPr>
          <w:spacing w:val="-11"/>
        </w:rPr>
        <w:t> </w:t>
      </w:r>
      <w:r>
        <w:rPr/>
        <w:t>it</w:t>
      </w:r>
      <w:r>
        <w:rPr>
          <w:spacing w:val="-9"/>
        </w:rPr>
        <w:t> </w:t>
      </w:r>
      <w:r>
        <w:rPr/>
        <w:t>has</w:t>
      </w:r>
      <w:r>
        <w:rPr>
          <w:spacing w:val="-10"/>
        </w:rPr>
        <w:t> </w:t>
      </w:r>
      <w:r>
        <w:rPr/>
        <w:t>adequate</w:t>
      </w:r>
      <w:r>
        <w:rPr>
          <w:spacing w:val="-9"/>
        </w:rPr>
        <w:t> </w:t>
      </w:r>
      <w:r>
        <w:rPr/>
        <w:t>resources</w:t>
      </w:r>
      <w:r>
        <w:rPr>
          <w:spacing w:val="-10"/>
        </w:rPr>
        <w:t> </w:t>
      </w:r>
      <w:r>
        <w:rPr/>
        <w:t>to</w:t>
      </w:r>
      <w:r>
        <w:rPr>
          <w:spacing w:val="-11"/>
        </w:rPr>
        <w:t> </w:t>
      </w:r>
      <w:r>
        <w:rPr/>
        <w:t>continue in operational existence for the period to at least 31 July 2025, the period of our current financial plan and</w:t>
      </w:r>
      <w:r>
        <w:rPr>
          <w:spacing w:val="-3"/>
        </w:rPr>
        <w:t> </w:t>
      </w:r>
      <w:r>
        <w:rPr/>
        <w:t>cashflow</w:t>
      </w:r>
      <w:r>
        <w:rPr>
          <w:spacing w:val="-3"/>
        </w:rPr>
        <w:t> </w:t>
      </w:r>
      <w:r>
        <w:rPr/>
        <w:t>and</w:t>
      </w:r>
      <w:r>
        <w:rPr>
          <w:spacing w:val="-1"/>
        </w:rPr>
        <w:t> </w:t>
      </w:r>
      <w:r>
        <w:rPr/>
        <w:t>for</w:t>
      </w:r>
      <w:r>
        <w:rPr>
          <w:spacing w:val="-2"/>
        </w:rPr>
        <w:t> </w:t>
      </w:r>
      <w:r>
        <w:rPr/>
        <w:t>this</w:t>
      </w:r>
      <w:r>
        <w:rPr>
          <w:spacing w:val="-2"/>
        </w:rPr>
        <w:t> </w:t>
      </w:r>
      <w:r>
        <w:rPr/>
        <w:t>reason</w:t>
      </w:r>
      <w:r>
        <w:rPr>
          <w:spacing w:val="-3"/>
        </w:rPr>
        <w:t> </w:t>
      </w:r>
      <w:r>
        <w:rPr/>
        <w:t>will</w:t>
      </w:r>
      <w:r>
        <w:rPr>
          <w:spacing w:val="-4"/>
        </w:rPr>
        <w:t> </w:t>
      </w:r>
      <w:r>
        <w:rPr/>
        <w:t>continue</w:t>
      </w:r>
      <w:r>
        <w:rPr>
          <w:spacing w:val="-1"/>
        </w:rPr>
        <w:t> </w:t>
      </w:r>
      <w:r>
        <w:rPr/>
        <w:t>to</w:t>
      </w:r>
      <w:r>
        <w:rPr>
          <w:spacing w:val="-1"/>
        </w:rPr>
        <w:t> </w:t>
      </w:r>
      <w:r>
        <w:rPr/>
        <w:t>adopt the</w:t>
      </w:r>
      <w:r>
        <w:rPr>
          <w:spacing w:val="-1"/>
        </w:rPr>
        <w:t> </w:t>
      </w:r>
      <w:r>
        <w:rPr/>
        <w:t>going</w:t>
      </w:r>
      <w:r>
        <w:rPr>
          <w:spacing w:val="-1"/>
        </w:rPr>
        <w:t> </w:t>
      </w:r>
      <w:r>
        <w:rPr/>
        <w:t>concern</w:t>
      </w:r>
      <w:r>
        <w:rPr>
          <w:spacing w:val="-1"/>
        </w:rPr>
        <w:t> </w:t>
      </w:r>
      <w:r>
        <w:rPr/>
        <w:t>basis in</w:t>
      </w:r>
      <w:r>
        <w:rPr>
          <w:spacing w:val="-1"/>
        </w:rPr>
        <w:t> </w:t>
      </w:r>
      <w:r>
        <w:rPr/>
        <w:t>the</w:t>
      </w:r>
      <w:r>
        <w:rPr>
          <w:spacing w:val="-3"/>
        </w:rPr>
        <w:t> </w:t>
      </w:r>
      <w:r>
        <w:rPr/>
        <w:t>preparation</w:t>
      </w:r>
      <w:r>
        <w:rPr>
          <w:spacing w:val="-3"/>
        </w:rPr>
        <w:t> </w:t>
      </w:r>
      <w:r>
        <w:rPr/>
        <w:t>of</w:t>
      </w:r>
      <w:r>
        <w:rPr>
          <w:spacing w:val="-3"/>
        </w:rPr>
        <w:t> </w:t>
      </w:r>
      <w:r>
        <w:rPr/>
        <w:t>its Financial Statements. In December 2023, the College agreed a 14-month repayment schedule in relation</w:t>
      </w:r>
      <w:r>
        <w:rPr>
          <w:spacing w:val="-9"/>
        </w:rPr>
        <w:t> </w:t>
      </w:r>
      <w:r>
        <w:rPr/>
        <w:t>to</w:t>
      </w:r>
      <w:r>
        <w:rPr>
          <w:spacing w:val="-9"/>
        </w:rPr>
        <w:t> </w:t>
      </w:r>
      <w:r>
        <w:rPr/>
        <w:t>the</w:t>
      </w:r>
      <w:r>
        <w:rPr>
          <w:spacing w:val="-9"/>
        </w:rPr>
        <w:t> </w:t>
      </w:r>
      <w:r>
        <w:rPr/>
        <w:t>ESFA</w:t>
      </w:r>
      <w:r>
        <w:rPr>
          <w:spacing w:val="-10"/>
        </w:rPr>
        <w:t> </w:t>
      </w:r>
      <w:r>
        <w:rPr/>
        <w:t>funding</w:t>
      </w:r>
      <w:r>
        <w:rPr>
          <w:spacing w:val="-11"/>
        </w:rPr>
        <w:t> </w:t>
      </w:r>
      <w:r>
        <w:rPr/>
        <w:t>assurance</w:t>
      </w:r>
      <w:r>
        <w:rPr>
          <w:spacing w:val="-9"/>
        </w:rPr>
        <w:t> </w:t>
      </w:r>
      <w:r>
        <w:rPr/>
        <w:t>review</w:t>
      </w:r>
      <w:r>
        <w:rPr>
          <w:spacing w:val="-8"/>
        </w:rPr>
        <w:t> </w:t>
      </w:r>
      <w:r>
        <w:rPr/>
        <w:t>liability.</w:t>
      </w:r>
      <w:r>
        <w:rPr>
          <w:spacing w:val="-9"/>
        </w:rPr>
        <w:t> </w:t>
      </w:r>
      <w:r>
        <w:rPr/>
        <w:t>The</w:t>
      </w:r>
      <w:r>
        <w:rPr>
          <w:spacing w:val="-9"/>
        </w:rPr>
        <w:t> </w:t>
      </w:r>
      <w:r>
        <w:rPr/>
        <w:t>College</w:t>
      </w:r>
      <w:r>
        <w:rPr>
          <w:spacing w:val="-9"/>
        </w:rPr>
        <w:t> </w:t>
      </w:r>
      <w:r>
        <w:rPr/>
        <w:t>do</w:t>
      </w:r>
      <w:r>
        <w:rPr>
          <w:spacing w:val="-9"/>
        </w:rPr>
        <w:t> </w:t>
      </w:r>
      <w:r>
        <w:rPr/>
        <w:t>not</w:t>
      </w:r>
      <w:r>
        <w:rPr>
          <w:spacing w:val="-9"/>
        </w:rPr>
        <w:t> </w:t>
      </w:r>
      <w:r>
        <w:rPr/>
        <w:t>foresee</w:t>
      </w:r>
      <w:r>
        <w:rPr>
          <w:spacing w:val="-9"/>
        </w:rPr>
        <w:t> </w:t>
      </w:r>
      <w:r>
        <w:rPr/>
        <w:t>any</w:t>
      </w:r>
      <w:r>
        <w:rPr>
          <w:spacing w:val="-10"/>
        </w:rPr>
        <w:t> </w:t>
      </w:r>
      <w:r>
        <w:rPr/>
        <w:t>future</w:t>
      </w:r>
      <w:r>
        <w:rPr>
          <w:spacing w:val="-9"/>
        </w:rPr>
        <w:t> </w:t>
      </w:r>
      <w:r>
        <w:rPr/>
        <w:t>difficulties in relation to its operational trading performance going forwards.</w:t>
      </w:r>
    </w:p>
    <w:p>
      <w:pPr>
        <w:pStyle w:val="Heading6"/>
        <w:spacing w:before="120"/>
      </w:pPr>
      <w:r>
        <w:rPr/>
        <w:t>Recognition</w:t>
      </w:r>
      <w:r>
        <w:rPr>
          <w:spacing w:val="-9"/>
        </w:rPr>
        <w:t> </w:t>
      </w:r>
      <w:r>
        <w:rPr/>
        <w:t>of</w:t>
      </w:r>
      <w:r>
        <w:rPr>
          <w:spacing w:val="-9"/>
        </w:rPr>
        <w:t> </w:t>
      </w:r>
      <w:r>
        <w:rPr>
          <w:spacing w:val="-2"/>
        </w:rPr>
        <w:t>income</w:t>
      </w:r>
    </w:p>
    <w:p>
      <w:pPr>
        <w:spacing w:before="121"/>
        <w:ind w:left="852" w:right="0" w:firstLine="0"/>
        <w:jc w:val="both"/>
        <w:rPr>
          <w:b/>
          <w:sz w:val="20"/>
        </w:rPr>
      </w:pPr>
      <w:r>
        <w:rPr>
          <w:b/>
          <w:sz w:val="20"/>
        </w:rPr>
        <w:t>Grants</w:t>
      </w:r>
      <w:r>
        <w:rPr>
          <w:b/>
          <w:spacing w:val="-8"/>
          <w:sz w:val="20"/>
        </w:rPr>
        <w:t> </w:t>
      </w:r>
      <w:r>
        <w:rPr>
          <w:b/>
          <w:sz w:val="20"/>
        </w:rPr>
        <w:t>–</w:t>
      </w:r>
      <w:r>
        <w:rPr>
          <w:b/>
          <w:spacing w:val="-8"/>
          <w:sz w:val="20"/>
        </w:rPr>
        <w:t> </w:t>
      </w:r>
      <w:r>
        <w:rPr>
          <w:b/>
          <w:sz w:val="20"/>
        </w:rPr>
        <w:t>government</w:t>
      </w:r>
      <w:r>
        <w:rPr>
          <w:b/>
          <w:spacing w:val="-7"/>
          <w:sz w:val="20"/>
        </w:rPr>
        <w:t> </w:t>
      </w:r>
      <w:r>
        <w:rPr>
          <w:b/>
          <w:sz w:val="20"/>
        </w:rPr>
        <w:t>and</w:t>
      </w:r>
      <w:r>
        <w:rPr>
          <w:b/>
          <w:spacing w:val="-5"/>
          <w:sz w:val="20"/>
        </w:rPr>
        <w:t> </w:t>
      </w:r>
      <w:r>
        <w:rPr>
          <w:b/>
          <w:sz w:val="20"/>
        </w:rPr>
        <w:t>non-</w:t>
      </w:r>
      <w:r>
        <w:rPr>
          <w:b/>
          <w:spacing w:val="-2"/>
          <w:sz w:val="20"/>
        </w:rPr>
        <w:t>government</w:t>
      </w:r>
    </w:p>
    <w:p>
      <w:pPr>
        <w:pStyle w:val="BodyText"/>
        <w:spacing w:before="118"/>
        <w:ind w:left="851" w:right="709"/>
        <w:jc w:val="both"/>
      </w:pPr>
      <w:r>
        <w:rPr/>
        <w:t>Government revenue grants are accounted for under the accrual model and are recognised where a reliable</w:t>
      </w:r>
      <w:r>
        <w:rPr>
          <w:spacing w:val="-8"/>
        </w:rPr>
        <w:t> </w:t>
      </w:r>
      <w:r>
        <w:rPr/>
        <w:t>estimate</w:t>
      </w:r>
      <w:r>
        <w:rPr>
          <w:spacing w:val="-8"/>
        </w:rPr>
        <w:t> </w:t>
      </w:r>
      <w:r>
        <w:rPr/>
        <w:t>of</w:t>
      </w:r>
      <w:r>
        <w:rPr>
          <w:spacing w:val="-6"/>
        </w:rPr>
        <w:t> </w:t>
      </w:r>
      <w:r>
        <w:rPr/>
        <w:t>the</w:t>
      </w:r>
      <w:r>
        <w:rPr>
          <w:spacing w:val="-7"/>
        </w:rPr>
        <w:t> </w:t>
      </w:r>
      <w:r>
        <w:rPr/>
        <w:t>fair</w:t>
      </w:r>
      <w:r>
        <w:rPr>
          <w:spacing w:val="-5"/>
        </w:rPr>
        <w:t> </w:t>
      </w:r>
      <w:r>
        <w:rPr/>
        <w:t>value</w:t>
      </w:r>
      <w:r>
        <w:rPr>
          <w:spacing w:val="-7"/>
        </w:rPr>
        <w:t> </w:t>
      </w:r>
      <w:r>
        <w:rPr/>
        <w:t>of</w:t>
      </w:r>
      <w:r>
        <w:rPr>
          <w:spacing w:val="-8"/>
        </w:rPr>
        <w:t> </w:t>
      </w:r>
      <w:r>
        <w:rPr/>
        <w:t>the</w:t>
      </w:r>
      <w:r>
        <w:rPr>
          <w:spacing w:val="-8"/>
        </w:rPr>
        <w:t> </w:t>
      </w:r>
      <w:r>
        <w:rPr/>
        <w:t>asset</w:t>
      </w:r>
      <w:r>
        <w:rPr>
          <w:spacing w:val="-8"/>
        </w:rPr>
        <w:t> </w:t>
      </w:r>
      <w:r>
        <w:rPr/>
        <w:t>received</w:t>
      </w:r>
      <w:r>
        <w:rPr>
          <w:spacing w:val="-7"/>
        </w:rPr>
        <w:t> </w:t>
      </w:r>
      <w:r>
        <w:rPr/>
        <w:t>or</w:t>
      </w:r>
      <w:r>
        <w:rPr>
          <w:spacing w:val="-8"/>
        </w:rPr>
        <w:t> </w:t>
      </w:r>
      <w:r>
        <w:rPr/>
        <w:t>receivable</w:t>
      </w:r>
      <w:r>
        <w:rPr>
          <w:spacing w:val="-8"/>
        </w:rPr>
        <w:t> </w:t>
      </w:r>
      <w:r>
        <w:rPr/>
        <w:t>can</w:t>
      </w:r>
      <w:r>
        <w:rPr>
          <w:spacing w:val="-8"/>
        </w:rPr>
        <w:t> </w:t>
      </w:r>
      <w:r>
        <w:rPr/>
        <w:t>be</w:t>
      </w:r>
      <w:r>
        <w:rPr>
          <w:spacing w:val="-7"/>
        </w:rPr>
        <w:t> </w:t>
      </w:r>
      <w:r>
        <w:rPr/>
        <w:t>made</w:t>
      </w:r>
      <w:r>
        <w:rPr>
          <w:spacing w:val="-7"/>
        </w:rPr>
        <w:t> </w:t>
      </w:r>
      <w:r>
        <w:rPr/>
        <w:t>on</w:t>
      </w:r>
      <w:r>
        <w:rPr>
          <w:spacing w:val="-8"/>
        </w:rPr>
        <w:t> </w:t>
      </w:r>
      <w:r>
        <w:rPr/>
        <w:t>a</w:t>
      </w:r>
      <w:r>
        <w:rPr>
          <w:spacing w:val="-8"/>
        </w:rPr>
        <w:t> </w:t>
      </w:r>
      <w:r>
        <w:rPr/>
        <w:t>systematic</w:t>
      </w:r>
      <w:r>
        <w:rPr>
          <w:spacing w:val="-7"/>
        </w:rPr>
        <w:t> </w:t>
      </w:r>
      <w:r>
        <w:rPr/>
        <w:t>basis over the periods in which the related costs for which the grant compensates are recognised.</w:t>
      </w:r>
    </w:p>
    <w:p>
      <w:pPr>
        <w:pStyle w:val="BodyText"/>
        <w:spacing w:before="2"/>
      </w:pPr>
    </w:p>
    <w:p>
      <w:pPr>
        <w:pStyle w:val="BodyText"/>
        <w:ind w:left="851" w:right="708"/>
        <w:jc w:val="both"/>
      </w:pPr>
      <w:r>
        <w:rPr/>
        <w:t>Funding</w:t>
      </w:r>
      <w:r>
        <w:rPr>
          <w:spacing w:val="-11"/>
        </w:rPr>
        <w:t> </w:t>
      </w:r>
      <w:r>
        <w:rPr/>
        <w:t>body</w:t>
      </w:r>
      <w:r>
        <w:rPr>
          <w:spacing w:val="-12"/>
        </w:rPr>
        <w:t> </w:t>
      </w:r>
      <w:r>
        <w:rPr/>
        <w:t>recurrent</w:t>
      </w:r>
      <w:r>
        <w:rPr>
          <w:spacing w:val="-11"/>
        </w:rPr>
        <w:t> </w:t>
      </w:r>
      <w:r>
        <w:rPr/>
        <w:t>grants</w:t>
      </w:r>
      <w:r>
        <w:rPr>
          <w:spacing w:val="-12"/>
        </w:rPr>
        <w:t> </w:t>
      </w:r>
      <w:r>
        <w:rPr/>
        <w:t>are</w:t>
      </w:r>
      <w:r>
        <w:rPr>
          <w:spacing w:val="-14"/>
        </w:rPr>
        <w:t> </w:t>
      </w:r>
      <w:r>
        <w:rPr/>
        <w:t>measured</w:t>
      </w:r>
      <w:r>
        <w:rPr>
          <w:spacing w:val="-11"/>
        </w:rPr>
        <w:t> </w:t>
      </w:r>
      <w:r>
        <w:rPr/>
        <w:t>in</w:t>
      </w:r>
      <w:r>
        <w:rPr>
          <w:spacing w:val="-11"/>
        </w:rPr>
        <w:t> </w:t>
      </w:r>
      <w:r>
        <w:rPr/>
        <w:t>line</w:t>
      </w:r>
      <w:r>
        <w:rPr>
          <w:spacing w:val="-14"/>
        </w:rPr>
        <w:t> </w:t>
      </w:r>
      <w:r>
        <w:rPr/>
        <w:t>with</w:t>
      </w:r>
      <w:r>
        <w:rPr>
          <w:spacing w:val="-14"/>
        </w:rPr>
        <w:t> </w:t>
      </w:r>
      <w:r>
        <w:rPr/>
        <w:t>best</w:t>
      </w:r>
      <w:r>
        <w:rPr>
          <w:spacing w:val="-14"/>
        </w:rPr>
        <w:t> </w:t>
      </w:r>
      <w:r>
        <w:rPr/>
        <w:t>estimates</w:t>
      </w:r>
      <w:r>
        <w:rPr>
          <w:spacing w:val="-11"/>
        </w:rPr>
        <w:t> </w:t>
      </w:r>
      <w:r>
        <w:rPr/>
        <w:t>for</w:t>
      </w:r>
      <w:r>
        <w:rPr>
          <w:spacing w:val="-13"/>
        </w:rPr>
        <w:t> </w:t>
      </w:r>
      <w:r>
        <w:rPr/>
        <w:t>the</w:t>
      </w:r>
      <w:r>
        <w:rPr>
          <w:spacing w:val="-14"/>
        </w:rPr>
        <w:t> </w:t>
      </w:r>
      <w:r>
        <w:rPr/>
        <w:t>year</w:t>
      </w:r>
      <w:r>
        <w:rPr>
          <w:spacing w:val="-13"/>
        </w:rPr>
        <w:t> </w:t>
      </w:r>
      <w:r>
        <w:rPr/>
        <w:t>of</w:t>
      </w:r>
      <w:r>
        <w:rPr>
          <w:spacing w:val="-14"/>
        </w:rPr>
        <w:t> </w:t>
      </w:r>
      <w:r>
        <w:rPr/>
        <w:t>what</w:t>
      </w:r>
      <w:r>
        <w:rPr>
          <w:spacing w:val="-11"/>
        </w:rPr>
        <w:t> </w:t>
      </w:r>
      <w:r>
        <w:rPr/>
        <w:t>is</w:t>
      </w:r>
      <w:r>
        <w:rPr>
          <w:spacing w:val="-12"/>
        </w:rPr>
        <w:t> </w:t>
      </w:r>
      <w:r>
        <w:rPr/>
        <w:t>receivable and depend on the particular income stream involved. Any under achievement of the Adult Education Budget</w:t>
      </w:r>
      <w:r>
        <w:rPr>
          <w:spacing w:val="-6"/>
        </w:rPr>
        <w:t> </w:t>
      </w:r>
      <w:r>
        <w:rPr/>
        <w:t>(outside</w:t>
      </w:r>
      <w:r>
        <w:rPr>
          <w:spacing w:val="-7"/>
        </w:rPr>
        <w:t> </w:t>
      </w:r>
      <w:r>
        <w:rPr/>
        <w:t>of</w:t>
      </w:r>
      <w:r>
        <w:rPr>
          <w:spacing w:val="-6"/>
        </w:rPr>
        <w:t> </w:t>
      </w:r>
      <w:r>
        <w:rPr/>
        <w:t>permitted</w:t>
      </w:r>
      <w:r>
        <w:rPr>
          <w:spacing w:val="-9"/>
        </w:rPr>
        <w:t> </w:t>
      </w:r>
      <w:r>
        <w:rPr/>
        <w:t>tolerance</w:t>
      </w:r>
      <w:r>
        <w:rPr>
          <w:spacing w:val="-7"/>
        </w:rPr>
        <w:t> </w:t>
      </w:r>
      <w:r>
        <w:rPr/>
        <w:t>levels)</w:t>
      </w:r>
      <w:r>
        <w:rPr>
          <w:spacing w:val="-5"/>
        </w:rPr>
        <w:t> </w:t>
      </w:r>
      <w:r>
        <w:rPr/>
        <w:t>is</w:t>
      </w:r>
      <w:r>
        <w:rPr>
          <w:spacing w:val="-7"/>
        </w:rPr>
        <w:t> </w:t>
      </w:r>
      <w:r>
        <w:rPr/>
        <w:t>adjusted</w:t>
      </w:r>
      <w:r>
        <w:rPr>
          <w:spacing w:val="-9"/>
        </w:rPr>
        <w:t> </w:t>
      </w:r>
      <w:r>
        <w:rPr/>
        <w:t>for</w:t>
      </w:r>
      <w:r>
        <w:rPr>
          <w:spacing w:val="-8"/>
        </w:rPr>
        <w:t> </w:t>
      </w:r>
      <w:r>
        <w:rPr/>
        <w:t>and</w:t>
      </w:r>
      <w:r>
        <w:rPr>
          <w:spacing w:val="-9"/>
        </w:rPr>
        <w:t> </w:t>
      </w:r>
      <w:r>
        <w:rPr/>
        <w:t>reflected</w:t>
      </w:r>
      <w:r>
        <w:rPr>
          <w:spacing w:val="-7"/>
        </w:rPr>
        <w:t> </w:t>
      </w:r>
      <w:r>
        <w:rPr/>
        <w:t>in</w:t>
      </w:r>
      <w:r>
        <w:rPr>
          <w:spacing w:val="-7"/>
        </w:rPr>
        <w:t> </w:t>
      </w:r>
      <w:r>
        <w:rPr/>
        <w:t>the</w:t>
      </w:r>
      <w:r>
        <w:rPr>
          <w:spacing w:val="-7"/>
        </w:rPr>
        <w:t> </w:t>
      </w:r>
      <w:r>
        <w:rPr/>
        <w:t>level</w:t>
      </w:r>
      <w:r>
        <w:rPr>
          <w:spacing w:val="-9"/>
        </w:rPr>
        <w:t> </w:t>
      </w:r>
      <w:r>
        <w:rPr/>
        <w:t>of</w:t>
      </w:r>
      <w:r>
        <w:rPr>
          <w:spacing w:val="-6"/>
        </w:rPr>
        <w:t> </w:t>
      </w:r>
      <w:r>
        <w:rPr/>
        <w:t>recurrent</w:t>
      </w:r>
      <w:r>
        <w:rPr>
          <w:spacing w:val="-6"/>
        </w:rPr>
        <w:t> </w:t>
      </w:r>
      <w:r>
        <w:rPr/>
        <w:t>grant recognised</w:t>
      </w:r>
      <w:r>
        <w:rPr>
          <w:spacing w:val="-2"/>
        </w:rPr>
        <w:t> </w:t>
      </w:r>
      <w:r>
        <w:rPr/>
        <w:t>in</w:t>
      </w:r>
      <w:r>
        <w:rPr>
          <w:spacing w:val="-2"/>
        </w:rPr>
        <w:t> </w:t>
      </w:r>
      <w:r>
        <w:rPr/>
        <w:t>the Statement</w:t>
      </w:r>
      <w:r>
        <w:rPr>
          <w:spacing w:val="-2"/>
        </w:rPr>
        <w:t> </w:t>
      </w:r>
      <w:r>
        <w:rPr/>
        <w:t>of</w:t>
      </w:r>
      <w:r>
        <w:rPr>
          <w:spacing w:val="-2"/>
        </w:rPr>
        <w:t> </w:t>
      </w:r>
      <w:r>
        <w:rPr/>
        <w:t>Comprehensive</w:t>
      </w:r>
      <w:r>
        <w:rPr>
          <w:spacing w:val="-2"/>
        </w:rPr>
        <w:t> </w:t>
      </w:r>
      <w:r>
        <w:rPr/>
        <w:t>Income.</w:t>
      </w:r>
      <w:r>
        <w:rPr>
          <w:spacing w:val="-2"/>
        </w:rPr>
        <w:t> </w:t>
      </w:r>
      <w:r>
        <w:rPr/>
        <w:t>The</w:t>
      </w:r>
      <w:r>
        <w:rPr>
          <w:spacing w:val="-2"/>
        </w:rPr>
        <w:t> </w:t>
      </w:r>
      <w:r>
        <w:rPr/>
        <w:t>final grant income is normally determined with</w:t>
      </w:r>
      <w:r>
        <w:rPr>
          <w:spacing w:val="-1"/>
        </w:rPr>
        <w:t> </w:t>
      </w:r>
      <w:r>
        <w:rPr/>
        <w:t>the</w:t>
      </w:r>
      <w:r>
        <w:rPr>
          <w:spacing w:val="-3"/>
        </w:rPr>
        <w:t> </w:t>
      </w:r>
      <w:r>
        <w:rPr/>
        <w:t>conclusion</w:t>
      </w:r>
      <w:r>
        <w:rPr>
          <w:spacing w:val="-1"/>
        </w:rPr>
        <w:t> </w:t>
      </w:r>
      <w:r>
        <w:rPr/>
        <w:t>of</w:t>
      </w:r>
      <w:r>
        <w:rPr>
          <w:spacing w:val="-3"/>
        </w:rPr>
        <w:t> </w:t>
      </w:r>
      <w:r>
        <w:rPr/>
        <w:t>the</w:t>
      </w:r>
      <w:r>
        <w:rPr>
          <w:spacing w:val="-3"/>
        </w:rPr>
        <w:t> </w:t>
      </w:r>
      <w:r>
        <w:rPr/>
        <w:t>year</w:t>
      </w:r>
      <w:r>
        <w:rPr>
          <w:spacing w:val="-2"/>
        </w:rPr>
        <w:t> </w:t>
      </w:r>
      <w:r>
        <w:rPr/>
        <w:t>end</w:t>
      </w:r>
      <w:r>
        <w:rPr>
          <w:spacing w:val="-3"/>
        </w:rPr>
        <w:t> </w:t>
      </w:r>
      <w:r>
        <w:rPr/>
        <w:t>reconciliation</w:t>
      </w:r>
      <w:r>
        <w:rPr>
          <w:spacing w:val="-1"/>
        </w:rPr>
        <w:t> </w:t>
      </w:r>
      <w:r>
        <w:rPr/>
        <w:t>process</w:t>
      </w:r>
      <w:r>
        <w:rPr>
          <w:spacing w:val="-2"/>
        </w:rPr>
        <w:t> </w:t>
      </w:r>
      <w:r>
        <w:rPr/>
        <w:t>with</w:t>
      </w:r>
      <w:r>
        <w:rPr>
          <w:spacing w:val="-3"/>
        </w:rPr>
        <w:t> </w:t>
      </w:r>
      <w:r>
        <w:rPr/>
        <w:t>the</w:t>
      </w:r>
      <w:r>
        <w:rPr>
          <w:spacing w:val="-3"/>
        </w:rPr>
        <w:t> </w:t>
      </w:r>
      <w:r>
        <w:rPr/>
        <w:t>funding</w:t>
      </w:r>
      <w:r>
        <w:rPr>
          <w:spacing w:val="-3"/>
        </w:rPr>
        <w:t> </w:t>
      </w:r>
      <w:r>
        <w:rPr/>
        <w:t>body</w:t>
      </w:r>
      <w:r>
        <w:rPr>
          <w:spacing w:val="-2"/>
        </w:rPr>
        <w:t> </w:t>
      </w:r>
      <w:r>
        <w:rPr/>
        <w:t>following</w:t>
      </w:r>
      <w:r>
        <w:rPr>
          <w:spacing w:val="-3"/>
        </w:rPr>
        <w:t> </w:t>
      </w:r>
      <w:r>
        <w:rPr/>
        <w:t>the</w:t>
      </w:r>
      <w:r>
        <w:rPr>
          <w:spacing w:val="-3"/>
        </w:rPr>
        <w:t> </w:t>
      </w:r>
      <w:r>
        <w:rPr/>
        <w:t>year</w:t>
      </w:r>
      <w:r>
        <w:rPr>
          <w:spacing w:val="-2"/>
        </w:rPr>
        <w:t> </w:t>
      </w:r>
      <w:r>
        <w:rPr/>
        <w:t>end.</w:t>
      </w:r>
    </w:p>
    <w:p>
      <w:pPr>
        <w:pStyle w:val="BodyText"/>
      </w:pPr>
    </w:p>
    <w:p>
      <w:pPr>
        <w:pStyle w:val="BodyText"/>
        <w:ind w:left="851" w:right="709"/>
        <w:jc w:val="both"/>
      </w:pPr>
      <w:r>
        <w:rPr/>
        <w:t>16-18</w:t>
      </w:r>
      <w:r>
        <w:rPr>
          <w:spacing w:val="-5"/>
        </w:rPr>
        <w:t> </w:t>
      </w:r>
      <w:r>
        <w:rPr/>
        <w:t>learner-responsive</w:t>
      </w:r>
      <w:r>
        <w:rPr>
          <w:spacing w:val="-5"/>
        </w:rPr>
        <w:t> </w:t>
      </w:r>
      <w:r>
        <w:rPr/>
        <w:t>funding</w:t>
      </w:r>
      <w:r>
        <w:rPr>
          <w:spacing w:val="-5"/>
        </w:rPr>
        <w:t> </w:t>
      </w:r>
      <w:r>
        <w:rPr/>
        <w:t>is</w:t>
      </w:r>
      <w:r>
        <w:rPr>
          <w:spacing w:val="-6"/>
        </w:rPr>
        <w:t> </w:t>
      </w:r>
      <w:r>
        <w:rPr/>
        <w:t>not</w:t>
      </w:r>
      <w:r>
        <w:rPr>
          <w:spacing w:val="-5"/>
        </w:rPr>
        <w:t> </w:t>
      </w:r>
      <w:r>
        <w:rPr/>
        <w:t>normally</w:t>
      </w:r>
      <w:r>
        <w:rPr>
          <w:spacing w:val="-6"/>
        </w:rPr>
        <w:t> </w:t>
      </w:r>
      <w:r>
        <w:rPr/>
        <w:t>subject</w:t>
      </w:r>
      <w:r>
        <w:rPr>
          <w:spacing w:val="-7"/>
        </w:rPr>
        <w:t> </w:t>
      </w:r>
      <w:r>
        <w:rPr/>
        <w:t>to</w:t>
      </w:r>
      <w:r>
        <w:rPr>
          <w:spacing w:val="-7"/>
        </w:rPr>
        <w:t> </w:t>
      </w:r>
      <w:r>
        <w:rPr/>
        <w:t>reconciliation</w:t>
      </w:r>
      <w:r>
        <w:rPr>
          <w:spacing w:val="-5"/>
        </w:rPr>
        <w:t> </w:t>
      </w:r>
      <w:r>
        <w:rPr/>
        <w:t>and</w:t>
      </w:r>
      <w:r>
        <w:rPr>
          <w:spacing w:val="-5"/>
        </w:rPr>
        <w:t> </w:t>
      </w:r>
      <w:r>
        <w:rPr/>
        <w:t>is</w:t>
      </w:r>
      <w:r>
        <w:rPr>
          <w:spacing w:val="-6"/>
        </w:rPr>
        <w:t> </w:t>
      </w:r>
      <w:r>
        <w:rPr/>
        <w:t>therefore</w:t>
      </w:r>
      <w:r>
        <w:rPr>
          <w:spacing w:val="-5"/>
        </w:rPr>
        <w:t> </w:t>
      </w:r>
      <w:r>
        <w:rPr/>
        <w:t>not</w:t>
      </w:r>
      <w:r>
        <w:rPr>
          <w:spacing w:val="-7"/>
        </w:rPr>
        <w:t> </w:t>
      </w:r>
      <w:r>
        <w:rPr/>
        <w:t>subject</w:t>
      </w:r>
      <w:r>
        <w:rPr>
          <w:spacing w:val="-7"/>
        </w:rPr>
        <w:t> </w:t>
      </w:r>
      <w:r>
        <w:rPr/>
        <w:t>to contract adjustments and is recognised when receivable.</w:t>
      </w:r>
    </w:p>
    <w:p>
      <w:pPr>
        <w:pStyle w:val="BodyText"/>
        <w:spacing w:before="230"/>
        <w:ind w:left="851" w:right="709"/>
        <w:jc w:val="both"/>
      </w:pPr>
      <w:r>
        <w:rPr/>
        <w:t>The</w:t>
      </w:r>
      <w:r>
        <w:rPr>
          <w:spacing w:val="-14"/>
        </w:rPr>
        <w:t> </w:t>
      </w:r>
      <w:r>
        <w:rPr/>
        <w:t>recurrent</w:t>
      </w:r>
      <w:r>
        <w:rPr>
          <w:spacing w:val="-11"/>
        </w:rPr>
        <w:t> </w:t>
      </w:r>
      <w:r>
        <w:rPr/>
        <w:t>grant</w:t>
      </w:r>
      <w:r>
        <w:rPr>
          <w:spacing w:val="-11"/>
        </w:rPr>
        <w:t> </w:t>
      </w:r>
      <w:r>
        <w:rPr/>
        <w:t>from</w:t>
      </w:r>
      <w:r>
        <w:rPr>
          <w:spacing w:val="-14"/>
        </w:rPr>
        <w:t> </w:t>
      </w:r>
      <w:r>
        <w:rPr/>
        <w:t>Office</w:t>
      </w:r>
      <w:r>
        <w:rPr>
          <w:spacing w:val="-14"/>
        </w:rPr>
        <w:t> </w:t>
      </w:r>
      <w:r>
        <w:rPr/>
        <w:t>for</w:t>
      </w:r>
      <w:r>
        <w:rPr>
          <w:spacing w:val="-10"/>
        </w:rPr>
        <w:t> </w:t>
      </w:r>
      <w:r>
        <w:rPr/>
        <w:t>Students</w:t>
      </w:r>
      <w:r>
        <w:rPr>
          <w:spacing w:val="-12"/>
        </w:rPr>
        <w:t> </w:t>
      </w:r>
      <w:r>
        <w:rPr/>
        <w:t>represents</w:t>
      </w:r>
      <w:r>
        <w:rPr>
          <w:spacing w:val="-10"/>
        </w:rPr>
        <w:t> </w:t>
      </w:r>
      <w:r>
        <w:rPr/>
        <w:t>the</w:t>
      </w:r>
      <w:r>
        <w:rPr>
          <w:spacing w:val="-14"/>
        </w:rPr>
        <w:t> </w:t>
      </w:r>
      <w:r>
        <w:rPr/>
        <w:t>funding</w:t>
      </w:r>
      <w:r>
        <w:rPr>
          <w:spacing w:val="-11"/>
        </w:rPr>
        <w:t> </w:t>
      </w:r>
      <w:r>
        <w:rPr/>
        <w:t>allocations</w:t>
      </w:r>
      <w:r>
        <w:rPr>
          <w:spacing w:val="-12"/>
        </w:rPr>
        <w:t> </w:t>
      </w:r>
      <w:r>
        <w:rPr/>
        <w:t>attributable</w:t>
      </w:r>
      <w:r>
        <w:rPr>
          <w:spacing w:val="-11"/>
        </w:rPr>
        <w:t> </w:t>
      </w:r>
      <w:r>
        <w:rPr/>
        <w:t>to</w:t>
      </w:r>
      <w:r>
        <w:rPr>
          <w:spacing w:val="-14"/>
        </w:rPr>
        <w:t> </w:t>
      </w:r>
      <w:r>
        <w:rPr/>
        <w:t>the</w:t>
      </w:r>
      <w:r>
        <w:rPr>
          <w:spacing w:val="-14"/>
        </w:rPr>
        <w:t> </w:t>
      </w:r>
      <w:r>
        <w:rPr/>
        <w:t>current financial year and is recognised when received or receivable.</w:t>
      </w:r>
    </w:p>
    <w:p>
      <w:pPr>
        <w:pStyle w:val="BodyText"/>
        <w:spacing w:before="1"/>
      </w:pPr>
    </w:p>
    <w:p>
      <w:pPr>
        <w:pStyle w:val="BodyText"/>
        <w:ind w:left="851" w:right="706"/>
        <w:jc w:val="both"/>
      </w:pPr>
      <w:r>
        <w:rPr/>
        <w:t>Grants from non-government sources, including grants relating to assets, are recognised in income when the College has met the performance-related conditions and the grant will be received. Income received in advance of performance related conditions being met is recognised as a liability.</w:t>
      </w:r>
    </w:p>
    <w:p>
      <w:pPr>
        <w:pStyle w:val="BodyText"/>
        <w:spacing w:before="119"/>
        <w:ind w:left="852" w:right="707"/>
        <w:jc w:val="both"/>
      </w:pPr>
      <w:r>
        <w:rPr/>
        <w:t>Government</w:t>
      </w:r>
      <w:r>
        <w:rPr>
          <w:spacing w:val="-1"/>
        </w:rPr>
        <w:t> </w:t>
      </w:r>
      <w:r>
        <w:rPr/>
        <w:t>capital</w:t>
      </w:r>
      <w:r>
        <w:rPr>
          <w:spacing w:val="-2"/>
        </w:rPr>
        <w:t> </w:t>
      </w:r>
      <w:r>
        <w:rPr/>
        <w:t>grants for assets,</w:t>
      </w:r>
      <w:r>
        <w:rPr>
          <w:spacing w:val="-1"/>
        </w:rPr>
        <w:t> </w:t>
      </w:r>
      <w:r>
        <w:rPr/>
        <w:t>other than</w:t>
      </w:r>
      <w:r>
        <w:rPr>
          <w:spacing w:val="-1"/>
        </w:rPr>
        <w:t> </w:t>
      </w:r>
      <w:r>
        <w:rPr/>
        <w:t>land, are</w:t>
      </w:r>
      <w:r>
        <w:rPr>
          <w:spacing w:val="-1"/>
        </w:rPr>
        <w:t> </w:t>
      </w:r>
      <w:r>
        <w:rPr/>
        <w:t>accounted</w:t>
      </w:r>
      <w:r>
        <w:rPr>
          <w:spacing w:val="-1"/>
        </w:rPr>
        <w:t> </w:t>
      </w:r>
      <w:r>
        <w:rPr/>
        <w:t>for under the</w:t>
      </w:r>
      <w:r>
        <w:rPr>
          <w:spacing w:val="-1"/>
        </w:rPr>
        <w:t> </w:t>
      </w:r>
      <w:r>
        <w:rPr/>
        <w:t>accrual model.</w:t>
      </w:r>
      <w:r>
        <w:rPr>
          <w:spacing w:val="-1"/>
        </w:rPr>
        <w:t> </w:t>
      </w:r>
      <w:r>
        <w:rPr/>
        <w:t>The grant income received or receivable will be recognised over the expected useful life of the asset, with any amount of the asset-related grant that is deferred being recognised as deferred income. The deferred income</w:t>
      </w:r>
      <w:r>
        <w:rPr>
          <w:spacing w:val="-2"/>
        </w:rPr>
        <w:t> </w:t>
      </w:r>
      <w:r>
        <w:rPr/>
        <w:t>is allocated</w:t>
      </w:r>
      <w:r>
        <w:rPr>
          <w:spacing w:val="-2"/>
        </w:rPr>
        <w:t> </w:t>
      </w:r>
      <w:r>
        <w:rPr/>
        <w:t>between</w:t>
      </w:r>
      <w:r>
        <w:rPr>
          <w:spacing w:val="-2"/>
        </w:rPr>
        <w:t> </w:t>
      </w:r>
      <w:r>
        <w:rPr/>
        <w:t>creditors due</w:t>
      </w:r>
      <w:r>
        <w:rPr>
          <w:spacing w:val="-2"/>
        </w:rPr>
        <w:t> </w:t>
      </w:r>
      <w:r>
        <w:rPr/>
        <w:t>within</w:t>
      </w:r>
      <w:r>
        <w:rPr>
          <w:spacing w:val="-2"/>
        </w:rPr>
        <w:t> </w:t>
      </w:r>
      <w:r>
        <w:rPr/>
        <w:t>one</w:t>
      </w:r>
      <w:r>
        <w:rPr>
          <w:spacing w:val="-2"/>
        </w:rPr>
        <w:t> </w:t>
      </w:r>
      <w:r>
        <w:rPr/>
        <w:t>year</w:t>
      </w:r>
      <w:r>
        <w:rPr>
          <w:spacing w:val="-1"/>
        </w:rPr>
        <w:t> </w:t>
      </w:r>
      <w:r>
        <w:rPr/>
        <w:t>and</w:t>
      </w:r>
      <w:r>
        <w:rPr>
          <w:spacing w:val="-2"/>
        </w:rPr>
        <w:t> </w:t>
      </w:r>
      <w:r>
        <w:rPr/>
        <w:t>those</w:t>
      </w:r>
      <w:r>
        <w:rPr>
          <w:spacing w:val="-2"/>
        </w:rPr>
        <w:t> </w:t>
      </w:r>
      <w:r>
        <w:rPr/>
        <w:t>due after</w:t>
      </w:r>
      <w:r>
        <w:rPr>
          <w:spacing w:val="-1"/>
        </w:rPr>
        <w:t> </w:t>
      </w:r>
      <w:r>
        <w:rPr/>
        <w:t>more</w:t>
      </w:r>
      <w:r>
        <w:rPr>
          <w:spacing w:val="-2"/>
        </w:rPr>
        <w:t> </w:t>
      </w:r>
      <w:r>
        <w:rPr/>
        <w:t>than</w:t>
      </w:r>
      <w:r>
        <w:rPr>
          <w:spacing w:val="-2"/>
        </w:rPr>
        <w:t> </w:t>
      </w:r>
      <w:r>
        <w:rPr/>
        <w:t>one </w:t>
      </w:r>
      <w:r>
        <w:rPr>
          <w:spacing w:val="-2"/>
        </w:rPr>
        <w:t>year.</w:t>
      </w:r>
    </w:p>
    <w:p>
      <w:pPr>
        <w:pStyle w:val="Heading6"/>
        <w:spacing w:before="120"/>
      </w:pPr>
      <w:r>
        <w:rPr/>
        <w:t>Other</w:t>
      </w:r>
      <w:r>
        <w:rPr>
          <w:spacing w:val="-8"/>
        </w:rPr>
        <w:t> </w:t>
      </w:r>
      <w:r>
        <w:rPr>
          <w:spacing w:val="-2"/>
        </w:rPr>
        <w:t>income</w:t>
      </w:r>
    </w:p>
    <w:p>
      <w:pPr>
        <w:pStyle w:val="BodyText"/>
        <w:spacing w:before="120"/>
        <w:ind w:left="852" w:right="711"/>
        <w:jc w:val="both"/>
      </w:pPr>
      <w:r>
        <w:rPr/>
        <w:t>Income</w:t>
      </w:r>
      <w:r>
        <w:rPr>
          <w:spacing w:val="-11"/>
        </w:rPr>
        <w:t> </w:t>
      </w:r>
      <w:r>
        <w:rPr/>
        <w:t>from</w:t>
      </w:r>
      <w:r>
        <w:rPr>
          <w:spacing w:val="-14"/>
        </w:rPr>
        <w:t> </w:t>
      </w:r>
      <w:r>
        <w:rPr/>
        <w:t>the</w:t>
      </w:r>
      <w:r>
        <w:rPr>
          <w:spacing w:val="-14"/>
        </w:rPr>
        <w:t> </w:t>
      </w:r>
      <w:r>
        <w:rPr/>
        <w:t>supply</w:t>
      </w:r>
      <w:r>
        <w:rPr>
          <w:spacing w:val="-12"/>
        </w:rPr>
        <w:t> </w:t>
      </w:r>
      <w:r>
        <w:rPr/>
        <w:t>of</w:t>
      </w:r>
      <w:r>
        <w:rPr>
          <w:spacing w:val="-14"/>
        </w:rPr>
        <w:t> </w:t>
      </w:r>
      <w:r>
        <w:rPr/>
        <w:t>services</w:t>
      </w:r>
      <w:r>
        <w:rPr>
          <w:spacing w:val="-12"/>
        </w:rPr>
        <w:t> </w:t>
      </w:r>
      <w:r>
        <w:rPr/>
        <w:t>is</w:t>
      </w:r>
      <w:r>
        <w:rPr>
          <w:spacing w:val="-12"/>
        </w:rPr>
        <w:t> </w:t>
      </w:r>
      <w:r>
        <w:rPr/>
        <w:t>recognised</w:t>
      </w:r>
      <w:r>
        <w:rPr>
          <w:spacing w:val="-11"/>
        </w:rPr>
        <w:t> </w:t>
      </w:r>
      <w:r>
        <w:rPr/>
        <w:t>at</w:t>
      </w:r>
      <w:r>
        <w:rPr>
          <w:spacing w:val="-14"/>
        </w:rPr>
        <w:t> </w:t>
      </w:r>
      <w:r>
        <w:rPr/>
        <w:t>fair</w:t>
      </w:r>
      <w:r>
        <w:rPr>
          <w:spacing w:val="-10"/>
        </w:rPr>
        <w:t> </w:t>
      </w:r>
      <w:r>
        <w:rPr/>
        <w:t>value</w:t>
      </w:r>
      <w:r>
        <w:rPr>
          <w:spacing w:val="-11"/>
        </w:rPr>
        <w:t> </w:t>
      </w:r>
      <w:r>
        <w:rPr/>
        <w:t>of</w:t>
      </w:r>
      <w:r>
        <w:rPr>
          <w:spacing w:val="-14"/>
        </w:rPr>
        <w:t> </w:t>
      </w:r>
      <w:r>
        <w:rPr/>
        <w:t>the</w:t>
      </w:r>
      <w:r>
        <w:rPr>
          <w:spacing w:val="-14"/>
        </w:rPr>
        <w:t> </w:t>
      </w:r>
      <w:r>
        <w:rPr/>
        <w:t>consideration</w:t>
      </w:r>
      <w:r>
        <w:rPr>
          <w:spacing w:val="-14"/>
        </w:rPr>
        <w:t> </w:t>
      </w:r>
      <w:r>
        <w:rPr/>
        <w:t>received</w:t>
      </w:r>
      <w:r>
        <w:rPr>
          <w:spacing w:val="-11"/>
        </w:rPr>
        <w:t> </w:t>
      </w:r>
      <w:r>
        <w:rPr/>
        <w:t>or</w:t>
      </w:r>
      <w:r>
        <w:rPr>
          <w:spacing w:val="-13"/>
        </w:rPr>
        <w:t> </w:t>
      </w:r>
      <w:r>
        <w:rPr/>
        <w:t>receivable and represents the value of services to the extent there is a right to consideration.</w:t>
      </w:r>
    </w:p>
    <w:p>
      <w:pPr>
        <w:pStyle w:val="BodyText"/>
        <w:spacing w:line="229" w:lineRule="exact" w:before="121"/>
        <w:ind w:left="852"/>
        <w:jc w:val="both"/>
      </w:pPr>
      <w:r>
        <w:rPr/>
        <w:t>Income</w:t>
      </w:r>
      <w:r>
        <w:rPr>
          <w:spacing w:val="-5"/>
        </w:rPr>
        <w:t> </w:t>
      </w:r>
      <w:r>
        <w:rPr/>
        <w:t>from</w:t>
      </w:r>
      <w:r>
        <w:rPr>
          <w:spacing w:val="-6"/>
        </w:rPr>
        <w:t> </w:t>
      </w:r>
      <w:r>
        <w:rPr/>
        <w:t>tuition</w:t>
      </w:r>
      <w:r>
        <w:rPr>
          <w:spacing w:val="-6"/>
        </w:rPr>
        <w:t> </w:t>
      </w:r>
      <w:r>
        <w:rPr/>
        <w:t>fees</w:t>
      </w:r>
      <w:r>
        <w:rPr>
          <w:spacing w:val="-5"/>
        </w:rPr>
        <w:t> </w:t>
      </w:r>
      <w:r>
        <w:rPr/>
        <w:t>is</w:t>
      </w:r>
      <w:r>
        <w:rPr>
          <w:spacing w:val="-3"/>
        </w:rPr>
        <w:t> </w:t>
      </w:r>
      <w:r>
        <w:rPr/>
        <w:t>recognised</w:t>
      </w:r>
      <w:r>
        <w:rPr>
          <w:spacing w:val="-6"/>
        </w:rPr>
        <w:t> </w:t>
      </w:r>
      <w:r>
        <w:rPr/>
        <w:t>over</w:t>
      </w:r>
      <w:r>
        <w:rPr>
          <w:spacing w:val="-5"/>
        </w:rPr>
        <w:t> </w:t>
      </w:r>
      <w:r>
        <w:rPr/>
        <w:t>the</w:t>
      </w:r>
      <w:r>
        <w:rPr>
          <w:spacing w:val="-6"/>
        </w:rPr>
        <w:t> </w:t>
      </w:r>
      <w:r>
        <w:rPr/>
        <w:t>period</w:t>
      </w:r>
      <w:r>
        <w:rPr>
          <w:spacing w:val="-4"/>
        </w:rPr>
        <w:t> </w:t>
      </w:r>
      <w:r>
        <w:rPr/>
        <w:t>for</w:t>
      </w:r>
      <w:r>
        <w:rPr>
          <w:spacing w:val="-6"/>
        </w:rPr>
        <w:t> </w:t>
      </w:r>
      <w:r>
        <w:rPr/>
        <w:t>which</w:t>
      </w:r>
      <w:r>
        <w:rPr>
          <w:spacing w:val="-4"/>
        </w:rPr>
        <w:t> </w:t>
      </w:r>
      <w:r>
        <w:rPr/>
        <w:t>it</w:t>
      </w:r>
      <w:r>
        <w:rPr>
          <w:spacing w:val="-4"/>
        </w:rPr>
        <w:t> </w:t>
      </w:r>
      <w:r>
        <w:rPr/>
        <w:t>is</w:t>
      </w:r>
      <w:r>
        <w:rPr>
          <w:spacing w:val="-6"/>
        </w:rPr>
        <w:t> </w:t>
      </w:r>
      <w:r>
        <w:rPr>
          <w:spacing w:val="-2"/>
        </w:rPr>
        <w:t>received.</w:t>
      </w:r>
    </w:p>
    <w:p>
      <w:pPr>
        <w:pStyle w:val="BodyText"/>
        <w:spacing w:line="229" w:lineRule="exact"/>
        <w:ind w:left="852"/>
        <w:jc w:val="both"/>
      </w:pPr>
      <w:r>
        <w:rPr/>
        <w:t>All</w:t>
      </w:r>
      <w:r>
        <w:rPr>
          <w:spacing w:val="-8"/>
        </w:rPr>
        <w:t> </w:t>
      </w:r>
      <w:r>
        <w:rPr/>
        <w:t>income</w:t>
      </w:r>
      <w:r>
        <w:rPr>
          <w:spacing w:val="-4"/>
        </w:rPr>
        <w:t> </w:t>
      </w:r>
      <w:r>
        <w:rPr/>
        <w:t>from</w:t>
      </w:r>
      <w:r>
        <w:rPr>
          <w:spacing w:val="-6"/>
        </w:rPr>
        <w:t> </w:t>
      </w:r>
      <w:r>
        <w:rPr/>
        <w:t>short-term</w:t>
      </w:r>
      <w:r>
        <w:rPr>
          <w:spacing w:val="-5"/>
        </w:rPr>
        <w:t> </w:t>
      </w:r>
      <w:r>
        <w:rPr/>
        <w:t>deposits</w:t>
      </w:r>
      <w:r>
        <w:rPr>
          <w:spacing w:val="-5"/>
        </w:rPr>
        <w:t> </w:t>
      </w:r>
      <w:r>
        <w:rPr/>
        <w:t>is</w:t>
      </w:r>
      <w:r>
        <w:rPr>
          <w:spacing w:val="-5"/>
        </w:rPr>
        <w:t> </w:t>
      </w:r>
      <w:r>
        <w:rPr/>
        <w:t>accrued</w:t>
      </w:r>
      <w:r>
        <w:rPr>
          <w:spacing w:val="-5"/>
        </w:rPr>
        <w:t> </w:t>
      </w:r>
      <w:r>
        <w:rPr/>
        <w:t>in</w:t>
      </w:r>
      <w:r>
        <w:rPr>
          <w:spacing w:val="-4"/>
        </w:rPr>
        <w:t> </w:t>
      </w:r>
      <w:r>
        <w:rPr/>
        <w:t>the</w:t>
      </w:r>
      <w:r>
        <w:rPr>
          <w:spacing w:val="-4"/>
        </w:rPr>
        <w:t> </w:t>
      </w:r>
      <w:r>
        <w:rPr/>
        <w:t>period</w:t>
      </w:r>
      <w:r>
        <w:rPr>
          <w:spacing w:val="-5"/>
        </w:rPr>
        <w:t> </w:t>
      </w:r>
      <w:r>
        <w:rPr/>
        <w:t>in</w:t>
      </w:r>
      <w:r>
        <w:rPr>
          <w:spacing w:val="-4"/>
        </w:rPr>
        <w:t> </w:t>
      </w:r>
      <w:r>
        <w:rPr/>
        <w:t>which</w:t>
      </w:r>
      <w:r>
        <w:rPr>
          <w:spacing w:val="-6"/>
        </w:rPr>
        <w:t> </w:t>
      </w:r>
      <w:r>
        <w:rPr/>
        <w:t>it</w:t>
      </w:r>
      <w:r>
        <w:rPr>
          <w:spacing w:val="-5"/>
        </w:rPr>
        <w:t> </w:t>
      </w:r>
      <w:r>
        <w:rPr/>
        <w:t>is</w:t>
      </w:r>
      <w:r>
        <w:rPr>
          <w:spacing w:val="-5"/>
        </w:rPr>
        <w:t> </w:t>
      </w:r>
      <w:r>
        <w:rPr/>
        <w:t>earned</w:t>
      </w:r>
      <w:r>
        <w:rPr>
          <w:spacing w:val="-4"/>
        </w:rPr>
        <w:t> </w:t>
      </w:r>
      <w:r>
        <w:rPr/>
        <w:t>on</w:t>
      </w:r>
      <w:r>
        <w:rPr>
          <w:spacing w:val="-7"/>
        </w:rPr>
        <w:t> </w:t>
      </w:r>
      <w:r>
        <w:rPr/>
        <w:t>a</w:t>
      </w:r>
      <w:r>
        <w:rPr>
          <w:spacing w:val="-6"/>
        </w:rPr>
        <w:t> </w:t>
      </w:r>
      <w:r>
        <w:rPr/>
        <w:t>receivable</w:t>
      </w:r>
      <w:r>
        <w:rPr>
          <w:spacing w:val="-6"/>
        </w:rPr>
        <w:t> </w:t>
      </w:r>
      <w:r>
        <w:rPr>
          <w:spacing w:val="-2"/>
        </w:rPr>
        <w:t>basis.</w:t>
      </w:r>
    </w:p>
    <w:p>
      <w:pPr>
        <w:pStyle w:val="BodyText"/>
        <w:spacing w:after="0" w:line="229" w:lineRule="exact"/>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rPr>
          <w:b/>
          <w:sz w:val="24"/>
        </w:rPr>
      </w:pPr>
    </w:p>
    <w:p>
      <w:pPr>
        <w:pStyle w:val="Heading5"/>
        <w:tabs>
          <w:tab w:pos="852" w:val="left" w:leader="none"/>
        </w:tabs>
        <w:ind w:left="425"/>
      </w:pPr>
      <w:r>
        <w:rPr>
          <w:spacing w:val="-10"/>
        </w:rPr>
        <w:t>1</w:t>
      </w:r>
      <w:r>
        <w:rPr/>
        <w:tab/>
        <w:t>Accounting</w:t>
      </w:r>
      <w:r>
        <w:rPr>
          <w:spacing w:val="-6"/>
        </w:rPr>
        <w:t> </w:t>
      </w:r>
      <w:r>
        <w:rPr/>
        <w:t>policies</w:t>
      </w:r>
      <w:r>
        <w:rPr>
          <w:spacing w:val="-7"/>
        </w:rPr>
        <w:t> </w:t>
      </w:r>
      <w:r>
        <w:rPr>
          <w:spacing w:val="-2"/>
        </w:rPr>
        <w:t>(continued)</w:t>
      </w:r>
    </w:p>
    <w:p>
      <w:pPr>
        <w:pStyle w:val="BodyText"/>
        <w:spacing w:before="44"/>
        <w:rPr>
          <w:b/>
        </w:rPr>
      </w:pPr>
    </w:p>
    <w:p>
      <w:pPr>
        <w:pStyle w:val="Heading6"/>
      </w:pPr>
      <w:r>
        <w:rPr/>
        <w:t>Retirement</w:t>
      </w:r>
      <w:r>
        <w:rPr>
          <w:spacing w:val="-14"/>
        </w:rPr>
        <w:t> </w:t>
      </w:r>
      <w:r>
        <w:rPr>
          <w:spacing w:val="-2"/>
        </w:rPr>
        <w:t>benefits</w:t>
      </w:r>
    </w:p>
    <w:p>
      <w:pPr>
        <w:pStyle w:val="BodyText"/>
        <w:spacing w:before="1"/>
        <w:rPr>
          <w:b/>
        </w:rPr>
      </w:pPr>
    </w:p>
    <w:p>
      <w:pPr>
        <w:pStyle w:val="BodyText"/>
        <w:ind w:left="852" w:right="709"/>
        <w:jc w:val="both"/>
      </w:pPr>
      <w:r>
        <w:rPr>
          <w:spacing w:val="-2"/>
        </w:rPr>
        <w:t>Retirement</w:t>
      </w:r>
      <w:r>
        <w:rPr>
          <w:spacing w:val="-5"/>
        </w:rPr>
        <w:t> </w:t>
      </w:r>
      <w:r>
        <w:rPr>
          <w:spacing w:val="-2"/>
        </w:rPr>
        <w:t>benefits to employees</w:t>
      </w:r>
      <w:r>
        <w:rPr>
          <w:spacing w:val="-3"/>
        </w:rPr>
        <w:t> </w:t>
      </w:r>
      <w:r>
        <w:rPr>
          <w:spacing w:val="-2"/>
        </w:rPr>
        <w:t>of the</w:t>
      </w:r>
      <w:r>
        <w:rPr>
          <w:spacing w:val="-6"/>
        </w:rPr>
        <w:t> </w:t>
      </w:r>
      <w:r>
        <w:rPr>
          <w:spacing w:val="-2"/>
        </w:rPr>
        <w:t>College</w:t>
      </w:r>
      <w:r>
        <w:rPr>
          <w:spacing w:val="-6"/>
        </w:rPr>
        <w:t> </w:t>
      </w:r>
      <w:r>
        <w:rPr>
          <w:spacing w:val="-2"/>
        </w:rPr>
        <w:t>are</w:t>
      </w:r>
      <w:r>
        <w:rPr>
          <w:spacing w:val="-6"/>
        </w:rPr>
        <w:t> </w:t>
      </w:r>
      <w:r>
        <w:rPr>
          <w:spacing w:val="-2"/>
        </w:rPr>
        <w:t>principally provided by</w:t>
      </w:r>
      <w:r>
        <w:rPr>
          <w:spacing w:val="-3"/>
        </w:rPr>
        <w:t> </w:t>
      </w:r>
      <w:r>
        <w:rPr>
          <w:spacing w:val="-2"/>
        </w:rPr>
        <w:t>Teachers’</w:t>
      </w:r>
      <w:r>
        <w:rPr>
          <w:spacing w:val="-6"/>
        </w:rPr>
        <w:t> </w:t>
      </w:r>
      <w:r>
        <w:rPr>
          <w:spacing w:val="-2"/>
        </w:rPr>
        <w:t>Pensions</w:t>
      </w:r>
      <w:r>
        <w:rPr>
          <w:spacing w:val="-3"/>
        </w:rPr>
        <w:t> </w:t>
      </w:r>
      <w:r>
        <w:rPr>
          <w:spacing w:val="-2"/>
        </w:rPr>
        <w:t>Scheme </w:t>
      </w:r>
      <w:r>
        <w:rPr/>
        <w:t>(TPS) and the East Riding Pension Fund (ERPF), which are multi-employer defined benefit plans.</w:t>
      </w:r>
    </w:p>
    <w:p>
      <w:pPr>
        <w:pStyle w:val="BodyText"/>
        <w:spacing w:before="2"/>
      </w:pPr>
    </w:p>
    <w:p>
      <w:pPr>
        <w:pStyle w:val="BodyText"/>
        <w:ind w:left="852" w:right="709"/>
        <w:jc w:val="both"/>
      </w:pPr>
      <w:r>
        <w:rPr/>
        <w:t>The TPS is an unfunded scheme. Contributions to the TPS are calculated so as to spread the cost of pensions over employees’ working lives with the College in such a way that the pension cost is a substantially level percentage of current and future pensionable payroll. The contributions are determined by the Government Actuary on the basis of valuations using a projected unit method. The TPS is a multi-employer scheme but sufficient information is not available to use defined benefit accounting</w:t>
      </w:r>
      <w:r>
        <w:rPr>
          <w:spacing w:val="-7"/>
        </w:rPr>
        <w:t> </w:t>
      </w:r>
      <w:r>
        <w:rPr/>
        <w:t>and</w:t>
      </w:r>
      <w:r>
        <w:rPr>
          <w:spacing w:val="-9"/>
        </w:rPr>
        <w:t> </w:t>
      </w:r>
      <w:r>
        <w:rPr/>
        <w:t>therefore</w:t>
      </w:r>
      <w:r>
        <w:rPr>
          <w:spacing w:val="-7"/>
        </w:rPr>
        <w:t> </w:t>
      </w:r>
      <w:r>
        <w:rPr/>
        <w:t>it</w:t>
      </w:r>
      <w:r>
        <w:rPr>
          <w:spacing w:val="-6"/>
        </w:rPr>
        <w:t> </w:t>
      </w:r>
      <w:r>
        <w:rPr/>
        <w:t>is</w:t>
      </w:r>
      <w:r>
        <w:rPr>
          <w:spacing w:val="-7"/>
        </w:rPr>
        <w:t> </w:t>
      </w:r>
      <w:r>
        <w:rPr/>
        <w:t>accounted</w:t>
      </w:r>
      <w:r>
        <w:rPr>
          <w:spacing w:val="-7"/>
        </w:rPr>
        <w:t> </w:t>
      </w:r>
      <w:r>
        <w:rPr/>
        <w:t>for</w:t>
      </w:r>
      <w:r>
        <w:rPr>
          <w:spacing w:val="-5"/>
        </w:rPr>
        <w:t> </w:t>
      </w:r>
      <w:r>
        <w:rPr/>
        <w:t>as</w:t>
      </w:r>
      <w:r>
        <w:rPr>
          <w:spacing w:val="-7"/>
        </w:rPr>
        <w:t> </w:t>
      </w:r>
      <w:r>
        <w:rPr/>
        <w:t>a</w:t>
      </w:r>
      <w:r>
        <w:rPr>
          <w:spacing w:val="-7"/>
        </w:rPr>
        <w:t> </w:t>
      </w:r>
      <w:r>
        <w:rPr/>
        <w:t>defined</w:t>
      </w:r>
      <w:r>
        <w:rPr>
          <w:spacing w:val="-9"/>
        </w:rPr>
        <w:t> </w:t>
      </w:r>
      <w:r>
        <w:rPr/>
        <w:t>contribution</w:t>
      </w:r>
      <w:r>
        <w:rPr>
          <w:spacing w:val="-9"/>
        </w:rPr>
        <w:t> </w:t>
      </w:r>
      <w:r>
        <w:rPr/>
        <w:t>scheme,</w:t>
      </w:r>
      <w:r>
        <w:rPr>
          <w:spacing w:val="-6"/>
        </w:rPr>
        <w:t> </w:t>
      </w:r>
      <w:r>
        <w:rPr/>
        <w:t>with</w:t>
      </w:r>
      <w:r>
        <w:rPr>
          <w:spacing w:val="-7"/>
        </w:rPr>
        <w:t> </w:t>
      </w:r>
      <w:r>
        <w:rPr/>
        <w:t>the</w:t>
      </w:r>
      <w:r>
        <w:rPr>
          <w:spacing w:val="-7"/>
        </w:rPr>
        <w:t> </w:t>
      </w:r>
      <w:r>
        <w:rPr/>
        <w:t>amount</w:t>
      </w:r>
      <w:r>
        <w:rPr>
          <w:spacing w:val="-6"/>
        </w:rPr>
        <w:t> </w:t>
      </w:r>
      <w:r>
        <w:rPr/>
        <w:t>charged to the statement of comprehensive income being the contributions payable in the year. Differences between</w:t>
      </w:r>
      <w:r>
        <w:rPr>
          <w:spacing w:val="-2"/>
        </w:rPr>
        <w:t> </w:t>
      </w:r>
      <w:r>
        <w:rPr/>
        <w:t>contributions payable in</w:t>
      </w:r>
      <w:r>
        <w:rPr>
          <w:spacing w:val="-2"/>
        </w:rPr>
        <w:t> </w:t>
      </w:r>
      <w:r>
        <w:rPr/>
        <w:t>the</w:t>
      </w:r>
      <w:r>
        <w:rPr>
          <w:spacing w:val="-2"/>
        </w:rPr>
        <w:t> </w:t>
      </w:r>
      <w:r>
        <w:rPr/>
        <w:t>year</w:t>
      </w:r>
      <w:r>
        <w:rPr>
          <w:spacing w:val="-1"/>
        </w:rPr>
        <w:t> </w:t>
      </w:r>
      <w:r>
        <w:rPr/>
        <w:t>and</w:t>
      </w:r>
      <w:r>
        <w:rPr>
          <w:spacing w:val="-2"/>
        </w:rPr>
        <w:t> </w:t>
      </w:r>
      <w:r>
        <w:rPr/>
        <w:t>contributions actually paid are</w:t>
      </w:r>
      <w:r>
        <w:rPr>
          <w:spacing w:val="-2"/>
        </w:rPr>
        <w:t> </w:t>
      </w:r>
      <w:r>
        <w:rPr/>
        <w:t>shown</w:t>
      </w:r>
      <w:r>
        <w:rPr>
          <w:spacing w:val="-2"/>
        </w:rPr>
        <w:t> </w:t>
      </w:r>
      <w:r>
        <w:rPr/>
        <w:t>as either</w:t>
      </w:r>
      <w:r>
        <w:rPr>
          <w:spacing w:val="-1"/>
        </w:rPr>
        <w:t> </w:t>
      </w:r>
      <w:r>
        <w:rPr/>
        <w:t>accruals or prepayments.</w:t>
      </w:r>
    </w:p>
    <w:p>
      <w:pPr>
        <w:pStyle w:val="BodyText"/>
      </w:pPr>
    </w:p>
    <w:p>
      <w:pPr>
        <w:pStyle w:val="BodyText"/>
        <w:ind w:left="852" w:right="705"/>
        <w:jc w:val="both"/>
      </w:pPr>
      <w:r>
        <w:rPr/>
        <w:t>The ERPF is a funded scheme, and the assets of the scheme are held separately. Pension schemes are measured at fair value and liabilities are measured on an actuarial basis using the projected unit credit</w:t>
      </w:r>
      <w:r>
        <w:rPr>
          <w:spacing w:val="-11"/>
        </w:rPr>
        <w:t> </w:t>
      </w:r>
      <w:r>
        <w:rPr/>
        <w:t>method.</w:t>
      </w:r>
      <w:r>
        <w:rPr>
          <w:spacing w:val="-11"/>
        </w:rPr>
        <w:t> </w:t>
      </w:r>
      <w:r>
        <w:rPr/>
        <w:t>The</w:t>
      </w:r>
      <w:r>
        <w:rPr>
          <w:spacing w:val="-11"/>
        </w:rPr>
        <w:t> </w:t>
      </w:r>
      <w:r>
        <w:rPr/>
        <w:t>actuarial</w:t>
      </w:r>
      <w:r>
        <w:rPr>
          <w:spacing w:val="-12"/>
        </w:rPr>
        <w:t> </w:t>
      </w:r>
      <w:r>
        <w:rPr/>
        <w:t>valuations</w:t>
      </w:r>
      <w:r>
        <w:rPr>
          <w:spacing w:val="-10"/>
        </w:rPr>
        <w:t> </w:t>
      </w:r>
      <w:r>
        <w:rPr/>
        <w:t>are</w:t>
      </w:r>
      <w:r>
        <w:rPr>
          <w:spacing w:val="-9"/>
        </w:rPr>
        <w:t> </w:t>
      </w:r>
      <w:r>
        <w:rPr/>
        <w:t>obtained</w:t>
      </w:r>
      <w:r>
        <w:rPr>
          <w:spacing w:val="-11"/>
        </w:rPr>
        <w:t> </w:t>
      </w:r>
      <w:r>
        <w:rPr/>
        <w:t>at</w:t>
      </w:r>
      <w:r>
        <w:rPr>
          <w:spacing w:val="-11"/>
        </w:rPr>
        <w:t> </w:t>
      </w:r>
      <w:r>
        <w:rPr/>
        <w:t>least</w:t>
      </w:r>
      <w:r>
        <w:rPr>
          <w:spacing w:val="-11"/>
        </w:rPr>
        <w:t> </w:t>
      </w:r>
      <w:r>
        <w:rPr/>
        <w:t>triennially</w:t>
      </w:r>
      <w:r>
        <w:rPr>
          <w:spacing w:val="-10"/>
        </w:rPr>
        <w:t> </w:t>
      </w:r>
      <w:r>
        <w:rPr/>
        <w:t>and</w:t>
      </w:r>
      <w:r>
        <w:rPr>
          <w:spacing w:val="-11"/>
        </w:rPr>
        <w:t> </w:t>
      </w:r>
      <w:r>
        <w:rPr/>
        <w:t>are</w:t>
      </w:r>
      <w:r>
        <w:rPr>
          <w:spacing w:val="-9"/>
        </w:rPr>
        <w:t> </w:t>
      </w:r>
      <w:r>
        <w:rPr/>
        <w:t>updated</w:t>
      </w:r>
      <w:r>
        <w:rPr>
          <w:spacing w:val="-9"/>
        </w:rPr>
        <w:t> </w:t>
      </w:r>
      <w:r>
        <w:rPr/>
        <w:t>at</w:t>
      </w:r>
      <w:r>
        <w:rPr>
          <w:spacing w:val="-11"/>
        </w:rPr>
        <w:t> </w:t>
      </w:r>
      <w:r>
        <w:rPr/>
        <w:t>each</w:t>
      </w:r>
      <w:r>
        <w:rPr>
          <w:spacing w:val="-9"/>
        </w:rPr>
        <w:t> </w:t>
      </w:r>
      <w:r>
        <w:rPr/>
        <w:t>balance sheet date. The amounts charged to operating surplus are the current service costs and the costs of scheme</w:t>
      </w:r>
      <w:r>
        <w:rPr>
          <w:spacing w:val="-4"/>
        </w:rPr>
        <w:t> </w:t>
      </w:r>
      <w:r>
        <w:rPr/>
        <w:t>introductions,</w:t>
      </w:r>
      <w:r>
        <w:rPr>
          <w:spacing w:val="-4"/>
        </w:rPr>
        <w:t> </w:t>
      </w:r>
      <w:r>
        <w:rPr/>
        <w:t>benefit</w:t>
      </w:r>
      <w:r>
        <w:rPr>
          <w:spacing w:val="-6"/>
        </w:rPr>
        <w:t> </w:t>
      </w:r>
      <w:r>
        <w:rPr/>
        <w:t>changes,</w:t>
      </w:r>
      <w:r>
        <w:rPr>
          <w:spacing w:val="-6"/>
        </w:rPr>
        <w:t> </w:t>
      </w:r>
      <w:r>
        <w:rPr/>
        <w:t>settlements</w:t>
      </w:r>
      <w:r>
        <w:rPr>
          <w:spacing w:val="-3"/>
        </w:rPr>
        <w:t> </w:t>
      </w:r>
      <w:r>
        <w:rPr/>
        <w:t>and</w:t>
      </w:r>
      <w:r>
        <w:rPr>
          <w:spacing w:val="-7"/>
        </w:rPr>
        <w:t> </w:t>
      </w:r>
      <w:r>
        <w:rPr/>
        <w:t>curtailments.</w:t>
      </w:r>
      <w:r>
        <w:rPr>
          <w:spacing w:val="-4"/>
        </w:rPr>
        <w:t> </w:t>
      </w:r>
      <w:r>
        <w:rPr/>
        <w:t>They</w:t>
      </w:r>
      <w:r>
        <w:rPr>
          <w:spacing w:val="-3"/>
        </w:rPr>
        <w:t> </w:t>
      </w:r>
      <w:r>
        <w:rPr/>
        <w:t>are</w:t>
      </w:r>
      <w:r>
        <w:rPr>
          <w:spacing w:val="-4"/>
        </w:rPr>
        <w:t> </w:t>
      </w:r>
      <w:r>
        <w:rPr/>
        <w:t>included</w:t>
      </w:r>
      <w:r>
        <w:rPr>
          <w:spacing w:val="-4"/>
        </w:rPr>
        <w:t> </w:t>
      </w:r>
      <w:r>
        <w:rPr/>
        <w:t>as</w:t>
      </w:r>
      <w:r>
        <w:rPr>
          <w:spacing w:val="-5"/>
        </w:rPr>
        <w:t> </w:t>
      </w:r>
      <w:r>
        <w:rPr/>
        <w:t>part</w:t>
      </w:r>
      <w:r>
        <w:rPr>
          <w:spacing w:val="-4"/>
        </w:rPr>
        <w:t> </w:t>
      </w:r>
      <w:r>
        <w:rPr/>
        <w:t>of</w:t>
      </w:r>
      <w:r>
        <w:rPr>
          <w:spacing w:val="-4"/>
        </w:rPr>
        <w:t> </w:t>
      </w:r>
      <w:r>
        <w:rPr/>
        <w:t>staff costs.</w:t>
      </w:r>
      <w:r>
        <w:rPr>
          <w:spacing w:val="-3"/>
        </w:rPr>
        <w:t> </w:t>
      </w:r>
      <w:r>
        <w:rPr/>
        <w:t>The</w:t>
      </w:r>
      <w:r>
        <w:rPr>
          <w:spacing w:val="-3"/>
        </w:rPr>
        <w:t> </w:t>
      </w:r>
      <w:r>
        <w:rPr/>
        <w:t>net</w:t>
      </w:r>
      <w:r>
        <w:rPr>
          <w:spacing w:val="-1"/>
        </w:rPr>
        <w:t> </w:t>
      </w:r>
      <w:r>
        <w:rPr/>
        <w:t>interest</w:t>
      </w:r>
      <w:r>
        <w:rPr>
          <w:spacing w:val="-3"/>
        </w:rPr>
        <w:t> </w:t>
      </w:r>
      <w:r>
        <w:rPr/>
        <w:t>cost</w:t>
      </w:r>
      <w:r>
        <w:rPr>
          <w:spacing w:val="-1"/>
        </w:rPr>
        <w:t> </w:t>
      </w:r>
      <w:r>
        <w:rPr/>
        <w:t>on</w:t>
      </w:r>
      <w:r>
        <w:rPr>
          <w:spacing w:val="-3"/>
        </w:rPr>
        <w:t> </w:t>
      </w:r>
      <w:r>
        <w:rPr/>
        <w:t>the</w:t>
      </w:r>
      <w:r>
        <w:rPr>
          <w:spacing w:val="-1"/>
        </w:rPr>
        <w:t> </w:t>
      </w:r>
      <w:r>
        <w:rPr/>
        <w:t>net</w:t>
      </w:r>
      <w:r>
        <w:rPr>
          <w:spacing w:val="-1"/>
        </w:rPr>
        <w:t> </w:t>
      </w:r>
      <w:r>
        <w:rPr/>
        <w:t>defined</w:t>
      </w:r>
      <w:r>
        <w:rPr>
          <w:spacing w:val="-1"/>
        </w:rPr>
        <w:t> </w:t>
      </w:r>
      <w:r>
        <w:rPr/>
        <w:t>benefit</w:t>
      </w:r>
      <w:r>
        <w:rPr>
          <w:spacing w:val="-1"/>
        </w:rPr>
        <w:t> </w:t>
      </w:r>
      <w:r>
        <w:rPr/>
        <w:t>liability is</w:t>
      </w:r>
      <w:r>
        <w:rPr>
          <w:spacing w:val="-2"/>
        </w:rPr>
        <w:t> </w:t>
      </w:r>
      <w:r>
        <w:rPr/>
        <w:t>charged</w:t>
      </w:r>
      <w:r>
        <w:rPr>
          <w:spacing w:val="-1"/>
        </w:rPr>
        <w:t> </w:t>
      </w:r>
      <w:r>
        <w:rPr/>
        <w:t>to</w:t>
      </w:r>
      <w:r>
        <w:rPr>
          <w:spacing w:val="-1"/>
        </w:rPr>
        <w:t> </w:t>
      </w:r>
      <w:r>
        <w:rPr/>
        <w:t>comprehensive</w:t>
      </w:r>
      <w:r>
        <w:rPr>
          <w:spacing w:val="-1"/>
        </w:rPr>
        <w:t> </w:t>
      </w:r>
      <w:r>
        <w:rPr/>
        <w:t>income</w:t>
      </w:r>
      <w:r>
        <w:rPr>
          <w:spacing w:val="-1"/>
        </w:rPr>
        <w:t> </w:t>
      </w:r>
      <w:r>
        <w:rPr/>
        <w:t>and included</w:t>
      </w:r>
      <w:r>
        <w:rPr>
          <w:spacing w:val="-2"/>
        </w:rPr>
        <w:t> </w:t>
      </w:r>
      <w:r>
        <w:rPr/>
        <w:t>within</w:t>
      </w:r>
      <w:r>
        <w:rPr>
          <w:spacing w:val="-2"/>
        </w:rPr>
        <w:t> </w:t>
      </w:r>
      <w:r>
        <w:rPr/>
        <w:t>finance</w:t>
      </w:r>
      <w:r>
        <w:rPr>
          <w:spacing w:val="-2"/>
        </w:rPr>
        <w:t> </w:t>
      </w:r>
      <w:r>
        <w:rPr/>
        <w:t>costs.</w:t>
      </w:r>
      <w:r>
        <w:rPr>
          <w:spacing w:val="-4"/>
        </w:rPr>
        <w:t> </w:t>
      </w:r>
      <w:r>
        <w:rPr/>
        <w:t>Re-measurement</w:t>
      </w:r>
      <w:r>
        <w:rPr>
          <w:spacing w:val="-2"/>
        </w:rPr>
        <w:t> </w:t>
      </w:r>
      <w:r>
        <w:rPr/>
        <w:t>comprising</w:t>
      </w:r>
      <w:r>
        <w:rPr>
          <w:spacing w:val="-2"/>
        </w:rPr>
        <w:t> </w:t>
      </w:r>
      <w:r>
        <w:rPr/>
        <w:t>actuarial</w:t>
      </w:r>
      <w:r>
        <w:rPr>
          <w:spacing w:val="-3"/>
        </w:rPr>
        <w:t> </w:t>
      </w:r>
      <w:r>
        <w:rPr/>
        <w:t>gains and</w:t>
      </w:r>
      <w:r>
        <w:rPr>
          <w:spacing w:val="-2"/>
        </w:rPr>
        <w:t> </w:t>
      </w:r>
      <w:r>
        <w:rPr/>
        <w:t>losses,</w:t>
      </w:r>
      <w:r>
        <w:rPr>
          <w:spacing w:val="-4"/>
        </w:rPr>
        <w:t> </w:t>
      </w:r>
      <w:r>
        <w:rPr/>
        <w:t>the</w:t>
      </w:r>
      <w:r>
        <w:rPr>
          <w:spacing w:val="-2"/>
        </w:rPr>
        <w:t> </w:t>
      </w:r>
      <w:r>
        <w:rPr/>
        <w:t>effect</w:t>
      </w:r>
      <w:r>
        <w:rPr>
          <w:spacing w:val="-4"/>
        </w:rPr>
        <w:t> </w:t>
      </w:r>
      <w:r>
        <w:rPr/>
        <w:t>of</w:t>
      </w:r>
      <w:r>
        <w:rPr>
          <w:spacing w:val="-4"/>
        </w:rPr>
        <w:t> </w:t>
      </w:r>
      <w:r>
        <w:rPr/>
        <w:t>the asset ceiling and the return on scheme assets (excluding amounts include in net interest on the net defined benefit liability) are recognised immediately in other comprehensive income.</w:t>
      </w:r>
    </w:p>
    <w:p>
      <w:pPr>
        <w:pStyle w:val="BodyText"/>
      </w:pPr>
    </w:p>
    <w:p>
      <w:pPr>
        <w:pStyle w:val="BodyText"/>
        <w:ind w:left="852" w:right="708"/>
        <w:jc w:val="both"/>
      </w:pPr>
      <w:r>
        <w:rPr/>
        <w:t>The ERPF assets are managed by the scheme trustees at scheme level, and the determination/ allocation</w:t>
      </w:r>
      <w:r>
        <w:rPr>
          <w:spacing w:val="-4"/>
        </w:rPr>
        <w:t> </w:t>
      </w:r>
      <w:r>
        <w:rPr/>
        <w:t>of</w:t>
      </w:r>
      <w:r>
        <w:rPr>
          <w:spacing w:val="-4"/>
        </w:rPr>
        <w:t> </w:t>
      </w:r>
      <w:r>
        <w:rPr/>
        <w:t>assets</w:t>
      </w:r>
      <w:r>
        <w:rPr>
          <w:spacing w:val="-5"/>
        </w:rPr>
        <w:t> </w:t>
      </w:r>
      <w:r>
        <w:rPr/>
        <w:t>to</w:t>
      </w:r>
      <w:r>
        <w:rPr>
          <w:spacing w:val="-4"/>
        </w:rPr>
        <w:t> </w:t>
      </w:r>
      <w:r>
        <w:rPr/>
        <w:t>each</w:t>
      </w:r>
      <w:r>
        <w:rPr>
          <w:spacing w:val="-4"/>
        </w:rPr>
        <w:t> </w:t>
      </w:r>
      <w:r>
        <w:rPr/>
        <w:t>individual</w:t>
      </w:r>
      <w:r>
        <w:rPr>
          <w:spacing w:val="-5"/>
        </w:rPr>
        <w:t> </w:t>
      </w:r>
      <w:r>
        <w:rPr/>
        <w:t>employer</w:t>
      </w:r>
      <w:r>
        <w:rPr>
          <w:spacing w:val="-5"/>
        </w:rPr>
        <w:t> </w:t>
      </w:r>
      <w:r>
        <w:rPr/>
        <w:t>in</w:t>
      </w:r>
      <w:r>
        <w:rPr>
          <w:spacing w:val="-7"/>
        </w:rPr>
        <w:t> </w:t>
      </w:r>
      <w:r>
        <w:rPr/>
        <w:t>the</w:t>
      </w:r>
      <w:r>
        <w:rPr>
          <w:spacing w:val="-2"/>
        </w:rPr>
        <w:t> </w:t>
      </w:r>
      <w:r>
        <w:rPr/>
        <w:t>scheme</w:t>
      </w:r>
      <w:r>
        <w:rPr>
          <w:spacing w:val="-4"/>
        </w:rPr>
        <w:t> </w:t>
      </w:r>
      <w:r>
        <w:rPr/>
        <w:t>is</w:t>
      </w:r>
      <w:r>
        <w:rPr>
          <w:spacing w:val="-3"/>
        </w:rPr>
        <w:t> </w:t>
      </w:r>
      <w:r>
        <w:rPr/>
        <w:t>managed</w:t>
      </w:r>
      <w:r>
        <w:rPr>
          <w:spacing w:val="-4"/>
        </w:rPr>
        <w:t> </w:t>
      </w:r>
      <w:r>
        <w:rPr/>
        <w:t>by</w:t>
      </w:r>
      <w:r>
        <w:rPr>
          <w:spacing w:val="-5"/>
        </w:rPr>
        <w:t> </w:t>
      </w:r>
      <w:r>
        <w:rPr/>
        <w:t>the</w:t>
      </w:r>
      <w:r>
        <w:rPr>
          <w:spacing w:val="-4"/>
        </w:rPr>
        <w:t> </w:t>
      </w:r>
      <w:r>
        <w:rPr/>
        <w:t>scheme</w:t>
      </w:r>
      <w:r>
        <w:rPr>
          <w:spacing w:val="-4"/>
        </w:rPr>
        <w:t> </w:t>
      </w:r>
      <w:r>
        <w:rPr/>
        <w:t>actuary.</w:t>
      </w:r>
      <w:r>
        <w:rPr>
          <w:spacing w:val="-6"/>
        </w:rPr>
        <w:t> </w:t>
      </w:r>
      <w:r>
        <w:rPr/>
        <w:t>The assets are</w:t>
      </w:r>
      <w:r>
        <w:rPr>
          <w:spacing w:val="-2"/>
        </w:rPr>
        <w:t> </w:t>
      </w:r>
      <w:r>
        <w:rPr/>
        <w:t>allocated</w:t>
      </w:r>
      <w:r>
        <w:rPr>
          <w:spacing w:val="-2"/>
        </w:rPr>
        <w:t> </w:t>
      </w:r>
      <w:r>
        <w:rPr/>
        <w:t>to each</w:t>
      </w:r>
      <w:r>
        <w:rPr>
          <w:spacing w:val="-2"/>
        </w:rPr>
        <w:t> </w:t>
      </w:r>
      <w:r>
        <w:rPr/>
        <w:t>employer</w:t>
      </w:r>
      <w:r>
        <w:rPr>
          <w:spacing w:val="-1"/>
        </w:rPr>
        <w:t> </w:t>
      </w:r>
      <w:r>
        <w:rPr/>
        <w:t>for</w:t>
      </w:r>
      <w:r>
        <w:rPr>
          <w:spacing w:val="-1"/>
        </w:rPr>
        <w:t> </w:t>
      </w:r>
      <w:r>
        <w:rPr/>
        <w:t>accounting purposes based</w:t>
      </w:r>
      <w:r>
        <w:rPr>
          <w:spacing w:val="-2"/>
        </w:rPr>
        <w:t> </w:t>
      </w:r>
      <w:r>
        <w:rPr/>
        <w:t>on</w:t>
      </w:r>
      <w:r>
        <w:rPr>
          <w:spacing w:val="-2"/>
        </w:rPr>
        <w:t> </w:t>
      </w:r>
      <w:r>
        <w:rPr/>
        <w:t>the</w:t>
      </w:r>
      <w:r>
        <w:rPr>
          <w:spacing w:val="-2"/>
        </w:rPr>
        <w:t> </w:t>
      </w:r>
      <w:r>
        <w:rPr/>
        <w:t>valuation</w:t>
      </w:r>
      <w:r>
        <w:rPr>
          <w:spacing w:val="-2"/>
        </w:rPr>
        <w:t> </w:t>
      </w:r>
      <w:r>
        <w:rPr/>
        <w:t>of</w:t>
      </w:r>
      <w:r>
        <w:rPr>
          <w:spacing w:val="-2"/>
        </w:rPr>
        <w:t> </w:t>
      </w:r>
      <w:r>
        <w:rPr/>
        <w:t>the assets at the</w:t>
      </w:r>
      <w:r>
        <w:rPr>
          <w:spacing w:val="-9"/>
        </w:rPr>
        <w:t> </w:t>
      </w:r>
      <w:r>
        <w:rPr/>
        <w:t>latest</w:t>
      </w:r>
      <w:r>
        <w:rPr>
          <w:spacing w:val="-9"/>
        </w:rPr>
        <w:t> </w:t>
      </w:r>
      <w:r>
        <w:rPr/>
        <w:t>triennial</w:t>
      </w:r>
      <w:r>
        <w:rPr>
          <w:spacing w:val="-10"/>
        </w:rPr>
        <w:t> </w:t>
      </w:r>
      <w:r>
        <w:rPr/>
        <w:t>valuation</w:t>
      </w:r>
      <w:r>
        <w:rPr>
          <w:spacing w:val="-7"/>
        </w:rPr>
        <w:t> </w:t>
      </w:r>
      <w:r>
        <w:rPr/>
        <w:t>as</w:t>
      </w:r>
      <w:r>
        <w:rPr>
          <w:spacing w:val="-7"/>
        </w:rPr>
        <w:t> </w:t>
      </w:r>
      <w:r>
        <w:rPr/>
        <w:t>adjusted</w:t>
      </w:r>
      <w:r>
        <w:rPr>
          <w:spacing w:val="-9"/>
        </w:rPr>
        <w:t> </w:t>
      </w:r>
      <w:r>
        <w:rPr/>
        <w:t>for</w:t>
      </w:r>
      <w:r>
        <w:rPr>
          <w:spacing w:val="-8"/>
        </w:rPr>
        <w:t> </w:t>
      </w:r>
      <w:r>
        <w:rPr/>
        <w:t>subsequent</w:t>
      </w:r>
      <w:r>
        <w:rPr>
          <w:spacing w:val="-6"/>
        </w:rPr>
        <w:t> </w:t>
      </w:r>
      <w:r>
        <w:rPr/>
        <w:t>contributions</w:t>
      </w:r>
      <w:r>
        <w:rPr>
          <w:spacing w:val="-7"/>
        </w:rPr>
        <w:t> </w:t>
      </w:r>
      <w:r>
        <w:rPr/>
        <w:t>received</w:t>
      </w:r>
      <w:r>
        <w:rPr>
          <w:spacing w:val="-9"/>
        </w:rPr>
        <w:t> </w:t>
      </w:r>
      <w:r>
        <w:rPr/>
        <w:t>from</w:t>
      </w:r>
      <w:r>
        <w:rPr>
          <w:spacing w:val="-7"/>
        </w:rPr>
        <w:t> </w:t>
      </w:r>
      <w:r>
        <w:rPr/>
        <w:t>the</w:t>
      </w:r>
      <w:r>
        <w:rPr>
          <w:spacing w:val="-9"/>
        </w:rPr>
        <w:t> </w:t>
      </w:r>
      <w:r>
        <w:rPr/>
        <w:t>employer,</w:t>
      </w:r>
      <w:r>
        <w:rPr>
          <w:spacing w:val="-9"/>
        </w:rPr>
        <w:t> </w:t>
      </w:r>
      <w:r>
        <w:rPr/>
        <w:t>asset returns and benefit payments made (either on a cash basis or actuarial basis).</w:t>
      </w:r>
    </w:p>
    <w:p>
      <w:pPr>
        <w:pStyle w:val="BodyText"/>
        <w:spacing w:before="1"/>
      </w:pPr>
    </w:p>
    <w:p>
      <w:pPr>
        <w:pStyle w:val="BodyText"/>
        <w:ind w:left="852" w:right="706"/>
        <w:jc w:val="both"/>
      </w:pPr>
      <w:r>
        <w:rPr/>
        <w:t>The</w:t>
      </w:r>
      <w:r>
        <w:rPr>
          <w:spacing w:val="-14"/>
        </w:rPr>
        <w:t> </w:t>
      </w:r>
      <w:r>
        <w:rPr/>
        <w:t>retirement</w:t>
      </w:r>
      <w:r>
        <w:rPr>
          <w:spacing w:val="-14"/>
        </w:rPr>
        <w:t> </w:t>
      </w:r>
      <w:r>
        <w:rPr/>
        <w:t>benefit</w:t>
      </w:r>
      <w:r>
        <w:rPr>
          <w:spacing w:val="-14"/>
        </w:rPr>
        <w:t> </w:t>
      </w:r>
      <w:r>
        <w:rPr/>
        <w:t>obligation</w:t>
      </w:r>
      <w:r>
        <w:rPr>
          <w:spacing w:val="-14"/>
        </w:rPr>
        <w:t> </w:t>
      </w:r>
      <w:r>
        <w:rPr/>
        <w:t>recognised</w:t>
      </w:r>
      <w:r>
        <w:rPr>
          <w:spacing w:val="-14"/>
        </w:rPr>
        <w:t> </w:t>
      </w:r>
      <w:r>
        <w:rPr/>
        <w:t>represents</w:t>
      </w:r>
      <w:r>
        <w:rPr>
          <w:spacing w:val="-14"/>
        </w:rPr>
        <w:t> </w:t>
      </w:r>
      <w:r>
        <w:rPr/>
        <w:t>the</w:t>
      </w:r>
      <w:r>
        <w:rPr>
          <w:spacing w:val="-14"/>
        </w:rPr>
        <w:t> </w:t>
      </w:r>
      <w:r>
        <w:rPr/>
        <w:t>deficit</w:t>
      </w:r>
      <w:r>
        <w:rPr>
          <w:spacing w:val="-14"/>
        </w:rPr>
        <w:t> </w:t>
      </w:r>
      <w:r>
        <w:rPr/>
        <w:t>or</w:t>
      </w:r>
      <w:r>
        <w:rPr>
          <w:spacing w:val="-14"/>
        </w:rPr>
        <w:t> </w:t>
      </w:r>
      <w:r>
        <w:rPr/>
        <w:t>surplus</w:t>
      </w:r>
      <w:r>
        <w:rPr>
          <w:spacing w:val="-13"/>
        </w:rPr>
        <w:t> </w:t>
      </w:r>
      <w:r>
        <w:rPr/>
        <w:t>in</w:t>
      </w:r>
      <w:r>
        <w:rPr>
          <w:spacing w:val="-14"/>
        </w:rPr>
        <w:t> </w:t>
      </w:r>
      <w:r>
        <w:rPr/>
        <w:t>the</w:t>
      </w:r>
      <w:r>
        <w:rPr>
          <w:spacing w:val="-14"/>
        </w:rPr>
        <w:t> </w:t>
      </w:r>
      <w:r>
        <w:rPr/>
        <w:t>defined</w:t>
      </w:r>
      <w:r>
        <w:rPr>
          <w:spacing w:val="-14"/>
        </w:rPr>
        <w:t> </w:t>
      </w:r>
      <w:r>
        <w:rPr/>
        <w:t>benefit</w:t>
      </w:r>
      <w:r>
        <w:rPr>
          <w:spacing w:val="-14"/>
        </w:rPr>
        <w:t> </w:t>
      </w:r>
      <w:r>
        <w:rPr/>
        <w:t>plans. Any surplus resulting from this calculation is limited to the present value of any economic benefits available in the form of refunds from the plans or reductions in future contributions to the plans.</w:t>
      </w:r>
    </w:p>
    <w:p>
      <w:pPr>
        <w:pStyle w:val="Heading6"/>
        <w:spacing w:before="229"/>
      </w:pPr>
      <w:r>
        <w:rPr/>
        <w:t>Short</w:t>
      </w:r>
      <w:r>
        <w:rPr>
          <w:spacing w:val="-9"/>
        </w:rPr>
        <w:t> </w:t>
      </w:r>
      <w:r>
        <w:rPr/>
        <w:t>term</w:t>
      </w:r>
      <w:r>
        <w:rPr>
          <w:spacing w:val="-8"/>
        </w:rPr>
        <w:t> </w:t>
      </w:r>
      <w:r>
        <w:rPr/>
        <w:t>employment</w:t>
      </w:r>
      <w:r>
        <w:rPr>
          <w:spacing w:val="-9"/>
        </w:rPr>
        <w:t> </w:t>
      </w:r>
      <w:r>
        <w:rPr>
          <w:spacing w:val="-2"/>
        </w:rPr>
        <w:t>benefits</w:t>
      </w:r>
    </w:p>
    <w:p>
      <w:pPr>
        <w:pStyle w:val="BodyText"/>
        <w:spacing w:before="1"/>
        <w:rPr>
          <w:b/>
        </w:rPr>
      </w:pPr>
    </w:p>
    <w:p>
      <w:pPr>
        <w:pStyle w:val="BodyText"/>
        <w:ind w:left="852" w:right="707"/>
        <w:jc w:val="both"/>
      </w:pPr>
      <w:r>
        <w:rPr/>
        <w:t>Short term employment benefits such as salaries and compensated absences (holiday pay) are recognised as an expense in the year in which the employees render service to the College. The cost of</w:t>
      </w:r>
      <w:r>
        <w:rPr>
          <w:spacing w:val="-14"/>
        </w:rPr>
        <w:t> </w:t>
      </w:r>
      <w:r>
        <w:rPr/>
        <w:t>any</w:t>
      </w:r>
      <w:r>
        <w:rPr>
          <w:spacing w:val="-14"/>
        </w:rPr>
        <w:t> </w:t>
      </w:r>
      <w:r>
        <w:rPr/>
        <w:t>unused</w:t>
      </w:r>
      <w:r>
        <w:rPr>
          <w:spacing w:val="-14"/>
        </w:rPr>
        <w:t> </w:t>
      </w:r>
      <w:r>
        <w:rPr/>
        <w:t>holiday</w:t>
      </w:r>
      <w:r>
        <w:rPr>
          <w:spacing w:val="-14"/>
        </w:rPr>
        <w:t> </w:t>
      </w:r>
      <w:r>
        <w:rPr/>
        <w:t>entitlement</w:t>
      </w:r>
      <w:r>
        <w:rPr>
          <w:spacing w:val="-14"/>
        </w:rPr>
        <w:t> </w:t>
      </w:r>
      <w:r>
        <w:rPr/>
        <w:t>the</w:t>
      </w:r>
      <w:r>
        <w:rPr>
          <w:spacing w:val="-14"/>
        </w:rPr>
        <w:t> </w:t>
      </w:r>
      <w:r>
        <w:rPr/>
        <w:t>College</w:t>
      </w:r>
      <w:r>
        <w:rPr>
          <w:spacing w:val="-14"/>
        </w:rPr>
        <w:t> </w:t>
      </w:r>
      <w:r>
        <w:rPr/>
        <w:t>expects</w:t>
      </w:r>
      <w:r>
        <w:rPr>
          <w:spacing w:val="-14"/>
        </w:rPr>
        <w:t> </w:t>
      </w:r>
      <w:r>
        <w:rPr/>
        <w:t>to</w:t>
      </w:r>
      <w:r>
        <w:rPr>
          <w:spacing w:val="-14"/>
        </w:rPr>
        <w:t> </w:t>
      </w:r>
      <w:r>
        <w:rPr/>
        <w:t>pay</w:t>
      </w:r>
      <w:r>
        <w:rPr>
          <w:spacing w:val="-13"/>
        </w:rPr>
        <w:t> </w:t>
      </w:r>
      <w:r>
        <w:rPr/>
        <w:t>in</w:t>
      </w:r>
      <w:r>
        <w:rPr>
          <w:spacing w:val="-14"/>
        </w:rPr>
        <w:t> </w:t>
      </w:r>
      <w:r>
        <w:rPr/>
        <w:t>future</w:t>
      </w:r>
      <w:r>
        <w:rPr>
          <w:spacing w:val="-14"/>
        </w:rPr>
        <w:t> </w:t>
      </w:r>
      <w:r>
        <w:rPr/>
        <w:t>periods</w:t>
      </w:r>
      <w:r>
        <w:rPr>
          <w:spacing w:val="-14"/>
        </w:rPr>
        <w:t> </w:t>
      </w:r>
      <w:r>
        <w:rPr/>
        <w:t>is</w:t>
      </w:r>
      <w:r>
        <w:rPr>
          <w:spacing w:val="-14"/>
        </w:rPr>
        <w:t> </w:t>
      </w:r>
      <w:r>
        <w:rPr/>
        <w:t>recognised</w:t>
      </w:r>
      <w:r>
        <w:rPr>
          <w:spacing w:val="-14"/>
        </w:rPr>
        <w:t> </w:t>
      </w:r>
      <w:r>
        <w:rPr/>
        <w:t>in</w:t>
      </w:r>
      <w:r>
        <w:rPr>
          <w:spacing w:val="-14"/>
        </w:rPr>
        <w:t> </w:t>
      </w:r>
      <w:r>
        <w:rPr/>
        <w:t>the</w:t>
      </w:r>
      <w:r>
        <w:rPr>
          <w:spacing w:val="-13"/>
        </w:rPr>
        <w:t> </w:t>
      </w:r>
      <w:r>
        <w:rPr/>
        <w:t>period the employees’ services are rendered.</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rPr>
          <w:b/>
          <w:sz w:val="24"/>
        </w:rPr>
      </w:pPr>
    </w:p>
    <w:p>
      <w:pPr>
        <w:pStyle w:val="Heading5"/>
        <w:tabs>
          <w:tab w:pos="852" w:val="left" w:leader="none"/>
        </w:tabs>
        <w:ind w:left="425"/>
      </w:pPr>
      <w:r>
        <w:rPr>
          <w:spacing w:val="-10"/>
        </w:rPr>
        <w:t>1</w:t>
      </w:r>
      <w:r>
        <w:rPr/>
        <w:tab/>
        <w:t>Accounting</w:t>
      </w:r>
      <w:r>
        <w:rPr>
          <w:spacing w:val="-6"/>
        </w:rPr>
        <w:t> </w:t>
      </w:r>
      <w:r>
        <w:rPr/>
        <w:t>policies</w:t>
      </w:r>
      <w:r>
        <w:rPr>
          <w:spacing w:val="-7"/>
        </w:rPr>
        <w:t> </w:t>
      </w:r>
      <w:r>
        <w:rPr>
          <w:spacing w:val="-2"/>
        </w:rPr>
        <w:t>(continued)</w:t>
      </w:r>
    </w:p>
    <w:p>
      <w:pPr>
        <w:pStyle w:val="BodyText"/>
        <w:spacing w:before="44"/>
        <w:rPr>
          <w:b/>
        </w:rPr>
      </w:pPr>
    </w:p>
    <w:p>
      <w:pPr>
        <w:pStyle w:val="Heading6"/>
      </w:pPr>
      <w:r>
        <w:rPr/>
        <w:t>Enhanced</w:t>
      </w:r>
      <w:r>
        <w:rPr>
          <w:spacing w:val="-14"/>
        </w:rPr>
        <w:t> </w:t>
      </w:r>
      <w:r>
        <w:rPr>
          <w:spacing w:val="-2"/>
        </w:rPr>
        <w:t>pensions</w:t>
      </w:r>
    </w:p>
    <w:p>
      <w:pPr>
        <w:pStyle w:val="BodyText"/>
        <w:spacing w:before="1"/>
        <w:rPr>
          <w:b/>
        </w:rPr>
      </w:pPr>
    </w:p>
    <w:p>
      <w:pPr>
        <w:pStyle w:val="BodyText"/>
        <w:ind w:left="852" w:right="706"/>
        <w:jc w:val="both"/>
      </w:pPr>
      <w:r>
        <w:rPr/>
        <w:t>The actual cost of any enhanced ongoing pension to a former member of staff is paid by the College annually. An estimate of the expected future cost of any enhancement to the ongoing pension of a former member of</w:t>
      </w:r>
      <w:r>
        <w:rPr>
          <w:spacing w:val="-1"/>
        </w:rPr>
        <w:t> </w:t>
      </w:r>
      <w:r>
        <w:rPr/>
        <w:t>staff is charged</w:t>
      </w:r>
      <w:r>
        <w:rPr>
          <w:spacing w:val="-1"/>
        </w:rPr>
        <w:t> </w:t>
      </w:r>
      <w:r>
        <w:rPr/>
        <w:t>in</w:t>
      </w:r>
      <w:r>
        <w:rPr>
          <w:spacing w:val="-1"/>
        </w:rPr>
        <w:t> </w:t>
      </w:r>
      <w:r>
        <w:rPr/>
        <w:t>full</w:t>
      </w:r>
      <w:r>
        <w:rPr>
          <w:spacing w:val="-2"/>
        </w:rPr>
        <w:t> </w:t>
      </w:r>
      <w:r>
        <w:rPr/>
        <w:t>to</w:t>
      </w:r>
      <w:r>
        <w:rPr>
          <w:spacing w:val="-1"/>
        </w:rPr>
        <w:t> </w:t>
      </w:r>
      <w:r>
        <w:rPr/>
        <w:t>comprehensive</w:t>
      </w:r>
      <w:r>
        <w:rPr>
          <w:spacing w:val="-1"/>
        </w:rPr>
        <w:t> </w:t>
      </w:r>
      <w:r>
        <w:rPr/>
        <w:t>income in</w:t>
      </w:r>
      <w:r>
        <w:rPr>
          <w:spacing w:val="-1"/>
        </w:rPr>
        <w:t> </w:t>
      </w:r>
      <w:r>
        <w:rPr/>
        <w:t>the</w:t>
      </w:r>
      <w:r>
        <w:rPr>
          <w:spacing w:val="-1"/>
        </w:rPr>
        <w:t> </w:t>
      </w:r>
      <w:r>
        <w:rPr/>
        <w:t>year that the member of staff retires. In subsequent years a charge is made to provisions in the balance sheet using the enhanced pension spreadsheet provided by the funding bodies.</w:t>
      </w:r>
    </w:p>
    <w:p>
      <w:pPr>
        <w:pStyle w:val="BodyText"/>
        <w:spacing w:before="1"/>
      </w:pPr>
    </w:p>
    <w:p>
      <w:pPr>
        <w:pStyle w:val="Heading6"/>
        <w:spacing w:line="364" w:lineRule="auto"/>
        <w:ind w:right="6852"/>
        <w:jc w:val="left"/>
      </w:pPr>
      <w:r>
        <w:rPr/>
        <w:t>Fixed</w:t>
      </w:r>
      <w:r>
        <w:rPr>
          <w:spacing w:val="-14"/>
        </w:rPr>
        <w:t> </w:t>
      </w:r>
      <w:r>
        <w:rPr/>
        <w:t>asset</w:t>
      </w:r>
      <w:r>
        <w:rPr>
          <w:spacing w:val="-14"/>
        </w:rPr>
        <w:t> </w:t>
      </w:r>
      <w:r>
        <w:rPr/>
        <w:t>investments </w:t>
      </w:r>
      <w:r>
        <w:rPr>
          <w:spacing w:val="-2"/>
        </w:rPr>
        <w:t>College</w:t>
      </w:r>
    </w:p>
    <w:p>
      <w:pPr>
        <w:pStyle w:val="BodyText"/>
        <w:spacing w:before="2"/>
        <w:ind w:left="852"/>
      </w:pPr>
      <w:r>
        <w:rPr/>
        <w:t>Interests</w:t>
      </w:r>
      <w:r>
        <w:rPr>
          <w:spacing w:val="26"/>
        </w:rPr>
        <w:t> </w:t>
      </w:r>
      <w:r>
        <w:rPr/>
        <w:t>in</w:t>
      </w:r>
      <w:r>
        <w:rPr>
          <w:spacing w:val="24"/>
        </w:rPr>
        <w:t> </w:t>
      </w:r>
      <w:r>
        <w:rPr/>
        <w:t>subsidiaries</w:t>
      </w:r>
      <w:r>
        <w:rPr>
          <w:spacing w:val="26"/>
        </w:rPr>
        <w:t> </w:t>
      </w:r>
      <w:r>
        <w:rPr/>
        <w:t>are</w:t>
      </w:r>
      <w:r>
        <w:rPr>
          <w:spacing w:val="24"/>
        </w:rPr>
        <w:t> </w:t>
      </w:r>
      <w:r>
        <w:rPr/>
        <w:t>initially</w:t>
      </w:r>
      <w:r>
        <w:rPr>
          <w:spacing w:val="26"/>
        </w:rPr>
        <w:t> </w:t>
      </w:r>
      <w:r>
        <w:rPr/>
        <w:t>measured</w:t>
      </w:r>
      <w:r>
        <w:rPr>
          <w:spacing w:val="26"/>
        </w:rPr>
        <w:t> </w:t>
      </w:r>
      <w:r>
        <w:rPr/>
        <w:t>at</w:t>
      </w:r>
      <w:r>
        <w:rPr>
          <w:spacing w:val="24"/>
        </w:rPr>
        <w:t> </w:t>
      </w:r>
      <w:r>
        <w:rPr/>
        <w:t>cost</w:t>
      </w:r>
      <w:r>
        <w:rPr>
          <w:spacing w:val="24"/>
        </w:rPr>
        <w:t> </w:t>
      </w:r>
      <w:r>
        <w:rPr/>
        <w:t>and</w:t>
      </w:r>
      <w:r>
        <w:rPr>
          <w:spacing w:val="24"/>
        </w:rPr>
        <w:t> </w:t>
      </w:r>
      <w:r>
        <w:rPr/>
        <w:t>subsequently</w:t>
      </w:r>
      <w:r>
        <w:rPr>
          <w:spacing w:val="26"/>
        </w:rPr>
        <w:t> </w:t>
      </w:r>
      <w:r>
        <w:rPr/>
        <w:t>measured</w:t>
      </w:r>
      <w:r>
        <w:rPr>
          <w:spacing w:val="24"/>
        </w:rPr>
        <w:t> </w:t>
      </w:r>
      <w:r>
        <w:rPr/>
        <w:t>at</w:t>
      </w:r>
      <w:r>
        <w:rPr>
          <w:spacing w:val="24"/>
        </w:rPr>
        <w:t> </w:t>
      </w:r>
      <w:r>
        <w:rPr/>
        <w:t>cost</w:t>
      </w:r>
      <w:r>
        <w:rPr>
          <w:spacing w:val="24"/>
        </w:rPr>
        <w:t> </w:t>
      </w:r>
      <w:r>
        <w:rPr/>
        <w:t>less</w:t>
      </w:r>
      <w:r>
        <w:rPr>
          <w:spacing w:val="26"/>
        </w:rPr>
        <w:t> </w:t>
      </w:r>
      <w:r>
        <w:rPr/>
        <w:t>any accumulated impairment losses in the separate financial statements of the College.</w:t>
      </w:r>
    </w:p>
    <w:p>
      <w:pPr>
        <w:pStyle w:val="BodyText"/>
        <w:spacing w:before="229"/>
        <w:ind w:left="852"/>
      </w:pPr>
      <w:r>
        <w:rPr/>
        <w:t>Interests in</w:t>
      </w:r>
      <w:r>
        <w:rPr>
          <w:spacing w:val="-2"/>
        </w:rPr>
        <w:t> </w:t>
      </w:r>
      <w:r>
        <w:rPr/>
        <w:t>subsidiaries are assessed</w:t>
      </w:r>
      <w:r>
        <w:rPr>
          <w:spacing w:val="-2"/>
        </w:rPr>
        <w:t> </w:t>
      </w:r>
      <w:r>
        <w:rPr/>
        <w:t>for</w:t>
      </w:r>
      <w:r>
        <w:rPr>
          <w:spacing w:val="-1"/>
        </w:rPr>
        <w:t> </w:t>
      </w:r>
      <w:r>
        <w:rPr/>
        <w:t>impairment at</w:t>
      </w:r>
      <w:r>
        <w:rPr>
          <w:spacing w:val="-2"/>
        </w:rPr>
        <w:t> </w:t>
      </w:r>
      <w:r>
        <w:rPr/>
        <w:t>each reporting date. Any impairment losses or reversals of impairment losses are recognised immediately in comprehensive income.</w:t>
      </w:r>
    </w:p>
    <w:p>
      <w:pPr>
        <w:pStyle w:val="BodyText"/>
        <w:spacing w:before="1"/>
      </w:pPr>
    </w:p>
    <w:p>
      <w:pPr>
        <w:pStyle w:val="Heading6"/>
        <w:jc w:val="left"/>
      </w:pPr>
      <w:r>
        <w:rPr/>
        <w:t>Tangible</w:t>
      </w:r>
      <w:r>
        <w:rPr>
          <w:spacing w:val="-11"/>
        </w:rPr>
        <w:t> </w:t>
      </w:r>
      <w:r>
        <w:rPr/>
        <w:t>fixed</w:t>
      </w:r>
      <w:r>
        <w:rPr>
          <w:spacing w:val="-7"/>
        </w:rPr>
        <w:t> </w:t>
      </w:r>
      <w:r>
        <w:rPr>
          <w:spacing w:val="-2"/>
        </w:rPr>
        <w:t>assets</w:t>
      </w:r>
    </w:p>
    <w:p>
      <w:pPr>
        <w:pStyle w:val="BodyText"/>
        <w:spacing w:before="229"/>
        <w:ind w:left="852"/>
      </w:pPr>
      <w:r>
        <w:rPr/>
        <w:t>Tangible</w:t>
      </w:r>
      <w:r>
        <w:rPr>
          <w:spacing w:val="-14"/>
        </w:rPr>
        <w:t> </w:t>
      </w:r>
      <w:r>
        <w:rPr/>
        <w:t>fixed</w:t>
      </w:r>
      <w:r>
        <w:rPr>
          <w:spacing w:val="-14"/>
        </w:rPr>
        <w:t> </w:t>
      </w:r>
      <w:r>
        <w:rPr/>
        <w:t>assets</w:t>
      </w:r>
      <w:r>
        <w:rPr>
          <w:spacing w:val="-14"/>
        </w:rPr>
        <w:t> </w:t>
      </w:r>
      <w:r>
        <w:rPr/>
        <w:t>are</w:t>
      </w:r>
      <w:r>
        <w:rPr>
          <w:spacing w:val="-14"/>
        </w:rPr>
        <w:t> </w:t>
      </w:r>
      <w:r>
        <w:rPr/>
        <w:t>stated</w:t>
      </w:r>
      <w:r>
        <w:rPr>
          <w:spacing w:val="-14"/>
        </w:rPr>
        <w:t> </w:t>
      </w:r>
      <w:r>
        <w:rPr/>
        <w:t>at</w:t>
      </w:r>
      <w:r>
        <w:rPr>
          <w:spacing w:val="-14"/>
        </w:rPr>
        <w:t> </w:t>
      </w:r>
      <w:r>
        <w:rPr/>
        <w:t>cost</w:t>
      </w:r>
      <w:r>
        <w:rPr>
          <w:spacing w:val="-14"/>
        </w:rPr>
        <w:t> </w:t>
      </w:r>
      <w:r>
        <w:rPr/>
        <w:t>or</w:t>
      </w:r>
      <w:r>
        <w:rPr>
          <w:spacing w:val="-14"/>
        </w:rPr>
        <w:t> </w:t>
      </w:r>
      <w:r>
        <w:rPr/>
        <w:t>deemed</w:t>
      </w:r>
      <w:r>
        <w:rPr>
          <w:spacing w:val="-14"/>
        </w:rPr>
        <w:t> </w:t>
      </w:r>
      <w:r>
        <w:rPr/>
        <w:t>cost</w:t>
      </w:r>
      <w:r>
        <w:rPr>
          <w:spacing w:val="-13"/>
        </w:rPr>
        <w:t> </w:t>
      </w:r>
      <w:r>
        <w:rPr/>
        <w:t>less</w:t>
      </w:r>
      <w:r>
        <w:rPr>
          <w:spacing w:val="-13"/>
        </w:rPr>
        <w:t> </w:t>
      </w:r>
      <w:r>
        <w:rPr/>
        <w:t>accumulated</w:t>
      </w:r>
      <w:r>
        <w:rPr>
          <w:spacing w:val="-14"/>
        </w:rPr>
        <w:t> </w:t>
      </w:r>
      <w:r>
        <w:rPr/>
        <w:t>depreciation</w:t>
      </w:r>
      <w:r>
        <w:rPr>
          <w:spacing w:val="-13"/>
        </w:rPr>
        <w:t> </w:t>
      </w:r>
      <w:r>
        <w:rPr/>
        <w:t>and</w:t>
      </w:r>
      <w:r>
        <w:rPr>
          <w:spacing w:val="-14"/>
        </w:rPr>
        <w:t> </w:t>
      </w:r>
      <w:r>
        <w:rPr/>
        <w:t>accumulated impairment losses.</w:t>
      </w:r>
    </w:p>
    <w:p>
      <w:pPr>
        <w:pStyle w:val="BodyText"/>
        <w:spacing w:before="1"/>
      </w:pPr>
    </w:p>
    <w:p>
      <w:pPr>
        <w:pStyle w:val="Heading6"/>
        <w:jc w:val="left"/>
      </w:pPr>
      <w:r>
        <w:rPr/>
        <w:t>Land</w:t>
      </w:r>
      <w:r>
        <w:rPr>
          <w:spacing w:val="-6"/>
        </w:rPr>
        <w:t> </w:t>
      </w:r>
      <w:r>
        <w:rPr/>
        <w:t>and</w:t>
      </w:r>
      <w:r>
        <w:rPr>
          <w:spacing w:val="-5"/>
        </w:rPr>
        <w:t> </w:t>
      </w:r>
      <w:r>
        <w:rPr>
          <w:spacing w:val="-2"/>
        </w:rPr>
        <w:t>buildings</w:t>
      </w:r>
    </w:p>
    <w:p>
      <w:pPr>
        <w:pStyle w:val="BodyText"/>
        <w:spacing w:before="229"/>
        <w:ind w:left="852" w:right="703"/>
      </w:pPr>
      <w:r>
        <w:rPr/>
        <w:t>Land and buildings are stated at cost or deemed cost (for land and buildings held at valuation at the</w:t>
      </w:r>
      <w:r>
        <w:rPr>
          <w:spacing w:val="40"/>
        </w:rPr>
        <w:t> </w:t>
      </w:r>
      <w:r>
        <w:rPr/>
        <w:t>date of transition to FRS 102) less accumulated depreciation and accumulated impairment losses.</w:t>
      </w:r>
    </w:p>
    <w:p>
      <w:pPr>
        <w:pStyle w:val="BodyText"/>
        <w:spacing w:before="1"/>
      </w:pPr>
    </w:p>
    <w:p>
      <w:pPr>
        <w:pStyle w:val="Heading6"/>
        <w:jc w:val="left"/>
      </w:pPr>
      <w:r>
        <w:rPr>
          <w:spacing w:val="-2"/>
        </w:rPr>
        <w:t>Equipment</w:t>
      </w:r>
    </w:p>
    <w:p>
      <w:pPr>
        <w:pStyle w:val="BodyText"/>
        <w:spacing w:before="1"/>
        <w:rPr>
          <w:b/>
        </w:rPr>
      </w:pPr>
    </w:p>
    <w:p>
      <w:pPr>
        <w:pStyle w:val="BodyText"/>
        <w:ind w:left="852" w:right="707"/>
        <w:jc w:val="both"/>
      </w:pPr>
      <w:r>
        <w:rPr/>
        <w:t>Equipment costing less than £1,000 per individual item or set of items acquired together is recognised as</w:t>
      </w:r>
      <w:r>
        <w:rPr>
          <w:spacing w:val="-12"/>
        </w:rPr>
        <w:t> </w:t>
      </w:r>
      <w:r>
        <w:rPr/>
        <w:t>expenditure</w:t>
      </w:r>
      <w:r>
        <w:rPr>
          <w:spacing w:val="-11"/>
        </w:rPr>
        <w:t> </w:t>
      </w:r>
      <w:r>
        <w:rPr/>
        <w:t>in</w:t>
      </w:r>
      <w:r>
        <w:rPr>
          <w:spacing w:val="-11"/>
        </w:rPr>
        <w:t> </w:t>
      </w:r>
      <w:r>
        <w:rPr/>
        <w:t>the</w:t>
      </w:r>
      <w:r>
        <w:rPr>
          <w:spacing w:val="-11"/>
        </w:rPr>
        <w:t> </w:t>
      </w:r>
      <w:r>
        <w:rPr/>
        <w:t>period</w:t>
      </w:r>
      <w:r>
        <w:rPr>
          <w:spacing w:val="-11"/>
        </w:rPr>
        <w:t> </w:t>
      </w:r>
      <w:r>
        <w:rPr/>
        <w:t>of</w:t>
      </w:r>
      <w:r>
        <w:rPr>
          <w:spacing w:val="-11"/>
        </w:rPr>
        <w:t> </w:t>
      </w:r>
      <w:r>
        <w:rPr/>
        <w:t>acquisition.</w:t>
      </w:r>
      <w:r>
        <w:rPr>
          <w:spacing w:val="-11"/>
        </w:rPr>
        <w:t> </w:t>
      </w:r>
      <w:r>
        <w:rPr/>
        <w:t>All</w:t>
      </w:r>
      <w:r>
        <w:rPr>
          <w:spacing w:val="-12"/>
        </w:rPr>
        <w:t> </w:t>
      </w:r>
      <w:r>
        <w:rPr/>
        <w:t>other</w:t>
      </w:r>
      <w:r>
        <w:rPr>
          <w:spacing w:val="-10"/>
        </w:rPr>
        <w:t> </w:t>
      </w:r>
      <w:r>
        <w:rPr/>
        <w:t>equipment</w:t>
      </w:r>
      <w:r>
        <w:rPr>
          <w:spacing w:val="-11"/>
        </w:rPr>
        <w:t> </w:t>
      </w:r>
      <w:r>
        <w:rPr/>
        <w:t>is</w:t>
      </w:r>
      <w:r>
        <w:rPr>
          <w:spacing w:val="-10"/>
        </w:rPr>
        <w:t> </w:t>
      </w:r>
      <w:r>
        <w:rPr/>
        <w:t>capitalised</w:t>
      </w:r>
      <w:r>
        <w:rPr>
          <w:spacing w:val="-11"/>
        </w:rPr>
        <w:t> </w:t>
      </w:r>
      <w:r>
        <w:rPr/>
        <w:t>and</w:t>
      </w:r>
      <w:r>
        <w:rPr>
          <w:spacing w:val="-11"/>
        </w:rPr>
        <w:t> </w:t>
      </w:r>
      <w:r>
        <w:rPr/>
        <w:t>recognised</w:t>
      </w:r>
      <w:r>
        <w:rPr>
          <w:spacing w:val="-11"/>
        </w:rPr>
        <w:t> </w:t>
      </w:r>
      <w:r>
        <w:rPr/>
        <w:t>at</w:t>
      </w:r>
      <w:r>
        <w:rPr>
          <w:spacing w:val="-14"/>
        </w:rPr>
        <w:t> </w:t>
      </w:r>
      <w:r>
        <w:rPr/>
        <w:t>cost</w:t>
      </w:r>
      <w:r>
        <w:rPr>
          <w:spacing w:val="-11"/>
        </w:rPr>
        <w:t> </w:t>
      </w:r>
      <w:r>
        <w:rPr/>
        <w:t>less accumulated depreciation and accumulated impairment losses.</w:t>
      </w:r>
    </w:p>
    <w:p>
      <w:pPr>
        <w:pStyle w:val="BodyText"/>
      </w:pPr>
    </w:p>
    <w:p>
      <w:pPr>
        <w:pStyle w:val="Heading6"/>
        <w:jc w:val="left"/>
      </w:pPr>
      <w:r>
        <w:rPr/>
        <w:t>Depreciation</w:t>
      </w:r>
      <w:r>
        <w:rPr>
          <w:spacing w:val="-10"/>
        </w:rPr>
        <w:t> </w:t>
      </w:r>
      <w:r>
        <w:rPr/>
        <w:t>and</w:t>
      </w:r>
      <w:r>
        <w:rPr>
          <w:spacing w:val="-9"/>
        </w:rPr>
        <w:t> </w:t>
      </w:r>
      <w:r>
        <w:rPr/>
        <w:t>residual</w:t>
      </w:r>
      <w:r>
        <w:rPr>
          <w:spacing w:val="-9"/>
        </w:rPr>
        <w:t> </w:t>
      </w:r>
      <w:r>
        <w:rPr>
          <w:spacing w:val="-2"/>
        </w:rPr>
        <w:t>values</w:t>
      </w:r>
    </w:p>
    <w:p>
      <w:pPr>
        <w:pStyle w:val="BodyText"/>
        <w:spacing w:before="1"/>
        <w:rPr>
          <w:b/>
        </w:rPr>
      </w:pPr>
    </w:p>
    <w:p>
      <w:pPr>
        <w:pStyle w:val="BodyText"/>
        <w:ind w:left="852" w:right="703"/>
      </w:pPr>
      <w:r>
        <w:rPr/>
        <w:t>Freehold</w:t>
      </w:r>
      <w:r>
        <w:rPr>
          <w:spacing w:val="-14"/>
        </w:rPr>
        <w:t> </w:t>
      </w:r>
      <w:r>
        <w:rPr/>
        <w:t>land</w:t>
      </w:r>
      <w:r>
        <w:rPr>
          <w:spacing w:val="-14"/>
        </w:rPr>
        <w:t> </w:t>
      </w:r>
      <w:r>
        <w:rPr/>
        <w:t>is</w:t>
      </w:r>
      <w:r>
        <w:rPr>
          <w:spacing w:val="-14"/>
        </w:rPr>
        <w:t> </w:t>
      </w:r>
      <w:r>
        <w:rPr/>
        <w:t>not</w:t>
      </w:r>
      <w:r>
        <w:rPr>
          <w:spacing w:val="-14"/>
        </w:rPr>
        <w:t> </w:t>
      </w:r>
      <w:r>
        <w:rPr/>
        <w:t>depreciated.</w:t>
      </w:r>
      <w:r>
        <w:rPr>
          <w:spacing w:val="-14"/>
        </w:rPr>
        <w:t> </w:t>
      </w:r>
      <w:r>
        <w:rPr/>
        <w:t>Depreciation</w:t>
      </w:r>
      <w:r>
        <w:rPr>
          <w:spacing w:val="-14"/>
        </w:rPr>
        <w:t> </w:t>
      </w:r>
      <w:r>
        <w:rPr/>
        <w:t>on</w:t>
      </w:r>
      <w:r>
        <w:rPr>
          <w:spacing w:val="-14"/>
        </w:rPr>
        <w:t> </w:t>
      </w:r>
      <w:r>
        <w:rPr/>
        <w:t>other</w:t>
      </w:r>
      <w:r>
        <w:rPr>
          <w:spacing w:val="-14"/>
        </w:rPr>
        <w:t> </w:t>
      </w:r>
      <w:r>
        <w:rPr/>
        <w:t>assets</w:t>
      </w:r>
      <w:r>
        <w:rPr>
          <w:spacing w:val="-14"/>
        </w:rPr>
        <w:t> </w:t>
      </w:r>
      <w:r>
        <w:rPr/>
        <w:t>is</w:t>
      </w:r>
      <w:r>
        <w:rPr>
          <w:spacing w:val="-13"/>
        </w:rPr>
        <w:t> </w:t>
      </w:r>
      <w:r>
        <w:rPr/>
        <w:t>calculated,</w:t>
      </w:r>
      <w:r>
        <w:rPr>
          <w:spacing w:val="-14"/>
        </w:rPr>
        <w:t> </w:t>
      </w:r>
      <w:r>
        <w:rPr/>
        <w:t>using</w:t>
      </w:r>
      <w:r>
        <w:rPr>
          <w:spacing w:val="-14"/>
        </w:rPr>
        <w:t> </w:t>
      </w:r>
      <w:r>
        <w:rPr/>
        <w:t>the</w:t>
      </w:r>
      <w:r>
        <w:rPr>
          <w:spacing w:val="-14"/>
        </w:rPr>
        <w:t> </w:t>
      </w:r>
      <w:r>
        <w:rPr/>
        <w:t>straight</w:t>
      </w:r>
      <w:r>
        <w:rPr>
          <w:spacing w:val="-14"/>
        </w:rPr>
        <w:t> </w:t>
      </w:r>
      <w:r>
        <w:rPr/>
        <w:t>line</w:t>
      </w:r>
      <w:r>
        <w:rPr>
          <w:spacing w:val="-14"/>
        </w:rPr>
        <w:t> </w:t>
      </w:r>
      <w:r>
        <w:rPr/>
        <w:t>basis, </w:t>
      </w:r>
      <w:r>
        <w:rPr>
          <w:spacing w:val="-2"/>
        </w:rPr>
        <w:t>to</w:t>
      </w:r>
      <w:r>
        <w:rPr>
          <w:spacing w:val="-7"/>
        </w:rPr>
        <w:t> </w:t>
      </w:r>
      <w:r>
        <w:rPr>
          <w:spacing w:val="-2"/>
        </w:rPr>
        <w:t>write</w:t>
      </w:r>
      <w:r>
        <w:rPr>
          <w:spacing w:val="-7"/>
        </w:rPr>
        <w:t> </w:t>
      </w:r>
      <w:r>
        <w:rPr>
          <w:spacing w:val="-2"/>
        </w:rPr>
        <w:t>off</w:t>
      </w:r>
      <w:r>
        <w:rPr>
          <w:spacing w:val="-7"/>
        </w:rPr>
        <w:t> </w:t>
      </w:r>
      <w:r>
        <w:rPr>
          <w:spacing w:val="-2"/>
        </w:rPr>
        <w:t>the</w:t>
      </w:r>
      <w:r>
        <w:rPr>
          <w:spacing w:val="-7"/>
        </w:rPr>
        <w:t> </w:t>
      </w:r>
      <w:r>
        <w:rPr>
          <w:spacing w:val="-2"/>
        </w:rPr>
        <w:t>cost</w:t>
      </w:r>
      <w:r>
        <w:rPr>
          <w:spacing w:val="-7"/>
        </w:rPr>
        <w:t> </w:t>
      </w:r>
      <w:r>
        <w:rPr>
          <w:spacing w:val="-2"/>
        </w:rPr>
        <w:t>of</w:t>
      </w:r>
      <w:r>
        <w:rPr>
          <w:spacing w:val="-7"/>
        </w:rPr>
        <w:t> </w:t>
      </w:r>
      <w:r>
        <w:rPr>
          <w:spacing w:val="-2"/>
        </w:rPr>
        <w:t>each</w:t>
      </w:r>
      <w:r>
        <w:rPr>
          <w:spacing w:val="-7"/>
        </w:rPr>
        <w:t> </w:t>
      </w:r>
      <w:r>
        <w:rPr>
          <w:spacing w:val="-2"/>
        </w:rPr>
        <w:t>asset</w:t>
      </w:r>
      <w:r>
        <w:rPr>
          <w:spacing w:val="-7"/>
        </w:rPr>
        <w:t> </w:t>
      </w:r>
      <w:r>
        <w:rPr>
          <w:spacing w:val="-2"/>
        </w:rPr>
        <w:t>to</w:t>
      </w:r>
      <w:r>
        <w:rPr>
          <w:spacing w:val="-7"/>
        </w:rPr>
        <w:t> </w:t>
      </w:r>
      <w:r>
        <w:rPr>
          <w:spacing w:val="-2"/>
        </w:rPr>
        <w:t>its</w:t>
      </w:r>
      <w:r>
        <w:rPr>
          <w:spacing w:val="-5"/>
        </w:rPr>
        <w:t> </w:t>
      </w:r>
      <w:r>
        <w:rPr>
          <w:spacing w:val="-2"/>
        </w:rPr>
        <w:t>estimated</w:t>
      </w:r>
      <w:r>
        <w:rPr>
          <w:spacing w:val="-7"/>
        </w:rPr>
        <w:t> </w:t>
      </w:r>
      <w:r>
        <w:rPr>
          <w:spacing w:val="-2"/>
        </w:rPr>
        <w:t>residual</w:t>
      </w:r>
      <w:r>
        <w:rPr>
          <w:spacing w:val="-7"/>
        </w:rPr>
        <w:t> </w:t>
      </w:r>
      <w:r>
        <w:rPr>
          <w:spacing w:val="-2"/>
        </w:rPr>
        <w:t>value</w:t>
      </w:r>
      <w:r>
        <w:rPr>
          <w:spacing w:val="-7"/>
        </w:rPr>
        <w:t> </w:t>
      </w:r>
      <w:r>
        <w:rPr>
          <w:spacing w:val="-2"/>
        </w:rPr>
        <w:t>over</w:t>
      </w:r>
      <w:r>
        <w:rPr>
          <w:spacing w:val="-6"/>
        </w:rPr>
        <w:t> </w:t>
      </w:r>
      <w:r>
        <w:rPr>
          <w:spacing w:val="-2"/>
        </w:rPr>
        <w:t>its</w:t>
      </w:r>
      <w:r>
        <w:rPr>
          <w:spacing w:val="-4"/>
        </w:rPr>
        <w:t> </w:t>
      </w:r>
      <w:r>
        <w:rPr>
          <w:spacing w:val="-2"/>
        </w:rPr>
        <w:t>expected</w:t>
      </w:r>
      <w:r>
        <w:rPr>
          <w:spacing w:val="-7"/>
        </w:rPr>
        <w:t> </w:t>
      </w:r>
      <w:r>
        <w:rPr>
          <w:spacing w:val="-2"/>
        </w:rPr>
        <w:t>useful</w:t>
      </w:r>
      <w:r>
        <w:rPr>
          <w:spacing w:val="-8"/>
        </w:rPr>
        <w:t> </w:t>
      </w:r>
      <w:r>
        <w:rPr>
          <w:spacing w:val="-2"/>
        </w:rPr>
        <w:t>lives,</w:t>
      </w:r>
      <w:r>
        <w:rPr>
          <w:spacing w:val="-7"/>
        </w:rPr>
        <w:t> </w:t>
      </w:r>
      <w:r>
        <w:rPr>
          <w:spacing w:val="-2"/>
        </w:rPr>
        <w:t>as</w:t>
      </w:r>
      <w:r>
        <w:rPr>
          <w:spacing w:val="-5"/>
        </w:rPr>
        <w:t> </w:t>
      </w:r>
      <w:r>
        <w:rPr>
          <w:spacing w:val="-2"/>
        </w:rPr>
        <w:t>follows:</w:t>
      </w:r>
    </w:p>
    <w:p>
      <w:pPr>
        <w:pStyle w:val="BodyText"/>
      </w:pPr>
    </w:p>
    <w:p>
      <w:pPr>
        <w:pStyle w:val="ListParagraph"/>
        <w:numPr>
          <w:ilvl w:val="0"/>
          <w:numId w:val="10"/>
        </w:numPr>
        <w:tabs>
          <w:tab w:pos="1279" w:val="left" w:leader="none"/>
        </w:tabs>
        <w:spacing w:line="245" w:lineRule="exact" w:before="0" w:after="0"/>
        <w:ind w:left="1279" w:right="0" w:hanging="427"/>
        <w:jc w:val="left"/>
        <w:rPr>
          <w:sz w:val="20"/>
        </w:rPr>
      </w:pPr>
      <w:r>
        <w:rPr>
          <w:sz w:val="20"/>
        </w:rPr>
        <w:t>Freehold</w:t>
      </w:r>
      <w:r>
        <w:rPr>
          <w:spacing w:val="-8"/>
          <w:sz w:val="20"/>
        </w:rPr>
        <w:t> </w:t>
      </w:r>
      <w:r>
        <w:rPr>
          <w:sz w:val="20"/>
        </w:rPr>
        <w:t>buildings</w:t>
      </w:r>
      <w:r>
        <w:rPr>
          <w:spacing w:val="-6"/>
          <w:sz w:val="20"/>
        </w:rPr>
        <w:t> </w:t>
      </w:r>
      <w:r>
        <w:rPr>
          <w:sz w:val="20"/>
        </w:rPr>
        <w:t>-</w:t>
      </w:r>
      <w:r>
        <w:rPr>
          <w:spacing w:val="-6"/>
          <w:sz w:val="20"/>
        </w:rPr>
        <w:t> </w:t>
      </w:r>
      <w:r>
        <w:rPr>
          <w:sz w:val="20"/>
        </w:rPr>
        <w:t>5-40</w:t>
      </w:r>
      <w:r>
        <w:rPr>
          <w:spacing w:val="-7"/>
          <w:sz w:val="20"/>
        </w:rPr>
        <w:t> </w:t>
      </w:r>
      <w:r>
        <w:rPr>
          <w:spacing w:val="-2"/>
          <w:sz w:val="20"/>
        </w:rPr>
        <w:t>years</w:t>
      </w:r>
    </w:p>
    <w:p>
      <w:pPr>
        <w:pStyle w:val="ListParagraph"/>
        <w:numPr>
          <w:ilvl w:val="0"/>
          <w:numId w:val="10"/>
        </w:numPr>
        <w:tabs>
          <w:tab w:pos="1279" w:val="left" w:leader="none"/>
        </w:tabs>
        <w:spacing w:line="244" w:lineRule="exact" w:before="0" w:after="0"/>
        <w:ind w:left="1279" w:right="0" w:hanging="427"/>
        <w:jc w:val="left"/>
        <w:rPr>
          <w:sz w:val="20"/>
        </w:rPr>
      </w:pPr>
      <w:r>
        <w:rPr>
          <w:sz w:val="20"/>
        </w:rPr>
        <w:t>Portable</w:t>
      </w:r>
      <w:r>
        <w:rPr>
          <w:spacing w:val="-7"/>
          <w:sz w:val="20"/>
        </w:rPr>
        <w:t> </w:t>
      </w:r>
      <w:r>
        <w:rPr>
          <w:sz w:val="20"/>
        </w:rPr>
        <w:t>buildings</w:t>
      </w:r>
      <w:r>
        <w:rPr>
          <w:spacing w:val="-6"/>
          <w:sz w:val="20"/>
        </w:rPr>
        <w:t> </w:t>
      </w:r>
      <w:r>
        <w:rPr>
          <w:sz w:val="20"/>
        </w:rPr>
        <w:t>-</w:t>
      </w:r>
      <w:r>
        <w:rPr>
          <w:spacing w:val="-7"/>
          <w:sz w:val="20"/>
        </w:rPr>
        <w:t> </w:t>
      </w:r>
      <w:r>
        <w:rPr>
          <w:sz w:val="20"/>
        </w:rPr>
        <w:t>5-10</w:t>
      </w:r>
      <w:r>
        <w:rPr>
          <w:spacing w:val="-7"/>
          <w:sz w:val="20"/>
        </w:rPr>
        <w:t> </w:t>
      </w:r>
      <w:r>
        <w:rPr>
          <w:spacing w:val="-4"/>
          <w:sz w:val="20"/>
        </w:rPr>
        <w:t>years</w:t>
      </w:r>
    </w:p>
    <w:p>
      <w:pPr>
        <w:pStyle w:val="ListParagraph"/>
        <w:numPr>
          <w:ilvl w:val="0"/>
          <w:numId w:val="10"/>
        </w:numPr>
        <w:tabs>
          <w:tab w:pos="1278" w:val="left" w:leader="none"/>
        </w:tabs>
        <w:spacing w:line="244" w:lineRule="exact" w:before="0" w:after="0"/>
        <w:ind w:left="1278" w:right="0" w:hanging="427"/>
        <w:jc w:val="left"/>
        <w:rPr>
          <w:sz w:val="20"/>
        </w:rPr>
      </w:pPr>
      <w:r>
        <w:rPr>
          <w:sz w:val="20"/>
        </w:rPr>
        <w:t>Motor</w:t>
      </w:r>
      <w:r>
        <w:rPr>
          <w:spacing w:val="-5"/>
          <w:sz w:val="20"/>
        </w:rPr>
        <w:t> </w:t>
      </w:r>
      <w:r>
        <w:rPr>
          <w:sz w:val="20"/>
        </w:rPr>
        <w:t>vehicles</w:t>
      </w:r>
      <w:r>
        <w:rPr>
          <w:spacing w:val="-4"/>
          <w:sz w:val="20"/>
        </w:rPr>
        <w:t> </w:t>
      </w:r>
      <w:r>
        <w:rPr>
          <w:sz w:val="20"/>
        </w:rPr>
        <w:t>-</w:t>
      </w:r>
      <w:r>
        <w:rPr>
          <w:spacing w:val="-4"/>
          <w:sz w:val="20"/>
        </w:rPr>
        <w:t> </w:t>
      </w:r>
      <w:r>
        <w:rPr>
          <w:sz w:val="20"/>
        </w:rPr>
        <w:t>4</w:t>
      </w:r>
      <w:r>
        <w:rPr>
          <w:spacing w:val="-6"/>
          <w:sz w:val="20"/>
        </w:rPr>
        <w:t> </w:t>
      </w:r>
      <w:r>
        <w:rPr>
          <w:spacing w:val="-2"/>
          <w:sz w:val="20"/>
        </w:rPr>
        <w:t>years</w:t>
      </w:r>
    </w:p>
    <w:p>
      <w:pPr>
        <w:pStyle w:val="ListParagraph"/>
        <w:numPr>
          <w:ilvl w:val="0"/>
          <w:numId w:val="10"/>
        </w:numPr>
        <w:tabs>
          <w:tab w:pos="1278" w:val="left" w:leader="none"/>
        </w:tabs>
        <w:spacing w:line="244" w:lineRule="exact" w:before="0" w:after="0"/>
        <w:ind w:left="1278" w:right="0" w:hanging="427"/>
        <w:jc w:val="left"/>
        <w:rPr>
          <w:sz w:val="20"/>
        </w:rPr>
      </w:pPr>
      <w:r>
        <w:rPr>
          <w:sz w:val="20"/>
        </w:rPr>
        <w:t>Furniture,</w:t>
      </w:r>
      <w:r>
        <w:rPr>
          <w:spacing w:val="-7"/>
          <w:sz w:val="20"/>
        </w:rPr>
        <w:t> </w:t>
      </w:r>
      <w:r>
        <w:rPr>
          <w:sz w:val="20"/>
        </w:rPr>
        <w:t>fixtures</w:t>
      </w:r>
      <w:r>
        <w:rPr>
          <w:spacing w:val="-6"/>
          <w:sz w:val="20"/>
        </w:rPr>
        <w:t> </w:t>
      </w:r>
      <w:r>
        <w:rPr>
          <w:sz w:val="20"/>
        </w:rPr>
        <w:t>and</w:t>
      </w:r>
      <w:r>
        <w:rPr>
          <w:spacing w:val="-7"/>
          <w:sz w:val="20"/>
        </w:rPr>
        <w:t> </w:t>
      </w:r>
      <w:r>
        <w:rPr>
          <w:sz w:val="20"/>
        </w:rPr>
        <w:t>fittings</w:t>
      </w:r>
      <w:r>
        <w:rPr>
          <w:spacing w:val="-6"/>
          <w:sz w:val="20"/>
        </w:rPr>
        <w:t> </w:t>
      </w:r>
      <w:r>
        <w:rPr>
          <w:sz w:val="20"/>
        </w:rPr>
        <w:t>-</w:t>
      </w:r>
      <w:r>
        <w:rPr>
          <w:spacing w:val="-6"/>
          <w:sz w:val="20"/>
        </w:rPr>
        <w:t> </w:t>
      </w:r>
      <w:r>
        <w:rPr>
          <w:sz w:val="20"/>
        </w:rPr>
        <w:t>3-10</w:t>
      </w:r>
      <w:r>
        <w:rPr>
          <w:spacing w:val="-7"/>
          <w:sz w:val="20"/>
        </w:rPr>
        <w:t> </w:t>
      </w:r>
      <w:r>
        <w:rPr>
          <w:spacing w:val="-4"/>
          <w:sz w:val="20"/>
        </w:rPr>
        <w:t>years</w:t>
      </w:r>
    </w:p>
    <w:p>
      <w:pPr>
        <w:pStyle w:val="ListParagraph"/>
        <w:numPr>
          <w:ilvl w:val="0"/>
          <w:numId w:val="10"/>
        </w:numPr>
        <w:tabs>
          <w:tab w:pos="1278" w:val="left" w:leader="none"/>
        </w:tabs>
        <w:spacing w:line="244" w:lineRule="exact" w:before="0" w:after="0"/>
        <w:ind w:left="1278" w:right="0" w:hanging="427"/>
        <w:jc w:val="left"/>
        <w:rPr>
          <w:sz w:val="20"/>
        </w:rPr>
      </w:pPr>
      <w:r>
        <w:rPr>
          <w:sz w:val="20"/>
        </w:rPr>
        <w:t>Computer</w:t>
      </w:r>
      <w:r>
        <w:rPr>
          <w:spacing w:val="-6"/>
          <w:sz w:val="20"/>
        </w:rPr>
        <w:t> </w:t>
      </w:r>
      <w:r>
        <w:rPr>
          <w:sz w:val="20"/>
        </w:rPr>
        <w:t>equipment</w:t>
      </w:r>
      <w:r>
        <w:rPr>
          <w:spacing w:val="-7"/>
          <w:sz w:val="20"/>
        </w:rPr>
        <w:t> </w:t>
      </w:r>
      <w:r>
        <w:rPr>
          <w:sz w:val="20"/>
        </w:rPr>
        <w:t>-</w:t>
      </w:r>
      <w:r>
        <w:rPr>
          <w:spacing w:val="-3"/>
          <w:sz w:val="20"/>
        </w:rPr>
        <w:t> </w:t>
      </w:r>
      <w:r>
        <w:rPr>
          <w:sz w:val="20"/>
        </w:rPr>
        <w:t>3</w:t>
      </w:r>
      <w:r>
        <w:rPr>
          <w:spacing w:val="-7"/>
          <w:sz w:val="20"/>
        </w:rPr>
        <w:t> </w:t>
      </w:r>
      <w:r>
        <w:rPr>
          <w:spacing w:val="-4"/>
          <w:sz w:val="20"/>
        </w:rPr>
        <w:t>years</w:t>
      </w:r>
    </w:p>
    <w:p>
      <w:pPr>
        <w:pStyle w:val="BodyText"/>
        <w:spacing w:before="227"/>
        <w:ind w:left="851" w:right="613"/>
      </w:pPr>
      <w:r>
        <w:rPr/>
        <w:t>Residual</w:t>
      </w:r>
      <w:r>
        <w:rPr>
          <w:spacing w:val="-7"/>
        </w:rPr>
        <w:t> </w:t>
      </w:r>
      <w:r>
        <w:rPr/>
        <w:t>value</w:t>
      </w:r>
      <w:r>
        <w:rPr>
          <w:spacing w:val="-4"/>
        </w:rPr>
        <w:t> </w:t>
      </w:r>
      <w:r>
        <w:rPr/>
        <w:t>is</w:t>
      </w:r>
      <w:r>
        <w:rPr>
          <w:spacing w:val="-5"/>
        </w:rPr>
        <w:t> </w:t>
      </w:r>
      <w:r>
        <w:rPr/>
        <w:t>calculated</w:t>
      </w:r>
      <w:r>
        <w:rPr>
          <w:spacing w:val="-7"/>
        </w:rPr>
        <w:t> </w:t>
      </w:r>
      <w:r>
        <w:rPr/>
        <w:t>on</w:t>
      </w:r>
      <w:r>
        <w:rPr>
          <w:spacing w:val="-7"/>
        </w:rPr>
        <w:t> </w:t>
      </w:r>
      <w:r>
        <w:rPr/>
        <w:t>prices</w:t>
      </w:r>
      <w:r>
        <w:rPr>
          <w:spacing w:val="-5"/>
        </w:rPr>
        <w:t> </w:t>
      </w:r>
      <w:r>
        <w:rPr/>
        <w:t>prevailing</w:t>
      </w:r>
      <w:r>
        <w:rPr>
          <w:spacing w:val="-7"/>
        </w:rPr>
        <w:t> </w:t>
      </w:r>
      <w:r>
        <w:rPr/>
        <w:t>at</w:t>
      </w:r>
      <w:r>
        <w:rPr>
          <w:spacing w:val="-6"/>
        </w:rPr>
        <w:t> </w:t>
      </w:r>
      <w:r>
        <w:rPr/>
        <w:t>the</w:t>
      </w:r>
      <w:r>
        <w:rPr>
          <w:spacing w:val="-4"/>
        </w:rPr>
        <w:t> </w:t>
      </w:r>
      <w:r>
        <w:rPr/>
        <w:t>reporting</w:t>
      </w:r>
      <w:r>
        <w:rPr>
          <w:spacing w:val="-7"/>
        </w:rPr>
        <w:t> </w:t>
      </w:r>
      <w:r>
        <w:rPr/>
        <w:t>date,</w:t>
      </w:r>
      <w:r>
        <w:rPr>
          <w:spacing w:val="-6"/>
        </w:rPr>
        <w:t> </w:t>
      </w:r>
      <w:r>
        <w:rPr/>
        <w:t>after</w:t>
      </w:r>
      <w:r>
        <w:rPr>
          <w:spacing w:val="-5"/>
        </w:rPr>
        <w:t> </w:t>
      </w:r>
      <w:r>
        <w:rPr/>
        <w:t>estimated</w:t>
      </w:r>
      <w:r>
        <w:rPr>
          <w:spacing w:val="-7"/>
        </w:rPr>
        <w:t> </w:t>
      </w:r>
      <w:r>
        <w:rPr/>
        <w:t>costs</w:t>
      </w:r>
      <w:r>
        <w:rPr>
          <w:spacing w:val="-5"/>
        </w:rPr>
        <w:t> </w:t>
      </w:r>
      <w:r>
        <w:rPr/>
        <w:t>of</w:t>
      </w:r>
      <w:r>
        <w:rPr>
          <w:spacing w:val="-6"/>
        </w:rPr>
        <w:t> </w:t>
      </w:r>
      <w:r>
        <w:rPr/>
        <w:t>disposal, for the asset as if it were at the age and in the condition expected at the end of its useful life.</w:t>
      </w:r>
    </w:p>
    <w:p>
      <w:pPr>
        <w:pStyle w:val="BodyText"/>
        <w:spacing w:before="1"/>
      </w:pPr>
    </w:p>
    <w:p>
      <w:pPr>
        <w:pStyle w:val="BodyText"/>
        <w:ind w:left="851" w:right="706"/>
        <w:jc w:val="both"/>
      </w:pPr>
      <w:r>
        <w:rPr/>
        <w:t>Subsequent</w:t>
      </w:r>
      <w:r>
        <w:rPr>
          <w:spacing w:val="-4"/>
        </w:rPr>
        <w:t> </w:t>
      </w:r>
      <w:r>
        <w:rPr/>
        <w:t>costs,</w:t>
      </w:r>
      <w:r>
        <w:rPr>
          <w:spacing w:val="-4"/>
        </w:rPr>
        <w:t> </w:t>
      </w:r>
      <w:r>
        <w:rPr/>
        <w:t>including</w:t>
      </w:r>
      <w:r>
        <w:rPr>
          <w:spacing w:val="-4"/>
        </w:rPr>
        <w:t> </w:t>
      </w:r>
      <w:r>
        <w:rPr/>
        <w:t>replacement</w:t>
      </w:r>
      <w:r>
        <w:rPr>
          <w:spacing w:val="-4"/>
        </w:rPr>
        <w:t> </w:t>
      </w:r>
      <w:r>
        <w:rPr/>
        <w:t>parts,</w:t>
      </w:r>
      <w:r>
        <w:rPr>
          <w:spacing w:val="-4"/>
        </w:rPr>
        <w:t> </w:t>
      </w:r>
      <w:r>
        <w:rPr/>
        <w:t>are</w:t>
      </w:r>
      <w:r>
        <w:rPr>
          <w:spacing w:val="-4"/>
        </w:rPr>
        <w:t> </w:t>
      </w:r>
      <w:r>
        <w:rPr/>
        <w:t>only</w:t>
      </w:r>
      <w:r>
        <w:rPr>
          <w:spacing w:val="-3"/>
        </w:rPr>
        <w:t> </w:t>
      </w:r>
      <w:r>
        <w:rPr/>
        <w:t>capitalised</w:t>
      </w:r>
      <w:r>
        <w:rPr>
          <w:spacing w:val="-4"/>
        </w:rPr>
        <w:t> </w:t>
      </w:r>
      <w:r>
        <w:rPr/>
        <w:t>when</w:t>
      </w:r>
      <w:r>
        <w:rPr>
          <w:spacing w:val="-4"/>
        </w:rPr>
        <w:t> </w:t>
      </w:r>
      <w:r>
        <w:rPr/>
        <w:t>it</w:t>
      </w:r>
      <w:r>
        <w:rPr>
          <w:spacing w:val="-2"/>
        </w:rPr>
        <w:t> </w:t>
      </w:r>
      <w:r>
        <w:rPr/>
        <w:t>is</w:t>
      </w:r>
      <w:r>
        <w:rPr>
          <w:spacing w:val="-3"/>
        </w:rPr>
        <w:t> </w:t>
      </w:r>
      <w:r>
        <w:rPr/>
        <w:t>probable</w:t>
      </w:r>
      <w:r>
        <w:rPr>
          <w:spacing w:val="-4"/>
        </w:rPr>
        <w:t> </w:t>
      </w:r>
      <w:r>
        <w:rPr/>
        <w:t>that</w:t>
      </w:r>
      <w:r>
        <w:rPr>
          <w:spacing w:val="-4"/>
        </w:rPr>
        <w:t> </w:t>
      </w:r>
      <w:r>
        <w:rPr/>
        <w:t>such</w:t>
      </w:r>
      <w:r>
        <w:rPr>
          <w:spacing w:val="-4"/>
        </w:rPr>
        <w:t> </w:t>
      </w:r>
      <w:r>
        <w:rPr/>
        <w:t>costs will generate future economic benefits. Any replaced parts are then derecognised. All other costs of repairs and maintenance are expenses as incurred.</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rPr>
          <w:b/>
          <w:sz w:val="24"/>
        </w:rPr>
      </w:pPr>
    </w:p>
    <w:p>
      <w:pPr>
        <w:pStyle w:val="Heading5"/>
        <w:numPr>
          <w:ilvl w:val="0"/>
          <w:numId w:val="11"/>
        </w:numPr>
        <w:tabs>
          <w:tab w:pos="852" w:val="left" w:leader="none"/>
        </w:tabs>
        <w:spacing w:line="240" w:lineRule="auto" w:before="0" w:after="0"/>
        <w:ind w:left="852" w:right="0" w:hanging="427"/>
        <w:jc w:val="left"/>
      </w:pPr>
      <w:r>
        <w:rPr/>
        <w:t>Accounting</w:t>
      </w:r>
      <w:r>
        <w:rPr>
          <w:spacing w:val="-6"/>
        </w:rPr>
        <w:t> </w:t>
      </w:r>
      <w:r>
        <w:rPr/>
        <w:t>policies</w:t>
      </w:r>
      <w:r>
        <w:rPr>
          <w:spacing w:val="-7"/>
        </w:rPr>
        <w:t> </w:t>
      </w:r>
      <w:r>
        <w:rPr>
          <w:spacing w:val="-2"/>
        </w:rPr>
        <w:t>(continued)</w:t>
      </w:r>
    </w:p>
    <w:p>
      <w:pPr>
        <w:pStyle w:val="BodyText"/>
        <w:spacing w:before="44"/>
        <w:rPr>
          <w:b/>
        </w:rPr>
      </w:pPr>
    </w:p>
    <w:p>
      <w:pPr>
        <w:pStyle w:val="Heading6"/>
      </w:pPr>
      <w:r>
        <w:rPr/>
        <w:t>Impairments</w:t>
      </w:r>
      <w:r>
        <w:rPr>
          <w:spacing w:val="-9"/>
        </w:rPr>
        <w:t> </w:t>
      </w:r>
      <w:r>
        <w:rPr/>
        <w:t>of</w:t>
      </w:r>
      <w:r>
        <w:rPr>
          <w:spacing w:val="-9"/>
        </w:rPr>
        <w:t> </w:t>
      </w:r>
      <w:r>
        <w:rPr/>
        <w:t>fixed</w:t>
      </w:r>
      <w:r>
        <w:rPr>
          <w:spacing w:val="-6"/>
        </w:rPr>
        <w:t> </w:t>
      </w:r>
      <w:r>
        <w:rPr>
          <w:spacing w:val="-2"/>
        </w:rPr>
        <w:t>assets</w:t>
      </w:r>
    </w:p>
    <w:p>
      <w:pPr>
        <w:pStyle w:val="BodyText"/>
        <w:spacing w:before="1"/>
        <w:rPr>
          <w:b/>
        </w:rPr>
      </w:pPr>
    </w:p>
    <w:p>
      <w:pPr>
        <w:pStyle w:val="BodyText"/>
        <w:ind w:left="852" w:right="705"/>
        <w:jc w:val="both"/>
      </w:pPr>
      <w:r>
        <w:rPr/>
        <w:t>An assessment is made at each reporting date of whether there are indications that a fixed asset may be impaired or that an impairment loss previously recognised has fully or partially reversed. If such indications exist, an estimate is made of the recoverable amount of the asset.</w:t>
      </w:r>
    </w:p>
    <w:p>
      <w:pPr>
        <w:pStyle w:val="BodyText"/>
      </w:pPr>
    </w:p>
    <w:p>
      <w:pPr>
        <w:pStyle w:val="BodyText"/>
        <w:ind w:left="852" w:right="708"/>
        <w:jc w:val="both"/>
      </w:pPr>
      <w:r>
        <w:rPr/>
        <w:t>Shortfalls</w:t>
      </w:r>
      <w:r>
        <w:rPr>
          <w:spacing w:val="-7"/>
        </w:rPr>
        <w:t> </w:t>
      </w:r>
      <w:r>
        <w:rPr/>
        <w:t>between</w:t>
      </w:r>
      <w:r>
        <w:rPr>
          <w:spacing w:val="-9"/>
        </w:rPr>
        <w:t> </w:t>
      </w:r>
      <w:r>
        <w:rPr/>
        <w:t>the</w:t>
      </w:r>
      <w:r>
        <w:rPr>
          <w:spacing w:val="-9"/>
        </w:rPr>
        <w:t> </w:t>
      </w:r>
      <w:r>
        <w:rPr/>
        <w:t>carrying</w:t>
      </w:r>
      <w:r>
        <w:rPr>
          <w:spacing w:val="-9"/>
        </w:rPr>
        <w:t> </w:t>
      </w:r>
      <w:r>
        <w:rPr/>
        <w:t>value</w:t>
      </w:r>
      <w:r>
        <w:rPr>
          <w:spacing w:val="-7"/>
        </w:rPr>
        <w:t> </w:t>
      </w:r>
      <w:r>
        <w:rPr/>
        <w:t>of</w:t>
      </w:r>
      <w:r>
        <w:rPr>
          <w:spacing w:val="-6"/>
        </w:rPr>
        <w:t> </w:t>
      </w:r>
      <w:r>
        <w:rPr/>
        <w:t>fixed</w:t>
      </w:r>
      <w:r>
        <w:rPr>
          <w:spacing w:val="-7"/>
        </w:rPr>
        <w:t> </w:t>
      </w:r>
      <w:r>
        <w:rPr/>
        <w:t>assets</w:t>
      </w:r>
      <w:r>
        <w:rPr>
          <w:spacing w:val="-7"/>
        </w:rPr>
        <w:t> </w:t>
      </w:r>
      <w:r>
        <w:rPr/>
        <w:t>and</w:t>
      </w:r>
      <w:r>
        <w:rPr>
          <w:spacing w:val="-9"/>
        </w:rPr>
        <w:t> </w:t>
      </w:r>
      <w:r>
        <w:rPr/>
        <w:t>their</w:t>
      </w:r>
      <w:r>
        <w:rPr>
          <w:spacing w:val="-8"/>
        </w:rPr>
        <w:t> </w:t>
      </w:r>
      <w:r>
        <w:rPr/>
        <w:t>recoverable</w:t>
      </w:r>
      <w:r>
        <w:rPr>
          <w:spacing w:val="-9"/>
        </w:rPr>
        <w:t> </w:t>
      </w:r>
      <w:r>
        <w:rPr/>
        <w:t>amounts,</w:t>
      </w:r>
      <w:r>
        <w:rPr>
          <w:spacing w:val="-9"/>
        </w:rPr>
        <w:t> </w:t>
      </w:r>
      <w:r>
        <w:rPr/>
        <w:t>being</w:t>
      </w:r>
      <w:r>
        <w:rPr>
          <w:spacing w:val="-7"/>
        </w:rPr>
        <w:t> </w:t>
      </w:r>
      <w:r>
        <w:rPr/>
        <w:t>the</w:t>
      </w:r>
      <w:r>
        <w:rPr>
          <w:spacing w:val="-7"/>
        </w:rPr>
        <w:t> </w:t>
      </w:r>
      <w:r>
        <w:rPr/>
        <w:t>higher</w:t>
      </w:r>
      <w:r>
        <w:rPr>
          <w:spacing w:val="-5"/>
        </w:rPr>
        <w:t> </w:t>
      </w:r>
      <w:r>
        <w:rPr/>
        <w:t>of fair</w:t>
      </w:r>
      <w:r>
        <w:rPr>
          <w:spacing w:val="-14"/>
        </w:rPr>
        <w:t> </w:t>
      </w:r>
      <w:r>
        <w:rPr/>
        <w:t>value</w:t>
      </w:r>
      <w:r>
        <w:rPr>
          <w:spacing w:val="-14"/>
        </w:rPr>
        <w:t> </w:t>
      </w:r>
      <w:r>
        <w:rPr/>
        <w:t>less</w:t>
      </w:r>
      <w:r>
        <w:rPr>
          <w:spacing w:val="-14"/>
        </w:rPr>
        <w:t> </w:t>
      </w:r>
      <w:r>
        <w:rPr/>
        <w:t>costs</w:t>
      </w:r>
      <w:r>
        <w:rPr>
          <w:spacing w:val="-14"/>
        </w:rPr>
        <w:t> </w:t>
      </w:r>
      <w:r>
        <w:rPr/>
        <w:t>to</w:t>
      </w:r>
      <w:r>
        <w:rPr>
          <w:spacing w:val="-14"/>
        </w:rPr>
        <w:t> </w:t>
      </w:r>
      <w:r>
        <w:rPr/>
        <w:t>sell</w:t>
      </w:r>
      <w:r>
        <w:rPr>
          <w:spacing w:val="-14"/>
        </w:rPr>
        <w:t> </w:t>
      </w:r>
      <w:r>
        <w:rPr/>
        <w:t>and</w:t>
      </w:r>
      <w:r>
        <w:rPr>
          <w:spacing w:val="-14"/>
        </w:rPr>
        <w:t> </w:t>
      </w:r>
      <w:r>
        <w:rPr/>
        <w:t>value-in-use,</w:t>
      </w:r>
      <w:r>
        <w:rPr>
          <w:spacing w:val="-14"/>
        </w:rPr>
        <w:t> </w:t>
      </w:r>
      <w:r>
        <w:rPr/>
        <w:t>are</w:t>
      </w:r>
      <w:r>
        <w:rPr>
          <w:spacing w:val="-14"/>
        </w:rPr>
        <w:t> </w:t>
      </w:r>
      <w:r>
        <w:rPr/>
        <w:t>recognised</w:t>
      </w:r>
      <w:r>
        <w:rPr>
          <w:spacing w:val="-13"/>
        </w:rPr>
        <w:t> </w:t>
      </w:r>
      <w:r>
        <w:rPr/>
        <w:t>as</w:t>
      </w:r>
      <w:r>
        <w:rPr>
          <w:spacing w:val="-14"/>
        </w:rPr>
        <w:t> </w:t>
      </w:r>
      <w:r>
        <w:rPr/>
        <w:t>impairment</w:t>
      </w:r>
      <w:r>
        <w:rPr>
          <w:spacing w:val="-14"/>
        </w:rPr>
        <w:t> </w:t>
      </w:r>
      <w:r>
        <w:rPr/>
        <w:t>losses.</w:t>
      </w:r>
      <w:r>
        <w:rPr>
          <w:spacing w:val="4"/>
        </w:rPr>
        <w:t> </w:t>
      </w:r>
      <w:r>
        <w:rPr/>
        <w:t>All</w:t>
      </w:r>
      <w:r>
        <w:rPr>
          <w:spacing w:val="-14"/>
        </w:rPr>
        <w:t> </w:t>
      </w:r>
      <w:r>
        <w:rPr/>
        <w:t>impairment</w:t>
      </w:r>
      <w:r>
        <w:rPr>
          <w:spacing w:val="-14"/>
        </w:rPr>
        <w:t> </w:t>
      </w:r>
      <w:r>
        <w:rPr/>
        <w:t>losses are recognised in comprehensive income.</w:t>
      </w:r>
    </w:p>
    <w:p>
      <w:pPr>
        <w:pStyle w:val="BodyText"/>
        <w:spacing w:before="2"/>
      </w:pPr>
    </w:p>
    <w:p>
      <w:pPr>
        <w:pStyle w:val="BodyText"/>
        <w:ind w:left="852" w:right="707"/>
        <w:jc w:val="both"/>
      </w:pPr>
      <w:r>
        <w:rPr/>
        <w:t>Recognised impairment losses are reversed if, and only if, the reasons for the impairment loss have ceased</w:t>
      </w:r>
      <w:r>
        <w:rPr>
          <w:spacing w:val="-14"/>
        </w:rPr>
        <w:t> </w:t>
      </w:r>
      <w:r>
        <w:rPr/>
        <w:t>to</w:t>
      </w:r>
      <w:r>
        <w:rPr>
          <w:spacing w:val="-11"/>
        </w:rPr>
        <w:t> </w:t>
      </w:r>
      <w:r>
        <w:rPr/>
        <w:t>apply.</w:t>
      </w:r>
      <w:r>
        <w:rPr>
          <w:spacing w:val="-14"/>
        </w:rPr>
        <w:t> </w:t>
      </w:r>
      <w:r>
        <w:rPr/>
        <w:t>Reversals</w:t>
      </w:r>
      <w:r>
        <w:rPr>
          <w:spacing w:val="-10"/>
        </w:rPr>
        <w:t> </w:t>
      </w:r>
      <w:r>
        <w:rPr/>
        <w:t>of</w:t>
      </w:r>
      <w:r>
        <w:rPr>
          <w:spacing w:val="-11"/>
        </w:rPr>
        <w:t> </w:t>
      </w:r>
      <w:r>
        <w:rPr/>
        <w:t>impairment</w:t>
      </w:r>
      <w:r>
        <w:rPr>
          <w:spacing w:val="-11"/>
        </w:rPr>
        <w:t> </w:t>
      </w:r>
      <w:r>
        <w:rPr/>
        <w:t>losses</w:t>
      </w:r>
      <w:r>
        <w:rPr>
          <w:spacing w:val="-12"/>
        </w:rPr>
        <w:t> </w:t>
      </w:r>
      <w:r>
        <w:rPr/>
        <w:t>are</w:t>
      </w:r>
      <w:r>
        <w:rPr>
          <w:spacing w:val="-14"/>
        </w:rPr>
        <w:t> </w:t>
      </w:r>
      <w:r>
        <w:rPr/>
        <w:t>recognised</w:t>
      </w:r>
      <w:r>
        <w:rPr>
          <w:spacing w:val="-11"/>
        </w:rPr>
        <w:t> </w:t>
      </w:r>
      <w:r>
        <w:rPr/>
        <w:t>in</w:t>
      </w:r>
      <w:r>
        <w:rPr>
          <w:spacing w:val="-11"/>
        </w:rPr>
        <w:t> </w:t>
      </w:r>
      <w:r>
        <w:rPr/>
        <w:t>comprehensive</w:t>
      </w:r>
      <w:r>
        <w:rPr>
          <w:spacing w:val="-11"/>
        </w:rPr>
        <w:t> </w:t>
      </w:r>
      <w:r>
        <w:rPr/>
        <w:t>income.</w:t>
      </w:r>
      <w:r>
        <w:rPr>
          <w:spacing w:val="32"/>
        </w:rPr>
        <w:t> </w:t>
      </w:r>
      <w:r>
        <w:rPr/>
        <w:t>On</w:t>
      </w:r>
      <w:r>
        <w:rPr>
          <w:spacing w:val="-11"/>
        </w:rPr>
        <w:t> </w:t>
      </w:r>
      <w:r>
        <w:rPr/>
        <w:t>reversal of</w:t>
      </w:r>
      <w:r>
        <w:rPr>
          <w:spacing w:val="-14"/>
        </w:rPr>
        <w:t> </w:t>
      </w:r>
      <w:r>
        <w:rPr/>
        <w:t>an</w:t>
      </w:r>
      <w:r>
        <w:rPr>
          <w:spacing w:val="-14"/>
        </w:rPr>
        <w:t> </w:t>
      </w:r>
      <w:r>
        <w:rPr/>
        <w:t>impairment</w:t>
      </w:r>
      <w:r>
        <w:rPr>
          <w:spacing w:val="-14"/>
        </w:rPr>
        <w:t> </w:t>
      </w:r>
      <w:r>
        <w:rPr/>
        <w:t>loss,</w:t>
      </w:r>
      <w:r>
        <w:rPr>
          <w:spacing w:val="-14"/>
        </w:rPr>
        <w:t> </w:t>
      </w:r>
      <w:r>
        <w:rPr/>
        <w:t>the</w:t>
      </w:r>
      <w:r>
        <w:rPr>
          <w:spacing w:val="-14"/>
        </w:rPr>
        <w:t> </w:t>
      </w:r>
      <w:r>
        <w:rPr/>
        <w:t>depreciation</w:t>
      </w:r>
      <w:r>
        <w:rPr>
          <w:spacing w:val="-14"/>
        </w:rPr>
        <w:t> </w:t>
      </w:r>
      <w:r>
        <w:rPr/>
        <w:t>or</w:t>
      </w:r>
      <w:r>
        <w:rPr>
          <w:spacing w:val="-14"/>
        </w:rPr>
        <w:t> </w:t>
      </w:r>
      <w:r>
        <w:rPr/>
        <w:t>amortisation</w:t>
      </w:r>
      <w:r>
        <w:rPr>
          <w:spacing w:val="-14"/>
        </w:rPr>
        <w:t> </w:t>
      </w:r>
      <w:r>
        <w:rPr/>
        <w:t>is</w:t>
      </w:r>
      <w:r>
        <w:rPr>
          <w:spacing w:val="-14"/>
        </w:rPr>
        <w:t> </w:t>
      </w:r>
      <w:r>
        <w:rPr/>
        <w:t>adjusted</w:t>
      </w:r>
      <w:r>
        <w:rPr>
          <w:spacing w:val="-13"/>
        </w:rPr>
        <w:t> </w:t>
      </w:r>
      <w:r>
        <w:rPr/>
        <w:t>to</w:t>
      </w:r>
      <w:r>
        <w:rPr>
          <w:spacing w:val="-14"/>
        </w:rPr>
        <w:t> </w:t>
      </w:r>
      <w:r>
        <w:rPr/>
        <w:t>allocate</w:t>
      </w:r>
      <w:r>
        <w:rPr>
          <w:spacing w:val="-14"/>
        </w:rPr>
        <w:t> </w:t>
      </w:r>
      <w:r>
        <w:rPr/>
        <w:t>the</w:t>
      </w:r>
      <w:r>
        <w:rPr>
          <w:spacing w:val="-14"/>
        </w:rPr>
        <w:t> </w:t>
      </w:r>
      <w:r>
        <w:rPr/>
        <w:t>asset’s</w:t>
      </w:r>
      <w:r>
        <w:rPr>
          <w:spacing w:val="-14"/>
        </w:rPr>
        <w:t> </w:t>
      </w:r>
      <w:r>
        <w:rPr/>
        <w:t>revised</w:t>
      </w:r>
      <w:r>
        <w:rPr>
          <w:spacing w:val="-14"/>
        </w:rPr>
        <w:t> </w:t>
      </w:r>
      <w:r>
        <w:rPr/>
        <w:t>carrying amount (less any residual value) over its remaining useful life.</w:t>
      </w:r>
    </w:p>
    <w:p>
      <w:pPr>
        <w:pStyle w:val="BodyText"/>
      </w:pPr>
    </w:p>
    <w:p>
      <w:pPr>
        <w:pStyle w:val="Heading6"/>
      </w:pPr>
      <w:r>
        <w:rPr/>
        <w:t>Operating</w:t>
      </w:r>
      <w:r>
        <w:rPr>
          <w:spacing w:val="-13"/>
        </w:rPr>
        <w:t> </w:t>
      </w:r>
      <w:r>
        <w:rPr>
          <w:spacing w:val="-2"/>
        </w:rPr>
        <w:t>leases</w:t>
      </w:r>
    </w:p>
    <w:p>
      <w:pPr>
        <w:pStyle w:val="BodyText"/>
        <w:spacing w:before="1"/>
        <w:rPr>
          <w:b/>
        </w:rPr>
      </w:pPr>
    </w:p>
    <w:p>
      <w:pPr>
        <w:pStyle w:val="BodyText"/>
        <w:ind w:left="852" w:right="709"/>
        <w:jc w:val="both"/>
      </w:pPr>
      <w:r>
        <w:rPr/>
        <w:t>All leases are operating leases and annual rents are charged to comprehensive income on a straight line basis over the lease term.</w:t>
      </w:r>
    </w:p>
    <w:p>
      <w:pPr>
        <w:pStyle w:val="Heading6"/>
        <w:spacing w:before="229"/>
      </w:pPr>
      <w:r>
        <w:rPr/>
        <w:t>Cash</w:t>
      </w:r>
      <w:r>
        <w:rPr>
          <w:spacing w:val="-9"/>
        </w:rPr>
        <w:t> </w:t>
      </w:r>
      <w:r>
        <w:rPr/>
        <w:t>and</w:t>
      </w:r>
      <w:r>
        <w:rPr>
          <w:spacing w:val="-4"/>
        </w:rPr>
        <w:t> </w:t>
      </w:r>
      <w:r>
        <w:rPr/>
        <w:t>cash</w:t>
      </w:r>
      <w:r>
        <w:rPr>
          <w:spacing w:val="-4"/>
        </w:rPr>
        <w:t> </w:t>
      </w:r>
      <w:r>
        <w:rPr>
          <w:spacing w:val="-2"/>
        </w:rPr>
        <w:t>equivalents</w:t>
      </w:r>
    </w:p>
    <w:p>
      <w:pPr>
        <w:pStyle w:val="BodyText"/>
        <w:spacing w:before="1"/>
        <w:rPr>
          <w:b/>
        </w:rPr>
      </w:pPr>
    </w:p>
    <w:p>
      <w:pPr>
        <w:pStyle w:val="BodyText"/>
        <w:ind w:left="852"/>
        <w:jc w:val="both"/>
      </w:pPr>
      <w:r>
        <w:rPr/>
        <w:t>Cash</w:t>
      </w:r>
      <w:r>
        <w:rPr>
          <w:spacing w:val="-6"/>
        </w:rPr>
        <w:t> </w:t>
      </w:r>
      <w:r>
        <w:rPr/>
        <w:t>includes</w:t>
      </w:r>
      <w:r>
        <w:rPr>
          <w:spacing w:val="-5"/>
        </w:rPr>
        <w:t> </w:t>
      </w:r>
      <w:r>
        <w:rPr/>
        <w:t>cash</w:t>
      </w:r>
      <w:r>
        <w:rPr>
          <w:spacing w:val="-6"/>
        </w:rPr>
        <w:t> </w:t>
      </w:r>
      <w:r>
        <w:rPr/>
        <w:t>in</w:t>
      </w:r>
      <w:r>
        <w:rPr>
          <w:spacing w:val="-6"/>
        </w:rPr>
        <w:t> </w:t>
      </w:r>
      <w:r>
        <w:rPr/>
        <w:t>hand,</w:t>
      </w:r>
      <w:r>
        <w:rPr>
          <w:spacing w:val="-5"/>
        </w:rPr>
        <w:t> </w:t>
      </w:r>
      <w:r>
        <w:rPr/>
        <w:t>deposits</w:t>
      </w:r>
      <w:r>
        <w:rPr>
          <w:spacing w:val="-5"/>
        </w:rPr>
        <w:t> </w:t>
      </w:r>
      <w:r>
        <w:rPr/>
        <w:t>repayable</w:t>
      </w:r>
      <w:r>
        <w:rPr>
          <w:spacing w:val="-6"/>
        </w:rPr>
        <w:t> </w:t>
      </w:r>
      <w:r>
        <w:rPr/>
        <w:t>on</w:t>
      </w:r>
      <w:r>
        <w:rPr>
          <w:spacing w:val="-6"/>
        </w:rPr>
        <w:t> </w:t>
      </w:r>
      <w:r>
        <w:rPr/>
        <w:t>demand</w:t>
      </w:r>
      <w:r>
        <w:rPr>
          <w:spacing w:val="-4"/>
        </w:rPr>
        <w:t> </w:t>
      </w:r>
      <w:r>
        <w:rPr/>
        <w:t>and</w:t>
      </w:r>
      <w:r>
        <w:rPr>
          <w:spacing w:val="-5"/>
        </w:rPr>
        <w:t> </w:t>
      </w:r>
      <w:r>
        <w:rPr>
          <w:spacing w:val="-2"/>
        </w:rPr>
        <w:t>overdrafts.</w:t>
      </w:r>
    </w:p>
    <w:p>
      <w:pPr>
        <w:pStyle w:val="BodyText"/>
        <w:spacing w:before="229"/>
        <w:ind w:left="852" w:right="710"/>
        <w:jc w:val="both"/>
      </w:pPr>
      <w:r>
        <w:rPr/>
        <w:t>Cash</w:t>
      </w:r>
      <w:r>
        <w:rPr>
          <w:spacing w:val="-14"/>
        </w:rPr>
        <w:t> </w:t>
      </w:r>
      <w:r>
        <w:rPr/>
        <w:t>equivalents</w:t>
      </w:r>
      <w:r>
        <w:rPr>
          <w:spacing w:val="-10"/>
        </w:rPr>
        <w:t> </w:t>
      </w:r>
      <w:r>
        <w:rPr/>
        <w:t>are</w:t>
      </w:r>
      <w:r>
        <w:rPr>
          <w:spacing w:val="-14"/>
        </w:rPr>
        <w:t> </w:t>
      </w:r>
      <w:r>
        <w:rPr/>
        <w:t>short</w:t>
      </w:r>
      <w:r>
        <w:rPr>
          <w:spacing w:val="-14"/>
        </w:rPr>
        <w:t> </w:t>
      </w:r>
      <w:r>
        <w:rPr/>
        <w:t>term,</w:t>
      </w:r>
      <w:r>
        <w:rPr>
          <w:spacing w:val="-11"/>
        </w:rPr>
        <w:t> </w:t>
      </w:r>
      <w:r>
        <w:rPr/>
        <w:t>highly</w:t>
      </w:r>
      <w:r>
        <w:rPr>
          <w:spacing w:val="-10"/>
        </w:rPr>
        <w:t> </w:t>
      </w:r>
      <w:r>
        <w:rPr/>
        <w:t>liquid</w:t>
      </w:r>
      <w:r>
        <w:rPr>
          <w:spacing w:val="-11"/>
        </w:rPr>
        <w:t> </w:t>
      </w:r>
      <w:r>
        <w:rPr/>
        <w:t>investments</w:t>
      </w:r>
      <w:r>
        <w:rPr>
          <w:spacing w:val="-12"/>
        </w:rPr>
        <w:t> </w:t>
      </w:r>
      <w:r>
        <w:rPr/>
        <w:t>that</w:t>
      </w:r>
      <w:r>
        <w:rPr>
          <w:spacing w:val="-11"/>
        </w:rPr>
        <w:t> </w:t>
      </w:r>
      <w:r>
        <w:rPr/>
        <w:t>are</w:t>
      </w:r>
      <w:r>
        <w:rPr>
          <w:spacing w:val="-11"/>
        </w:rPr>
        <w:t> </w:t>
      </w:r>
      <w:r>
        <w:rPr/>
        <w:t>readily</w:t>
      </w:r>
      <w:r>
        <w:rPr>
          <w:spacing w:val="-12"/>
        </w:rPr>
        <w:t> </w:t>
      </w:r>
      <w:r>
        <w:rPr/>
        <w:t>convertible</w:t>
      </w:r>
      <w:r>
        <w:rPr>
          <w:spacing w:val="-14"/>
        </w:rPr>
        <w:t> </w:t>
      </w:r>
      <w:r>
        <w:rPr/>
        <w:t>to</w:t>
      </w:r>
      <w:r>
        <w:rPr>
          <w:spacing w:val="-11"/>
        </w:rPr>
        <w:t> </w:t>
      </w:r>
      <w:r>
        <w:rPr/>
        <w:t>known</w:t>
      </w:r>
      <w:r>
        <w:rPr>
          <w:spacing w:val="-11"/>
        </w:rPr>
        <w:t> </w:t>
      </w:r>
      <w:r>
        <w:rPr/>
        <w:t>amounts of cash with insignificant risk of change in value.</w:t>
      </w:r>
    </w:p>
    <w:p>
      <w:pPr>
        <w:pStyle w:val="BodyText"/>
        <w:spacing w:before="1"/>
      </w:pPr>
    </w:p>
    <w:p>
      <w:pPr>
        <w:pStyle w:val="Heading6"/>
      </w:pPr>
      <w:r>
        <w:rPr/>
        <w:t>Financial</w:t>
      </w:r>
      <w:r>
        <w:rPr>
          <w:spacing w:val="-13"/>
        </w:rPr>
        <w:t> </w:t>
      </w:r>
      <w:r>
        <w:rPr>
          <w:spacing w:val="-2"/>
        </w:rPr>
        <w:t>instruments</w:t>
      </w:r>
    </w:p>
    <w:p>
      <w:pPr>
        <w:pStyle w:val="BodyText"/>
        <w:spacing w:before="229"/>
        <w:ind w:left="852"/>
        <w:jc w:val="both"/>
      </w:pPr>
      <w:r>
        <w:rPr/>
        <w:t>The</w:t>
      </w:r>
      <w:r>
        <w:rPr>
          <w:spacing w:val="-14"/>
        </w:rPr>
        <w:t> </w:t>
      </w:r>
      <w:r>
        <w:rPr/>
        <w:t>Group</w:t>
      </w:r>
      <w:r>
        <w:rPr>
          <w:spacing w:val="-14"/>
        </w:rPr>
        <w:t> </w:t>
      </w:r>
      <w:r>
        <w:rPr/>
        <w:t>has</w:t>
      </w:r>
      <w:r>
        <w:rPr>
          <w:spacing w:val="-14"/>
        </w:rPr>
        <w:t> </w:t>
      </w:r>
      <w:r>
        <w:rPr/>
        <w:t>chosen</w:t>
      </w:r>
      <w:r>
        <w:rPr>
          <w:spacing w:val="-14"/>
        </w:rPr>
        <w:t> </w:t>
      </w:r>
      <w:r>
        <w:rPr/>
        <w:t>to</w:t>
      </w:r>
      <w:r>
        <w:rPr>
          <w:spacing w:val="-14"/>
        </w:rPr>
        <w:t> </w:t>
      </w:r>
      <w:r>
        <w:rPr/>
        <w:t>adopt</w:t>
      </w:r>
      <w:r>
        <w:rPr>
          <w:spacing w:val="-14"/>
        </w:rPr>
        <w:t> </w:t>
      </w:r>
      <w:r>
        <w:rPr/>
        <w:t>Sections</w:t>
      </w:r>
      <w:r>
        <w:rPr>
          <w:spacing w:val="-14"/>
        </w:rPr>
        <w:t> </w:t>
      </w:r>
      <w:r>
        <w:rPr/>
        <w:t>11</w:t>
      </w:r>
      <w:r>
        <w:rPr>
          <w:spacing w:val="-14"/>
        </w:rPr>
        <w:t> </w:t>
      </w:r>
      <w:r>
        <w:rPr/>
        <w:t>and</w:t>
      </w:r>
      <w:r>
        <w:rPr>
          <w:spacing w:val="-14"/>
        </w:rPr>
        <w:t> </w:t>
      </w:r>
      <w:r>
        <w:rPr/>
        <w:t>12</w:t>
      </w:r>
      <w:r>
        <w:rPr>
          <w:spacing w:val="-12"/>
        </w:rPr>
        <w:t> </w:t>
      </w:r>
      <w:r>
        <w:rPr/>
        <w:t>of</w:t>
      </w:r>
      <w:r>
        <w:rPr>
          <w:spacing w:val="-12"/>
        </w:rPr>
        <w:t> </w:t>
      </w:r>
      <w:r>
        <w:rPr/>
        <w:t>FRS</w:t>
      </w:r>
      <w:r>
        <w:rPr>
          <w:spacing w:val="-14"/>
        </w:rPr>
        <w:t> </w:t>
      </w:r>
      <w:r>
        <w:rPr/>
        <w:t>102</w:t>
      </w:r>
      <w:r>
        <w:rPr>
          <w:spacing w:val="-13"/>
        </w:rPr>
        <w:t> </w:t>
      </w:r>
      <w:r>
        <w:rPr/>
        <w:t>in</w:t>
      </w:r>
      <w:r>
        <w:rPr>
          <w:spacing w:val="-14"/>
        </w:rPr>
        <w:t> </w:t>
      </w:r>
      <w:r>
        <w:rPr/>
        <w:t>full</w:t>
      </w:r>
      <w:r>
        <w:rPr>
          <w:spacing w:val="-13"/>
        </w:rPr>
        <w:t> </w:t>
      </w:r>
      <w:r>
        <w:rPr/>
        <w:t>in</w:t>
      </w:r>
      <w:r>
        <w:rPr>
          <w:spacing w:val="-14"/>
        </w:rPr>
        <w:t> </w:t>
      </w:r>
      <w:r>
        <w:rPr/>
        <w:t>respect</w:t>
      </w:r>
      <w:r>
        <w:rPr>
          <w:spacing w:val="-14"/>
        </w:rPr>
        <w:t> </w:t>
      </w:r>
      <w:r>
        <w:rPr/>
        <w:t>of</w:t>
      </w:r>
      <w:r>
        <w:rPr>
          <w:spacing w:val="-12"/>
        </w:rPr>
        <w:t> </w:t>
      </w:r>
      <w:r>
        <w:rPr/>
        <w:t>financial</w:t>
      </w:r>
      <w:r>
        <w:rPr>
          <w:spacing w:val="-14"/>
        </w:rPr>
        <w:t> </w:t>
      </w:r>
      <w:r>
        <w:rPr>
          <w:spacing w:val="-2"/>
        </w:rPr>
        <w:t>instruments.</w:t>
      </w:r>
    </w:p>
    <w:p>
      <w:pPr>
        <w:pStyle w:val="BodyText"/>
        <w:spacing w:before="1"/>
      </w:pPr>
    </w:p>
    <w:p>
      <w:pPr>
        <w:pStyle w:val="Heading6"/>
      </w:pPr>
      <w:r>
        <w:rPr/>
        <w:t>Financial</w:t>
      </w:r>
      <w:r>
        <w:rPr>
          <w:spacing w:val="-8"/>
        </w:rPr>
        <w:t> </w:t>
      </w:r>
      <w:r>
        <w:rPr/>
        <w:t>assets</w:t>
      </w:r>
      <w:r>
        <w:rPr>
          <w:spacing w:val="-9"/>
        </w:rPr>
        <w:t> </w:t>
      </w:r>
      <w:r>
        <w:rPr/>
        <w:t>and</w:t>
      </w:r>
      <w:r>
        <w:rPr>
          <w:spacing w:val="-7"/>
        </w:rPr>
        <w:t> </w:t>
      </w:r>
      <w:r>
        <w:rPr>
          <w:spacing w:val="-2"/>
        </w:rPr>
        <w:t>liabilities</w:t>
      </w:r>
    </w:p>
    <w:p>
      <w:pPr>
        <w:pStyle w:val="BodyText"/>
        <w:spacing w:before="1"/>
        <w:rPr>
          <w:b/>
        </w:rPr>
      </w:pPr>
    </w:p>
    <w:p>
      <w:pPr>
        <w:pStyle w:val="BodyText"/>
        <w:ind w:left="852" w:right="709"/>
        <w:jc w:val="both"/>
      </w:pPr>
      <w:r>
        <w:rPr/>
        <w:t>Financial assets and financial liabilities are recognised when the Group becomes a party to the contractual provisions of the instrument.</w:t>
      </w:r>
    </w:p>
    <w:p>
      <w:pPr>
        <w:pStyle w:val="BodyText"/>
        <w:spacing w:before="229"/>
        <w:ind w:left="852" w:right="709"/>
        <w:jc w:val="both"/>
      </w:pPr>
      <w:r>
        <w:rPr/>
        <w:t>Financial liabilities and equity are classified according to the substance of the financial instrument’s contractual obligations, rather than the financial instrument’s legal form.</w:t>
      </w:r>
    </w:p>
    <w:p>
      <w:pPr>
        <w:pStyle w:val="BodyText"/>
        <w:spacing w:before="1"/>
      </w:pPr>
    </w:p>
    <w:p>
      <w:pPr>
        <w:pStyle w:val="BodyText"/>
        <w:ind w:left="852" w:right="706"/>
        <w:jc w:val="both"/>
      </w:pPr>
      <w:r>
        <w:rPr/>
        <w:t>All</w:t>
      </w:r>
      <w:r>
        <w:rPr>
          <w:spacing w:val="-9"/>
        </w:rPr>
        <w:t> </w:t>
      </w:r>
      <w:r>
        <w:rPr/>
        <w:t>financial</w:t>
      </w:r>
      <w:r>
        <w:rPr>
          <w:spacing w:val="-9"/>
        </w:rPr>
        <w:t> </w:t>
      </w:r>
      <w:r>
        <w:rPr/>
        <w:t>assets</w:t>
      </w:r>
      <w:r>
        <w:rPr>
          <w:spacing w:val="-4"/>
        </w:rPr>
        <w:t> </w:t>
      </w:r>
      <w:r>
        <w:rPr/>
        <w:t>and</w:t>
      </w:r>
      <w:r>
        <w:rPr>
          <w:spacing w:val="-6"/>
        </w:rPr>
        <w:t> </w:t>
      </w:r>
      <w:r>
        <w:rPr/>
        <w:t>liabilities</w:t>
      </w:r>
      <w:r>
        <w:rPr>
          <w:spacing w:val="-6"/>
        </w:rPr>
        <w:t> </w:t>
      </w:r>
      <w:r>
        <w:rPr/>
        <w:t>are</w:t>
      </w:r>
      <w:r>
        <w:rPr>
          <w:spacing w:val="-8"/>
        </w:rPr>
        <w:t> </w:t>
      </w:r>
      <w:r>
        <w:rPr/>
        <w:t>initially</w:t>
      </w:r>
      <w:r>
        <w:rPr>
          <w:spacing w:val="-4"/>
        </w:rPr>
        <w:t> </w:t>
      </w:r>
      <w:r>
        <w:rPr/>
        <w:t>measured</w:t>
      </w:r>
      <w:r>
        <w:rPr>
          <w:spacing w:val="-6"/>
        </w:rPr>
        <w:t> </w:t>
      </w:r>
      <w:r>
        <w:rPr/>
        <w:t>at</w:t>
      </w:r>
      <w:r>
        <w:rPr>
          <w:spacing w:val="-8"/>
        </w:rPr>
        <w:t> </w:t>
      </w:r>
      <w:r>
        <w:rPr/>
        <w:t>transaction</w:t>
      </w:r>
      <w:r>
        <w:rPr>
          <w:spacing w:val="-8"/>
        </w:rPr>
        <w:t> </w:t>
      </w:r>
      <w:r>
        <w:rPr/>
        <w:t>price</w:t>
      </w:r>
      <w:r>
        <w:rPr>
          <w:spacing w:val="-8"/>
        </w:rPr>
        <w:t> </w:t>
      </w:r>
      <w:r>
        <w:rPr/>
        <w:t>(including</w:t>
      </w:r>
      <w:r>
        <w:rPr>
          <w:spacing w:val="-8"/>
        </w:rPr>
        <w:t> </w:t>
      </w:r>
      <w:r>
        <w:rPr/>
        <w:t>transaction</w:t>
      </w:r>
      <w:r>
        <w:rPr>
          <w:spacing w:val="-8"/>
        </w:rPr>
        <w:t> </w:t>
      </w:r>
      <w:r>
        <w:rPr/>
        <w:t>costs), except for those financial assets measured at fair value through the statement of comprehensive income, which are initially measure at fair value (which is normally the transaction price excluding transaction</w:t>
      </w:r>
      <w:r>
        <w:rPr>
          <w:spacing w:val="-7"/>
        </w:rPr>
        <w:t> </w:t>
      </w:r>
      <w:r>
        <w:rPr/>
        <w:t>costs),</w:t>
      </w:r>
      <w:r>
        <w:rPr>
          <w:spacing w:val="-6"/>
        </w:rPr>
        <w:t> </w:t>
      </w:r>
      <w:r>
        <w:rPr/>
        <w:t>unless</w:t>
      </w:r>
      <w:r>
        <w:rPr>
          <w:spacing w:val="-5"/>
        </w:rPr>
        <w:t> </w:t>
      </w:r>
      <w:r>
        <w:rPr/>
        <w:t>arrangement</w:t>
      </w:r>
      <w:r>
        <w:rPr>
          <w:spacing w:val="-6"/>
        </w:rPr>
        <w:t> </w:t>
      </w:r>
      <w:r>
        <w:rPr/>
        <w:t>constitutes</w:t>
      </w:r>
      <w:r>
        <w:rPr>
          <w:spacing w:val="-5"/>
        </w:rPr>
        <w:t> </w:t>
      </w:r>
      <w:r>
        <w:rPr/>
        <w:t>a</w:t>
      </w:r>
      <w:r>
        <w:rPr>
          <w:spacing w:val="-7"/>
        </w:rPr>
        <w:t> </w:t>
      </w:r>
      <w:r>
        <w:rPr/>
        <w:t>financing</w:t>
      </w:r>
      <w:r>
        <w:rPr>
          <w:spacing w:val="-7"/>
        </w:rPr>
        <w:t> </w:t>
      </w:r>
      <w:r>
        <w:rPr/>
        <w:t>transaction.</w:t>
      </w:r>
      <w:r>
        <w:rPr>
          <w:spacing w:val="-6"/>
        </w:rPr>
        <w:t> </w:t>
      </w:r>
      <w:r>
        <w:rPr/>
        <w:t>A</w:t>
      </w:r>
      <w:r>
        <w:rPr>
          <w:spacing w:val="-7"/>
        </w:rPr>
        <w:t> </w:t>
      </w:r>
      <w:r>
        <w:rPr/>
        <w:t>financial</w:t>
      </w:r>
      <w:r>
        <w:rPr>
          <w:spacing w:val="-5"/>
        </w:rPr>
        <w:t> </w:t>
      </w:r>
      <w:r>
        <w:rPr/>
        <w:t>asset</w:t>
      </w:r>
      <w:r>
        <w:rPr>
          <w:spacing w:val="-6"/>
        </w:rPr>
        <w:t> </w:t>
      </w:r>
      <w:r>
        <w:rPr/>
        <w:t>or</w:t>
      </w:r>
      <w:r>
        <w:rPr>
          <w:spacing w:val="-5"/>
        </w:rPr>
        <w:t> </w:t>
      </w:r>
      <w:r>
        <w:rPr/>
        <w:t>financial liability that is payable or receivable in one year is measured at the undiscounted amount expected to be</w:t>
      </w:r>
      <w:r>
        <w:rPr>
          <w:spacing w:val="-6"/>
        </w:rPr>
        <w:t> </w:t>
      </w:r>
      <w:r>
        <w:rPr/>
        <w:t>received</w:t>
      </w:r>
      <w:r>
        <w:rPr>
          <w:spacing w:val="-4"/>
        </w:rPr>
        <w:t> </w:t>
      </w:r>
      <w:r>
        <w:rPr/>
        <w:t>or</w:t>
      </w:r>
      <w:r>
        <w:rPr>
          <w:spacing w:val="-5"/>
        </w:rPr>
        <w:t> </w:t>
      </w:r>
      <w:r>
        <w:rPr/>
        <w:t>paid</w:t>
      </w:r>
      <w:r>
        <w:rPr>
          <w:spacing w:val="-4"/>
        </w:rPr>
        <w:t> </w:t>
      </w:r>
      <w:r>
        <w:rPr/>
        <w:t>net</w:t>
      </w:r>
      <w:r>
        <w:rPr>
          <w:spacing w:val="-4"/>
        </w:rPr>
        <w:t> </w:t>
      </w:r>
      <w:r>
        <w:rPr/>
        <w:t>of</w:t>
      </w:r>
      <w:r>
        <w:rPr>
          <w:spacing w:val="-4"/>
        </w:rPr>
        <w:t> </w:t>
      </w:r>
      <w:r>
        <w:rPr/>
        <w:t>impairment,</w:t>
      </w:r>
      <w:r>
        <w:rPr>
          <w:spacing w:val="-6"/>
        </w:rPr>
        <w:t> </w:t>
      </w:r>
      <w:r>
        <w:rPr/>
        <w:t>unless</w:t>
      </w:r>
      <w:r>
        <w:rPr>
          <w:spacing w:val="-5"/>
        </w:rPr>
        <w:t> </w:t>
      </w:r>
      <w:r>
        <w:rPr/>
        <w:t>it</w:t>
      </w:r>
      <w:r>
        <w:rPr>
          <w:spacing w:val="-4"/>
        </w:rPr>
        <w:t> </w:t>
      </w:r>
      <w:r>
        <w:rPr/>
        <w:t>is</w:t>
      </w:r>
      <w:r>
        <w:rPr>
          <w:spacing w:val="-5"/>
        </w:rPr>
        <w:t> </w:t>
      </w:r>
      <w:r>
        <w:rPr/>
        <w:t>a</w:t>
      </w:r>
      <w:r>
        <w:rPr>
          <w:spacing w:val="-6"/>
        </w:rPr>
        <w:t> </w:t>
      </w:r>
      <w:r>
        <w:rPr/>
        <w:t>financing</w:t>
      </w:r>
      <w:r>
        <w:rPr>
          <w:spacing w:val="-6"/>
        </w:rPr>
        <w:t> </w:t>
      </w:r>
      <w:r>
        <w:rPr/>
        <w:t>transaction.</w:t>
      </w:r>
      <w:r>
        <w:rPr>
          <w:spacing w:val="-6"/>
        </w:rPr>
        <w:t> </w:t>
      </w:r>
      <w:r>
        <w:rPr/>
        <w:t>If</w:t>
      </w:r>
      <w:r>
        <w:rPr>
          <w:spacing w:val="-4"/>
        </w:rPr>
        <w:t> </w:t>
      </w:r>
      <w:r>
        <w:rPr/>
        <w:t>an</w:t>
      </w:r>
      <w:r>
        <w:rPr>
          <w:spacing w:val="-4"/>
        </w:rPr>
        <w:t> </w:t>
      </w:r>
      <w:r>
        <w:rPr/>
        <w:t>arrangement</w:t>
      </w:r>
      <w:r>
        <w:rPr>
          <w:spacing w:val="-6"/>
        </w:rPr>
        <w:t> </w:t>
      </w:r>
      <w:r>
        <w:rPr/>
        <w:t>constitutes a financing transaction, the financial asset or financial liability is measured at the present value of the future payments discounted at a market rate of interest for a similar debt instrument.</w:t>
      </w:r>
    </w:p>
    <w:p>
      <w:pPr>
        <w:pStyle w:val="BodyText"/>
      </w:pPr>
    </w:p>
    <w:p>
      <w:pPr>
        <w:pStyle w:val="BodyText"/>
        <w:ind w:left="852" w:right="709"/>
        <w:jc w:val="both"/>
      </w:pPr>
      <w:r>
        <w:rPr/>
        <w:t>Financial assets and financial liabilities are offset only when there is a current legally enforceable right to</w:t>
      </w:r>
      <w:r>
        <w:rPr>
          <w:spacing w:val="-6"/>
        </w:rPr>
        <w:t> </w:t>
      </w:r>
      <w:r>
        <w:rPr/>
        <w:t>set</w:t>
      </w:r>
      <w:r>
        <w:rPr>
          <w:spacing w:val="-5"/>
        </w:rPr>
        <w:t> </w:t>
      </w:r>
      <w:r>
        <w:rPr/>
        <w:t>off</w:t>
      </w:r>
      <w:r>
        <w:rPr>
          <w:spacing w:val="-5"/>
        </w:rPr>
        <w:t> </w:t>
      </w:r>
      <w:r>
        <w:rPr/>
        <w:t>the</w:t>
      </w:r>
      <w:r>
        <w:rPr>
          <w:spacing w:val="-6"/>
        </w:rPr>
        <w:t> </w:t>
      </w:r>
      <w:r>
        <w:rPr/>
        <w:t>recognised</w:t>
      </w:r>
      <w:r>
        <w:rPr>
          <w:spacing w:val="-6"/>
        </w:rPr>
        <w:t> </w:t>
      </w:r>
      <w:r>
        <w:rPr/>
        <w:t>amounts</w:t>
      </w:r>
      <w:r>
        <w:rPr>
          <w:spacing w:val="-4"/>
        </w:rPr>
        <w:t> </w:t>
      </w:r>
      <w:r>
        <w:rPr/>
        <w:t>and</w:t>
      </w:r>
      <w:r>
        <w:rPr>
          <w:spacing w:val="-6"/>
        </w:rPr>
        <w:t> </w:t>
      </w:r>
      <w:r>
        <w:rPr/>
        <w:t>the</w:t>
      </w:r>
      <w:r>
        <w:rPr>
          <w:spacing w:val="-6"/>
        </w:rPr>
        <w:t> </w:t>
      </w:r>
      <w:r>
        <w:rPr/>
        <w:t>intention</w:t>
      </w:r>
      <w:r>
        <w:rPr>
          <w:spacing w:val="-6"/>
        </w:rPr>
        <w:t> </w:t>
      </w:r>
      <w:r>
        <w:rPr/>
        <w:t>to</w:t>
      </w:r>
      <w:r>
        <w:rPr>
          <w:spacing w:val="-3"/>
        </w:rPr>
        <w:t> </w:t>
      </w:r>
      <w:r>
        <w:rPr/>
        <w:t>either</w:t>
      </w:r>
      <w:r>
        <w:rPr>
          <w:spacing w:val="-4"/>
        </w:rPr>
        <w:t> </w:t>
      </w:r>
      <w:r>
        <w:rPr/>
        <w:t>settle</w:t>
      </w:r>
      <w:r>
        <w:rPr>
          <w:spacing w:val="-6"/>
        </w:rPr>
        <w:t> </w:t>
      </w:r>
      <w:r>
        <w:rPr/>
        <w:t>on</w:t>
      </w:r>
      <w:r>
        <w:rPr>
          <w:spacing w:val="-3"/>
        </w:rPr>
        <w:t> </w:t>
      </w:r>
      <w:r>
        <w:rPr/>
        <w:t>a</w:t>
      </w:r>
      <w:r>
        <w:rPr>
          <w:spacing w:val="-6"/>
        </w:rPr>
        <w:t> </w:t>
      </w:r>
      <w:r>
        <w:rPr/>
        <w:t>net</w:t>
      </w:r>
      <w:r>
        <w:rPr>
          <w:spacing w:val="-5"/>
        </w:rPr>
        <w:t> </w:t>
      </w:r>
      <w:r>
        <w:rPr/>
        <w:t>basis,</w:t>
      </w:r>
      <w:r>
        <w:rPr>
          <w:spacing w:val="-3"/>
        </w:rPr>
        <w:t> </w:t>
      </w:r>
      <w:r>
        <w:rPr/>
        <w:t>or</w:t>
      </w:r>
      <w:r>
        <w:rPr>
          <w:spacing w:val="-4"/>
        </w:rPr>
        <w:t> </w:t>
      </w:r>
      <w:r>
        <w:rPr/>
        <w:t>to</w:t>
      </w:r>
      <w:r>
        <w:rPr>
          <w:spacing w:val="-6"/>
        </w:rPr>
        <w:t> </w:t>
      </w:r>
      <w:r>
        <w:rPr/>
        <w:t>realise</w:t>
      </w:r>
      <w:r>
        <w:rPr>
          <w:spacing w:val="-6"/>
        </w:rPr>
        <w:t> </w:t>
      </w:r>
      <w:r>
        <w:rPr/>
        <w:t>the</w:t>
      </w:r>
      <w:r>
        <w:rPr>
          <w:spacing w:val="-6"/>
        </w:rPr>
        <w:t> </w:t>
      </w:r>
      <w:r>
        <w:rPr/>
        <w:t>asset and settle the liability simultaneously.</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rPr>
          <w:b/>
          <w:sz w:val="24"/>
        </w:rPr>
      </w:pPr>
    </w:p>
    <w:p>
      <w:pPr>
        <w:pStyle w:val="Heading5"/>
        <w:numPr>
          <w:ilvl w:val="0"/>
          <w:numId w:val="12"/>
        </w:numPr>
        <w:tabs>
          <w:tab w:pos="852" w:val="left" w:leader="none"/>
        </w:tabs>
        <w:spacing w:line="240" w:lineRule="auto" w:before="0" w:after="0"/>
        <w:ind w:left="852" w:right="0" w:hanging="427"/>
        <w:jc w:val="left"/>
      </w:pPr>
      <w:r>
        <w:rPr/>
        <w:t>Accounting</w:t>
      </w:r>
      <w:r>
        <w:rPr>
          <w:spacing w:val="-6"/>
        </w:rPr>
        <w:t> </w:t>
      </w:r>
      <w:r>
        <w:rPr/>
        <w:t>policies</w:t>
      </w:r>
      <w:r>
        <w:rPr>
          <w:spacing w:val="-7"/>
        </w:rPr>
        <w:t> </w:t>
      </w:r>
      <w:r>
        <w:rPr>
          <w:spacing w:val="-2"/>
        </w:rPr>
        <w:t>(continued)</w:t>
      </w:r>
    </w:p>
    <w:p>
      <w:pPr>
        <w:pStyle w:val="BodyText"/>
        <w:spacing w:before="44"/>
        <w:rPr>
          <w:b/>
        </w:rPr>
      </w:pPr>
    </w:p>
    <w:p>
      <w:pPr>
        <w:pStyle w:val="Heading6"/>
      </w:pPr>
      <w:r>
        <w:rPr/>
        <w:t>Financial</w:t>
      </w:r>
      <w:r>
        <w:rPr>
          <w:spacing w:val="-9"/>
        </w:rPr>
        <w:t> </w:t>
      </w:r>
      <w:r>
        <w:rPr/>
        <w:t>assets</w:t>
      </w:r>
      <w:r>
        <w:rPr>
          <w:spacing w:val="-11"/>
        </w:rPr>
        <w:t> </w:t>
      </w:r>
      <w:r>
        <w:rPr/>
        <w:t>and</w:t>
      </w:r>
      <w:r>
        <w:rPr>
          <w:spacing w:val="-8"/>
        </w:rPr>
        <w:t> </w:t>
      </w:r>
      <w:r>
        <w:rPr/>
        <w:t>liabilities</w:t>
      </w:r>
      <w:r>
        <w:rPr>
          <w:spacing w:val="-11"/>
        </w:rPr>
        <w:t> </w:t>
      </w:r>
      <w:r>
        <w:rPr>
          <w:spacing w:val="-2"/>
        </w:rPr>
        <w:t>(continued)</w:t>
      </w:r>
    </w:p>
    <w:p>
      <w:pPr>
        <w:pStyle w:val="BodyText"/>
        <w:spacing w:before="1"/>
        <w:rPr>
          <w:b/>
        </w:rPr>
      </w:pPr>
    </w:p>
    <w:p>
      <w:pPr>
        <w:pStyle w:val="BodyText"/>
        <w:ind w:left="852" w:right="709"/>
        <w:jc w:val="both"/>
      </w:pPr>
      <w:r>
        <w:rPr/>
        <w:t>A</w:t>
      </w:r>
      <w:r>
        <w:rPr>
          <w:spacing w:val="-6"/>
        </w:rPr>
        <w:t> </w:t>
      </w:r>
      <w:r>
        <w:rPr/>
        <w:t>financial</w:t>
      </w:r>
      <w:r>
        <w:rPr>
          <w:spacing w:val="-6"/>
        </w:rPr>
        <w:t> </w:t>
      </w:r>
      <w:r>
        <w:rPr/>
        <w:t>asset</w:t>
      </w:r>
      <w:r>
        <w:rPr>
          <w:spacing w:val="-4"/>
        </w:rPr>
        <w:t> </w:t>
      </w:r>
      <w:r>
        <w:rPr/>
        <w:t>is</w:t>
      </w:r>
      <w:r>
        <w:rPr>
          <w:spacing w:val="-5"/>
        </w:rPr>
        <w:t> </w:t>
      </w:r>
      <w:r>
        <w:rPr/>
        <w:t>derecognised</w:t>
      </w:r>
      <w:r>
        <w:rPr>
          <w:spacing w:val="-4"/>
        </w:rPr>
        <w:t> </w:t>
      </w:r>
      <w:r>
        <w:rPr/>
        <w:t>only</w:t>
      </w:r>
      <w:r>
        <w:rPr>
          <w:spacing w:val="-5"/>
        </w:rPr>
        <w:t> </w:t>
      </w:r>
      <w:r>
        <w:rPr/>
        <w:t>when</w:t>
      </w:r>
      <w:r>
        <w:rPr>
          <w:spacing w:val="-6"/>
        </w:rPr>
        <w:t> </w:t>
      </w:r>
      <w:r>
        <w:rPr/>
        <w:t>the</w:t>
      </w:r>
      <w:r>
        <w:rPr>
          <w:spacing w:val="-4"/>
        </w:rPr>
        <w:t> </w:t>
      </w:r>
      <w:r>
        <w:rPr/>
        <w:t>contractual</w:t>
      </w:r>
      <w:r>
        <w:rPr>
          <w:spacing w:val="-6"/>
        </w:rPr>
        <w:t> </w:t>
      </w:r>
      <w:r>
        <w:rPr/>
        <w:t>rights</w:t>
      </w:r>
      <w:r>
        <w:rPr>
          <w:spacing w:val="-3"/>
        </w:rPr>
        <w:t> </w:t>
      </w:r>
      <w:r>
        <w:rPr/>
        <w:t>to</w:t>
      </w:r>
      <w:r>
        <w:rPr>
          <w:spacing w:val="-6"/>
        </w:rPr>
        <w:t> </w:t>
      </w:r>
      <w:r>
        <w:rPr/>
        <w:t>cash</w:t>
      </w:r>
      <w:r>
        <w:rPr>
          <w:spacing w:val="-4"/>
        </w:rPr>
        <w:t> </w:t>
      </w:r>
      <w:r>
        <w:rPr/>
        <w:t>flows</w:t>
      </w:r>
      <w:r>
        <w:rPr>
          <w:spacing w:val="-5"/>
        </w:rPr>
        <w:t> </w:t>
      </w:r>
      <w:r>
        <w:rPr/>
        <w:t>expire</w:t>
      </w:r>
      <w:r>
        <w:rPr>
          <w:spacing w:val="-4"/>
        </w:rPr>
        <w:t> </w:t>
      </w:r>
      <w:r>
        <w:rPr/>
        <w:t>or</w:t>
      </w:r>
      <w:r>
        <w:rPr>
          <w:spacing w:val="-5"/>
        </w:rPr>
        <w:t> </w:t>
      </w:r>
      <w:r>
        <w:rPr/>
        <w:t>are</w:t>
      </w:r>
      <w:r>
        <w:rPr>
          <w:spacing w:val="-4"/>
        </w:rPr>
        <w:t> </w:t>
      </w:r>
      <w:r>
        <w:rPr/>
        <w:t>settled,</w:t>
      </w:r>
      <w:r>
        <w:rPr>
          <w:spacing w:val="-4"/>
        </w:rPr>
        <w:t> </w:t>
      </w:r>
      <w:r>
        <w:rPr/>
        <w:t>or substantially</w:t>
      </w:r>
      <w:r>
        <w:rPr>
          <w:spacing w:val="-14"/>
        </w:rPr>
        <w:t> </w:t>
      </w:r>
      <w:r>
        <w:rPr/>
        <w:t>all</w:t>
      </w:r>
      <w:r>
        <w:rPr>
          <w:spacing w:val="-14"/>
        </w:rPr>
        <w:t> </w:t>
      </w:r>
      <w:r>
        <w:rPr/>
        <w:t>the</w:t>
      </w:r>
      <w:r>
        <w:rPr>
          <w:spacing w:val="-14"/>
        </w:rPr>
        <w:t> </w:t>
      </w:r>
      <w:r>
        <w:rPr/>
        <w:t>risks</w:t>
      </w:r>
      <w:r>
        <w:rPr>
          <w:spacing w:val="-14"/>
        </w:rPr>
        <w:t> </w:t>
      </w:r>
      <w:r>
        <w:rPr/>
        <w:t>and</w:t>
      </w:r>
      <w:r>
        <w:rPr>
          <w:spacing w:val="-14"/>
        </w:rPr>
        <w:t> </w:t>
      </w:r>
      <w:r>
        <w:rPr/>
        <w:t>rewards</w:t>
      </w:r>
      <w:r>
        <w:rPr>
          <w:spacing w:val="-14"/>
        </w:rPr>
        <w:t> </w:t>
      </w:r>
      <w:r>
        <w:rPr/>
        <w:t>of</w:t>
      </w:r>
      <w:r>
        <w:rPr>
          <w:spacing w:val="-14"/>
        </w:rPr>
        <w:t> </w:t>
      </w:r>
      <w:r>
        <w:rPr/>
        <w:t>ownership</w:t>
      </w:r>
      <w:r>
        <w:rPr>
          <w:spacing w:val="-14"/>
        </w:rPr>
        <w:t> </w:t>
      </w:r>
      <w:r>
        <w:rPr/>
        <w:t>are</w:t>
      </w:r>
      <w:r>
        <w:rPr>
          <w:spacing w:val="-14"/>
        </w:rPr>
        <w:t> </w:t>
      </w:r>
      <w:r>
        <w:rPr/>
        <w:t>transferred</w:t>
      </w:r>
      <w:r>
        <w:rPr>
          <w:spacing w:val="-13"/>
        </w:rPr>
        <w:t> </w:t>
      </w:r>
      <w:r>
        <w:rPr/>
        <w:t>to</w:t>
      </w:r>
      <w:r>
        <w:rPr>
          <w:spacing w:val="-14"/>
        </w:rPr>
        <w:t> </w:t>
      </w:r>
      <w:r>
        <w:rPr/>
        <w:t>another</w:t>
      </w:r>
      <w:r>
        <w:rPr>
          <w:spacing w:val="-14"/>
        </w:rPr>
        <w:t> </w:t>
      </w:r>
      <w:r>
        <w:rPr/>
        <w:t>party,</w:t>
      </w:r>
      <w:r>
        <w:rPr>
          <w:spacing w:val="-14"/>
        </w:rPr>
        <w:t> </w:t>
      </w:r>
      <w:r>
        <w:rPr/>
        <w:t>or</w:t>
      </w:r>
      <w:r>
        <w:rPr>
          <w:spacing w:val="-14"/>
        </w:rPr>
        <w:t> </w:t>
      </w:r>
      <w:r>
        <w:rPr/>
        <w:t>if</w:t>
      </w:r>
      <w:r>
        <w:rPr>
          <w:spacing w:val="-14"/>
        </w:rPr>
        <w:t> </w:t>
      </w:r>
      <w:r>
        <w:rPr/>
        <w:t>some</w:t>
      </w:r>
      <w:r>
        <w:rPr>
          <w:spacing w:val="-14"/>
        </w:rPr>
        <w:t> </w:t>
      </w:r>
      <w:r>
        <w:rPr/>
        <w:t>significant risks</w:t>
      </w:r>
      <w:r>
        <w:rPr>
          <w:spacing w:val="-10"/>
        </w:rPr>
        <w:t> </w:t>
      </w:r>
      <w:r>
        <w:rPr/>
        <w:t>and</w:t>
      </w:r>
      <w:r>
        <w:rPr>
          <w:spacing w:val="-11"/>
        </w:rPr>
        <w:t> </w:t>
      </w:r>
      <w:r>
        <w:rPr/>
        <w:t>rewards</w:t>
      </w:r>
      <w:r>
        <w:rPr>
          <w:spacing w:val="-10"/>
        </w:rPr>
        <w:t> </w:t>
      </w:r>
      <w:r>
        <w:rPr/>
        <w:t>of</w:t>
      </w:r>
      <w:r>
        <w:rPr>
          <w:spacing w:val="-11"/>
        </w:rPr>
        <w:t> </w:t>
      </w:r>
      <w:r>
        <w:rPr/>
        <w:t>ownership</w:t>
      </w:r>
      <w:r>
        <w:rPr>
          <w:spacing w:val="-11"/>
        </w:rPr>
        <w:t> </w:t>
      </w:r>
      <w:r>
        <w:rPr/>
        <w:t>are</w:t>
      </w:r>
      <w:r>
        <w:rPr>
          <w:spacing w:val="-11"/>
        </w:rPr>
        <w:t> </w:t>
      </w:r>
      <w:r>
        <w:rPr/>
        <w:t>retained</w:t>
      </w:r>
      <w:r>
        <w:rPr>
          <w:spacing w:val="-11"/>
        </w:rPr>
        <w:t> </w:t>
      </w:r>
      <w:r>
        <w:rPr/>
        <w:t>but</w:t>
      </w:r>
      <w:r>
        <w:rPr>
          <w:spacing w:val="-11"/>
        </w:rPr>
        <w:t> </w:t>
      </w:r>
      <w:r>
        <w:rPr/>
        <w:t>control</w:t>
      </w:r>
      <w:r>
        <w:rPr>
          <w:spacing w:val="-10"/>
        </w:rPr>
        <w:t> </w:t>
      </w:r>
      <w:r>
        <w:rPr/>
        <w:t>of</w:t>
      </w:r>
      <w:r>
        <w:rPr>
          <w:spacing w:val="-11"/>
        </w:rPr>
        <w:t> </w:t>
      </w:r>
      <w:r>
        <w:rPr/>
        <w:t>the</w:t>
      </w:r>
      <w:r>
        <w:rPr>
          <w:spacing w:val="-11"/>
        </w:rPr>
        <w:t> </w:t>
      </w:r>
      <w:r>
        <w:rPr/>
        <w:t>asset</w:t>
      </w:r>
      <w:r>
        <w:rPr>
          <w:spacing w:val="-11"/>
        </w:rPr>
        <w:t> </w:t>
      </w:r>
      <w:r>
        <w:rPr/>
        <w:t>has</w:t>
      </w:r>
      <w:r>
        <w:rPr>
          <w:spacing w:val="-10"/>
        </w:rPr>
        <w:t> </w:t>
      </w:r>
      <w:r>
        <w:rPr/>
        <w:t>transferred</w:t>
      </w:r>
      <w:r>
        <w:rPr>
          <w:spacing w:val="-9"/>
        </w:rPr>
        <w:t> </w:t>
      </w:r>
      <w:r>
        <w:rPr/>
        <w:t>to</w:t>
      </w:r>
      <w:r>
        <w:rPr>
          <w:spacing w:val="-11"/>
        </w:rPr>
        <w:t> </w:t>
      </w:r>
      <w:r>
        <w:rPr/>
        <w:t>another</w:t>
      </w:r>
      <w:r>
        <w:rPr>
          <w:spacing w:val="-10"/>
        </w:rPr>
        <w:t> </w:t>
      </w:r>
      <w:r>
        <w:rPr/>
        <w:t>party</w:t>
      </w:r>
      <w:r>
        <w:rPr>
          <w:spacing w:val="-10"/>
        </w:rPr>
        <w:t> </w:t>
      </w:r>
      <w:r>
        <w:rPr/>
        <w:t>that is able to sell the asset in its entirety to an unrelated third party. A financial liability (or part thereof) is derecognised when the obligation specified in the contract is discharged, cancelled or expires.</w:t>
      </w:r>
    </w:p>
    <w:p>
      <w:pPr>
        <w:pStyle w:val="BodyText"/>
        <w:spacing w:before="1"/>
      </w:pPr>
    </w:p>
    <w:p>
      <w:pPr>
        <w:pStyle w:val="Heading6"/>
        <w:jc w:val="left"/>
      </w:pPr>
      <w:r>
        <w:rPr>
          <w:spacing w:val="-2"/>
        </w:rPr>
        <w:t>Taxation</w:t>
      </w:r>
    </w:p>
    <w:p>
      <w:pPr>
        <w:pStyle w:val="BodyText"/>
        <w:spacing w:before="1"/>
        <w:rPr>
          <w:b/>
        </w:rPr>
      </w:pPr>
    </w:p>
    <w:p>
      <w:pPr>
        <w:pStyle w:val="BodyText"/>
        <w:ind w:left="852" w:right="707"/>
        <w:jc w:val="both"/>
      </w:pPr>
      <w:r>
        <w:rPr/>
        <w:t>The College is considered to pass the tests set out in Paragraph 1 Schedule 6 Finance Act 2010 and therefore it meets the definition of a charitable company for UK corporation tax purposes. Accordingly, the College is potentially exempt from taxation in respect of income or capital gains received within categories</w:t>
      </w:r>
      <w:r>
        <w:rPr>
          <w:spacing w:val="-7"/>
        </w:rPr>
        <w:t> </w:t>
      </w:r>
      <w:r>
        <w:rPr/>
        <w:t>covered</w:t>
      </w:r>
      <w:r>
        <w:rPr>
          <w:spacing w:val="-7"/>
        </w:rPr>
        <w:t> </w:t>
      </w:r>
      <w:r>
        <w:rPr/>
        <w:t>by</w:t>
      </w:r>
      <w:r>
        <w:rPr>
          <w:spacing w:val="-7"/>
        </w:rPr>
        <w:t> </w:t>
      </w:r>
      <w:r>
        <w:rPr/>
        <w:t>sections</w:t>
      </w:r>
      <w:r>
        <w:rPr>
          <w:spacing w:val="-7"/>
        </w:rPr>
        <w:t> </w:t>
      </w:r>
      <w:r>
        <w:rPr/>
        <w:t>478-488</w:t>
      </w:r>
      <w:r>
        <w:rPr>
          <w:spacing w:val="-7"/>
        </w:rPr>
        <w:t> </w:t>
      </w:r>
      <w:r>
        <w:rPr/>
        <w:t>of</w:t>
      </w:r>
      <w:r>
        <w:rPr>
          <w:spacing w:val="-9"/>
        </w:rPr>
        <w:t> </w:t>
      </w:r>
      <w:r>
        <w:rPr/>
        <w:t>the</w:t>
      </w:r>
      <w:r>
        <w:rPr>
          <w:spacing w:val="-9"/>
        </w:rPr>
        <w:t> </w:t>
      </w:r>
      <w:r>
        <w:rPr/>
        <w:t>Corporation</w:t>
      </w:r>
      <w:r>
        <w:rPr>
          <w:spacing w:val="-9"/>
        </w:rPr>
        <w:t> </w:t>
      </w:r>
      <w:r>
        <w:rPr/>
        <w:t>Tax</w:t>
      </w:r>
      <w:r>
        <w:rPr>
          <w:spacing w:val="-7"/>
        </w:rPr>
        <w:t> </w:t>
      </w:r>
      <w:r>
        <w:rPr/>
        <w:t>Act</w:t>
      </w:r>
      <w:r>
        <w:rPr>
          <w:spacing w:val="-9"/>
        </w:rPr>
        <w:t> </w:t>
      </w:r>
      <w:r>
        <w:rPr/>
        <w:t>2010</w:t>
      </w:r>
      <w:r>
        <w:rPr>
          <w:spacing w:val="-7"/>
        </w:rPr>
        <w:t> </w:t>
      </w:r>
      <w:r>
        <w:rPr/>
        <w:t>or</w:t>
      </w:r>
      <w:r>
        <w:rPr>
          <w:spacing w:val="-8"/>
        </w:rPr>
        <w:t> </w:t>
      </w:r>
      <w:r>
        <w:rPr/>
        <w:t>Section</w:t>
      </w:r>
      <w:r>
        <w:rPr>
          <w:spacing w:val="-9"/>
        </w:rPr>
        <w:t> </w:t>
      </w:r>
      <w:r>
        <w:rPr/>
        <w:t>256</w:t>
      </w:r>
      <w:r>
        <w:rPr>
          <w:spacing w:val="-7"/>
        </w:rPr>
        <w:t> </w:t>
      </w:r>
      <w:r>
        <w:rPr/>
        <w:t>of</w:t>
      </w:r>
      <w:r>
        <w:rPr>
          <w:spacing w:val="-9"/>
        </w:rPr>
        <w:t> </w:t>
      </w:r>
      <w:r>
        <w:rPr/>
        <w:t>the</w:t>
      </w:r>
      <w:r>
        <w:rPr>
          <w:spacing w:val="-9"/>
        </w:rPr>
        <w:t> </w:t>
      </w:r>
      <w:r>
        <w:rPr/>
        <w:t>Taxation of Chargeable Gains Act 1992, to the extent that such income or gains are applied exclusively to charitable purposes.</w:t>
      </w:r>
    </w:p>
    <w:p>
      <w:pPr>
        <w:pStyle w:val="BodyText"/>
        <w:spacing w:before="1"/>
      </w:pPr>
    </w:p>
    <w:p>
      <w:pPr>
        <w:pStyle w:val="BodyText"/>
        <w:ind w:left="852" w:right="705" w:hanging="1"/>
        <w:jc w:val="both"/>
      </w:pPr>
      <w:r>
        <w:rPr/>
        <w:t>The College receives no similar exemption in respect of value added tax (VAT). For this reason the College is generally unable to recover input VAT it suffers on goods and services purchased. Capital costs</w:t>
      </w:r>
      <w:r>
        <w:rPr>
          <w:spacing w:val="-7"/>
        </w:rPr>
        <w:t> </w:t>
      </w:r>
      <w:r>
        <w:rPr/>
        <w:t>and</w:t>
      </w:r>
      <w:r>
        <w:rPr>
          <w:spacing w:val="-9"/>
        </w:rPr>
        <w:t> </w:t>
      </w:r>
      <w:r>
        <w:rPr/>
        <w:t>non-pay</w:t>
      </w:r>
      <w:r>
        <w:rPr>
          <w:spacing w:val="-7"/>
        </w:rPr>
        <w:t> </w:t>
      </w:r>
      <w:r>
        <w:rPr/>
        <w:t>expenditure</w:t>
      </w:r>
      <w:r>
        <w:rPr>
          <w:spacing w:val="-9"/>
        </w:rPr>
        <w:t> </w:t>
      </w:r>
      <w:r>
        <w:rPr/>
        <w:t>are</w:t>
      </w:r>
      <w:r>
        <w:rPr>
          <w:spacing w:val="-9"/>
        </w:rPr>
        <w:t> </w:t>
      </w:r>
      <w:r>
        <w:rPr/>
        <w:t>therefore</w:t>
      </w:r>
      <w:r>
        <w:rPr>
          <w:spacing w:val="-9"/>
        </w:rPr>
        <w:t> </w:t>
      </w:r>
      <w:r>
        <w:rPr/>
        <w:t>shown</w:t>
      </w:r>
      <w:r>
        <w:rPr>
          <w:spacing w:val="-7"/>
        </w:rPr>
        <w:t> </w:t>
      </w:r>
      <w:r>
        <w:rPr/>
        <w:t>inclusive</w:t>
      </w:r>
      <w:r>
        <w:rPr>
          <w:spacing w:val="-9"/>
        </w:rPr>
        <w:t> </w:t>
      </w:r>
      <w:r>
        <w:rPr/>
        <w:t>of</w:t>
      </w:r>
      <w:r>
        <w:rPr>
          <w:spacing w:val="-9"/>
        </w:rPr>
        <w:t> </w:t>
      </w:r>
      <w:r>
        <w:rPr/>
        <w:t>VAT</w:t>
      </w:r>
      <w:r>
        <w:rPr>
          <w:spacing w:val="-8"/>
        </w:rPr>
        <w:t> </w:t>
      </w:r>
      <w:r>
        <w:rPr/>
        <w:t>with</w:t>
      </w:r>
      <w:r>
        <w:rPr>
          <w:spacing w:val="-9"/>
        </w:rPr>
        <w:t> </w:t>
      </w:r>
      <w:r>
        <w:rPr/>
        <w:t>any</w:t>
      </w:r>
      <w:r>
        <w:rPr>
          <w:spacing w:val="-7"/>
        </w:rPr>
        <w:t> </w:t>
      </w:r>
      <w:r>
        <w:rPr/>
        <w:t>partial</w:t>
      </w:r>
      <w:r>
        <w:rPr>
          <w:spacing w:val="-10"/>
        </w:rPr>
        <w:t> </w:t>
      </w:r>
      <w:r>
        <w:rPr/>
        <w:t>recovery</w:t>
      </w:r>
      <w:r>
        <w:rPr>
          <w:spacing w:val="-7"/>
        </w:rPr>
        <w:t> </w:t>
      </w:r>
      <w:r>
        <w:rPr/>
        <w:t>netted</w:t>
      </w:r>
      <w:r>
        <w:rPr>
          <w:spacing w:val="-9"/>
        </w:rPr>
        <w:t> </w:t>
      </w:r>
      <w:r>
        <w:rPr/>
        <w:t>off against these figures.</w:t>
      </w:r>
    </w:p>
    <w:p>
      <w:pPr>
        <w:pStyle w:val="BodyText"/>
      </w:pPr>
    </w:p>
    <w:p>
      <w:pPr>
        <w:pStyle w:val="BodyText"/>
        <w:ind w:left="852"/>
      </w:pPr>
      <w:r>
        <w:rPr/>
        <w:t>The College’s subsidiary companies are subject to corporation tax and VAT in the same way as any</w:t>
      </w:r>
      <w:r>
        <w:rPr>
          <w:spacing w:val="40"/>
        </w:rPr>
        <w:t> </w:t>
      </w:r>
      <w:r>
        <w:rPr/>
        <w:t>commercial organisation.</w:t>
      </w:r>
    </w:p>
    <w:p>
      <w:pPr>
        <w:pStyle w:val="Heading6"/>
        <w:spacing w:before="229"/>
        <w:jc w:val="left"/>
      </w:pPr>
      <w:r>
        <w:rPr/>
        <w:t>Provisions</w:t>
      </w:r>
      <w:r>
        <w:rPr>
          <w:spacing w:val="-11"/>
        </w:rPr>
        <w:t> </w:t>
      </w:r>
      <w:r>
        <w:rPr/>
        <w:t>and</w:t>
      </w:r>
      <w:r>
        <w:rPr>
          <w:spacing w:val="-9"/>
        </w:rPr>
        <w:t> </w:t>
      </w:r>
      <w:r>
        <w:rPr/>
        <w:t>contingent</w:t>
      </w:r>
      <w:r>
        <w:rPr>
          <w:spacing w:val="-9"/>
        </w:rPr>
        <w:t> </w:t>
      </w:r>
      <w:r>
        <w:rPr>
          <w:spacing w:val="-2"/>
        </w:rPr>
        <w:t>liabilities</w:t>
      </w:r>
    </w:p>
    <w:p>
      <w:pPr>
        <w:pStyle w:val="BodyText"/>
        <w:spacing w:before="1"/>
        <w:rPr>
          <w:b/>
        </w:rPr>
      </w:pPr>
    </w:p>
    <w:p>
      <w:pPr>
        <w:pStyle w:val="BodyText"/>
        <w:ind w:left="852" w:right="707"/>
        <w:jc w:val="both"/>
      </w:pPr>
      <w:r>
        <w:rPr/>
        <w:t>Provisions</w:t>
      </w:r>
      <w:r>
        <w:rPr>
          <w:spacing w:val="-5"/>
        </w:rPr>
        <w:t> </w:t>
      </w:r>
      <w:r>
        <w:rPr/>
        <w:t>are</w:t>
      </w:r>
      <w:r>
        <w:rPr>
          <w:spacing w:val="-7"/>
        </w:rPr>
        <w:t> </w:t>
      </w:r>
      <w:r>
        <w:rPr/>
        <w:t>recognised</w:t>
      </w:r>
      <w:r>
        <w:rPr>
          <w:spacing w:val="-4"/>
        </w:rPr>
        <w:t> </w:t>
      </w:r>
      <w:r>
        <w:rPr/>
        <w:t>when</w:t>
      </w:r>
      <w:r>
        <w:rPr>
          <w:spacing w:val="-7"/>
        </w:rPr>
        <w:t> </w:t>
      </w:r>
      <w:r>
        <w:rPr/>
        <w:t>the</w:t>
      </w:r>
      <w:r>
        <w:rPr>
          <w:spacing w:val="-7"/>
        </w:rPr>
        <w:t> </w:t>
      </w:r>
      <w:r>
        <w:rPr/>
        <w:t>College</w:t>
      </w:r>
      <w:r>
        <w:rPr>
          <w:spacing w:val="-7"/>
        </w:rPr>
        <w:t> </w:t>
      </w:r>
      <w:r>
        <w:rPr/>
        <w:t>has</w:t>
      </w:r>
      <w:r>
        <w:rPr>
          <w:spacing w:val="-5"/>
        </w:rPr>
        <w:t> </w:t>
      </w:r>
      <w:r>
        <w:rPr/>
        <w:t>a</w:t>
      </w:r>
      <w:r>
        <w:rPr>
          <w:spacing w:val="-4"/>
        </w:rPr>
        <w:t> </w:t>
      </w:r>
      <w:r>
        <w:rPr/>
        <w:t>present</w:t>
      </w:r>
      <w:r>
        <w:rPr>
          <w:spacing w:val="-6"/>
        </w:rPr>
        <w:t> </w:t>
      </w:r>
      <w:r>
        <w:rPr/>
        <w:t>legal</w:t>
      </w:r>
      <w:r>
        <w:rPr>
          <w:spacing w:val="-7"/>
        </w:rPr>
        <w:t> </w:t>
      </w:r>
      <w:r>
        <w:rPr/>
        <w:t>or</w:t>
      </w:r>
      <w:r>
        <w:rPr>
          <w:spacing w:val="-5"/>
        </w:rPr>
        <w:t> </w:t>
      </w:r>
      <w:r>
        <w:rPr/>
        <w:t>constructive</w:t>
      </w:r>
      <w:r>
        <w:rPr>
          <w:spacing w:val="-4"/>
        </w:rPr>
        <w:t> </w:t>
      </w:r>
      <w:r>
        <w:rPr/>
        <w:t>obligation</w:t>
      </w:r>
      <w:r>
        <w:rPr>
          <w:spacing w:val="-4"/>
        </w:rPr>
        <w:t> </w:t>
      </w:r>
      <w:r>
        <w:rPr/>
        <w:t>as</w:t>
      </w:r>
      <w:r>
        <w:rPr>
          <w:spacing w:val="-5"/>
        </w:rPr>
        <w:t> </w:t>
      </w:r>
      <w:r>
        <w:rPr/>
        <w:t>a</w:t>
      </w:r>
      <w:r>
        <w:rPr>
          <w:spacing w:val="-7"/>
        </w:rPr>
        <w:t> </w:t>
      </w:r>
      <w:r>
        <w:rPr/>
        <w:t>result</w:t>
      </w:r>
      <w:r>
        <w:rPr>
          <w:spacing w:val="-6"/>
        </w:rPr>
        <w:t> </w:t>
      </w:r>
      <w:r>
        <w:rPr/>
        <w:t>of a</w:t>
      </w:r>
      <w:r>
        <w:rPr>
          <w:spacing w:val="-10"/>
        </w:rPr>
        <w:t> </w:t>
      </w:r>
      <w:r>
        <w:rPr/>
        <w:t>past</w:t>
      </w:r>
      <w:r>
        <w:rPr>
          <w:spacing w:val="-8"/>
        </w:rPr>
        <w:t> </w:t>
      </w:r>
      <w:r>
        <w:rPr/>
        <w:t>event,</w:t>
      </w:r>
      <w:r>
        <w:rPr>
          <w:spacing w:val="-8"/>
        </w:rPr>
        <w:t> </w:t>
      </w:r>
      <w:r>
        <w:rPr/>
        <w:t>it</w:t>
      </w:r>
      <w:r>
        <w:rPr>
          <w:spacing w:val="-8"/>
        </w:rPr>
        <w:t> </w:t>
      </w:r>
      <w:r>
        <w:rPr/>
        <w:t>is</w:t>
      </w:r>
      <w:r>
        <w:rPr>
          <w:spacing w:val="-9"/>
        </w:rPr>
        <w:t> </w:t>
      </w:r>
      <w:r>
        <w:rPr/>
        <w:t>probable</w:t>
      </w:r>
      <w:r>
        <w:rPr>
          <w:spacing w:val="-10"/>
        </w:rPr>
        <w:t> </w:t>
      </w:r>
      <w:r>
        <w:rPr/>
        <w:t>that</w:t>
      </w:r>
      <w:r>
        <w:rPr>
          <w:spacing w:val="-10"/>
        </w:rPr>
        <w:t> </w:t>
      </w:r>
      <w:r>
        <w:rPr/>
        <w:t>a</w:t>
      </w:r>
      <w:r>
        <w:rPr>
          <w:spacing w:val="-8"/>
        </w:rPr>
        <w:t> </w:t>
      </w:r>
      <w:r>
        <w:rPr/>
        <w:t>transfer</w:t>
      </w:r>
      <w:r>
        <w:rPr>
          <w:spacing w:val="-7"/>
        </w:rPr>
        <w:t> </w:t>
      </w:r>
      <w:r>
        <w:rPr/>
        <w:t>of</w:t>
      </w:r>
      <w:r>
        <w:rPr>
          <w:spacing w:val="-10"/>
        </w:rPr>
        <w:t> </w:t>
      </w:r>
      <w:r>
        <w:rPr/>
        <w:t>economic</w:t>
      </w:r>
      <w:r>
        <w:rPr>
          <w:spacing w:val="-9"/>
        </w:rPr>
        <w:t> </w:t>
      </w:r>
      <w:r>
        <w:rPr/>
        <w:t>benefit</w:t>
      </w:r>
      <w:r>
        <w:rPr>
          <w:spacing w:val="-10"/>
        </w:rPr>
        <w:t> </w:t>
      </w:r>
      <w:r>
        <w:rPr/>
        <w:t>will</w:t>
      </w:r>
      <w:r>
        <w:rPr>
          <w:spacing w:val="-11"/>
        </w:rPr>
        <w:t> </w:t>
      </w:r>
      <w:r>
        <w:rPr/>
        <w:t>be</w:t>
      </w:r>
      <w:r>
        <w:rPr>
          <w:spacing w:val="-10"/>
        </w:rPr>
        <w:t> </w:t>
      </w:r>
      <w:r>
        <w:rPr/>
        <w:t>required</w:t>
      </w:r>
      <w:r>
        <w:rPr>
          <w:spacing w:val="-10"/>
        </w:rPr>
        <w:t> </w:t>
      </w:r>
      <w:r>
        <w:rPr/>
        <w:t>to</w:t>
      </w:r>
      <w:r>
        <w:rPr>
          <w:spacing w:val="-8"/>
        </w:rPr>
        <w:t> </w:t>
      </w:r>
      <w:r>
        <w:rPr/>
        <w:t>settle</w:t>
      </w:r>
      <w:r>
        <w:rPr>
          <w:spacing w:val="-10"/>
        </w:rPr>
        <w:t> </w:t>
      </w:r>
      <w:r>
        <w:rPr/>
        <w:t>the</w:t>
      </w:r>
      <w:r>
        <w:rPr>
          <w:spacing w:val="-10"/>
        </w:rPr>
        <w:t> </w:t>
      </w:r>
      <w:r>
        <w:rPr/>
        <w:t>obligation</w:t>
      </w:r>
      <w:r>
        <w:rPr>
          <w:spacing w:val="-10"/>
        </w:rPr>
        <w:t> </w:t>
      </w:r>
      <w:r>
        <w:rPr/>
        <w:t>and the amount of the obligation can be reliably measured.</w:t>
      </w:r>
    </w:p>
    <w:p>
      <w:pPr>
        <w:pStyle w:val="BodyText"/>
      </w:pPr>
    </w:p>
    <w:p>
      <w:pPr>
        <w:pStyle w:val="BodyText"/>
        <w:ind w:left="852" w:right="708"/>
        <w:jc w:val="both"/>
      </w:pPr>
      <w:r>
        <w:rPr/>
        <w:t>Where the effect of the time value of money is material, the amount expected to be required to settle the</w:t>
      </w:r>
      <w:r>
        <w:rPr>
          <w:spacing w:val="-4"/>
        </w:rPr>
        <w:t> </w:t>
      </w:r>
      <w:r>
        <w:rPr/>
        <w:t>obligation</w:t>
      </w:r>
      <w:r>
        <w:rPr>
          <w:spacing w:val="-4"/>
        </w:rPr>
        <w:t> </w:t>
      </w:r>
      <w:r>
        <w:rPr/>
        <w:t>is</w:t>
      </w:r>
      <w:r>
        <w:rPr>
          <w:spacing w:val="-3"/>
        </w:rPr>
        <w:t> </w:t>
      </w:r>
      <w:r>
        <w:rPr/>
        <w:t>recognised</w:t>
      </w:r>
      <w:r>
        <w:rPr>
          <w:spacing w:val="-4"/>
        </w:rPr>
        <w:t> </w:t>
      </w:r>
      <w:r>
        <w:rPr/>
        <w:t>at</w:t>
      </w:r>
      <w:r>
        <w:rPr>
          <w:spacing w:val="-4"/>
        </w:rPr>
        <w:t> </w:t>
      </w:r>
      <w:r>
        <w:rPr/>
        <w:t>present</w:t>
      </w:r>
      <w:r>
        <w:rPr>
          <w:spacing w:val="-6"/>
        </w:rPr>
        <w:t> </w:t>
      </w:r>
      <w:r>
        <w:rPr/>
        <w:t>value</w:t>
      </w:r>
      <w:r>
        <w:rPr>
          <w:spacing w:val="-4"/>
        </w:rPr>
        <w:t> </w:t>
      </w:r>
      <w:r>
        <w:rPr/>
        <w:t>using</w:t>
      </w:r>
      <w:r>
        <w:rPr>
          <w:spacing w:val="-4"/>
        </w:rPr>
        <w:t> </w:t>
      </w:r>
      <w:r>
        <w:rPr/>
        <w:t>a</w:t>
      </w:r>
      <w:r>
        <w:rPr>
          <w:spacing w:val="-4"/>
        </w:rPr>
        <w:t> </w:t>
      </w:r>
      <w:r>
        <w:rPr/>
        <w:t>pre-tax</w:t>
      </w:r>
      <w:r>
        <w:rPr>
          <w:spacing w:val="-5"/>
        </w:rPr>
        <w:t> </w:t>
      </w:r>
      <w:r>
        <w:rPr/>
        <w:t>discount</w:t>
      </w:r>
      <w:r>
        <w:rPr>
          <w:spacing w:val="-4"/>
        </w:rPr>
        <w:t> </w:t>
      </w:r>
      <w:r>
        <w:rPr/>
        <w:t>rate</w:t>
      </w:r>
      <w:r>
        <w:rPr>
          <w:spacing w:val="-4"/>
        </w:rPr>
        <w:t> </w:t>
      </w:r>
      <w:r>
        <w:rPr/>
        <w:t>that</w:t>
      </w:r>
      <w:r>
        <w:rPr>
          <w:spacing w:val="-4"/>
        </w:rPr>
        <w:t> </w:t>
      </w:r>
      <w:r>
        <w:rPr/>
        <w:t>reflects</w:t>
      </w:r>
      <w:r>
        <w:rPr>
          <w:spacing w:val="-5"/>
        </w:rPr>
        <w:t> </w:t>
      </w:r>
      <w:r>
        <w:rPr/>
        <w:t>the</w:t>
      </w:r>
      <w:r>
        <w:rPr>
          <w:spacing w:val="-4"/>
        </w:rPr>
        <w:t> </w:t>
      </w:r>
      <w:r>
        <w:rPr/>
        <w:t>risks</w:t>
      </w:r>
      <w:r>
        <w:rPr>
          <w:spacing w:val="-5"/>
        </w:rPr>
        <w:t> </w:t>
      </w:r>
      <w:r>
        <w:rPr/>
        <w:t>specific to the liability. The unwinding of the discount is recognised as a finance cost in the statement of comprehensive income in the period in which it arises.</w:t>
      </w:r>
    </w:p>
    <w:p>
      <w:pPr>
        <w:pStyle w:val="BodyText"/>
      </w:pPr>
    </w:p>
    <w:p>
      <w:pPr>
        <w:pStyle w:val="BodyText"/>
        <w:ind w:left="852" w:right="706"/>
        <w:jc w:val="both"/>
      </w:pPr>
      <w:r>
        <w:rPr/>
        <w:t>A contingent liability arises from a past event that gives the College a possible obligation whose existence will only be confirmed by the occurrence or otherwise of uncertain future events not wholly within the control of the College. Contingent liabilities also arise in circumstances where a provision would</w:t>
      </w:r>
      <w:r>
        <w:rPr>
          <w:spacing w:val="-8"/>
        </w:rPr>
        <w:t> </w:t>
      </w:r>
      <w:r>
        <w:rPr/>
        <w:t>otherwise</w:t>
      </w:r>
      <w:r>
        <w:rPr>
          <w:spacing w:val="-8"/>
        </w:rPr>
        <w:t> </w:t>
      </w:r>
      <w:r>
        <w:rPr/>
        <w:t>be</w:t>
      </w:r>
      <w:r>
        <w:rPr>
          <w:spacing w:val="-6"/>
        </w:rPr>
        <w:t> </w:t>
      </w:r>
      <w:r>
        <w:rPr/>
        <w:t>made</w:t>
      </w:r>
      <w:r>
        <w:rPr>
          <w:spacing w:val="-6"/>
        </w:rPr>
        <w:t> </w:t>
      </w:r>
      <w:r>
        <w:rPr/>
        <w:t>but</w:t>
      </w:r>
      <w:r>
        <w:rPr>
          <w:spacing w:val="-8"/>
        </w:rPr>
        <w:t> </w:t>
      </w:r>
      <w:r>
        <w:rPr/>
        <w:t>either</w:t>
      </w:r>
      <w:r>
        <w:rPr>
          <w:spacing w:val="-4"/>
        </w:rPr>
        <w:t> </w:t>
      </w:r>
      <w:r>
        <w:rPr/>
        <w:t>it</w:t>
      </w:r>
      <w:r>
        <w:rPr>
          <w:spacing w:val="-5"/>
        </w:rPr>
        <w:t> </w:t>
      </w:r>
      <w:r>
        <w:rPr/>
        <w:t>is</w:t>
      </w:r>
      <w:r>
        <w:rPr>
          <w:spacing w:val="-6"/>
        </w:rPr>
        <w:t> </w:t>
      </w:r>
      <w:r>
        <w:rPr/>
        <w:t>not</w:t>
      </w:r>
      <w:r>
        <w:rPr>
          <w:spacing w:val="-5"/>
        </w:rPr>
        <w:t> </w:t>
      </w:r>
      <w:r>
        <w:rPr/>
        <w:t>probable</w:t>
      </w:r>
      <w:r>
        <w:rPr>
          <w:spacing w:val="-8"/>
        </w:rPr>
        <w:t> </w:t>
      </w:r>
      <w:r>
        <w:rPr/>
        <w:t>that</w:t>
      </w:r>
      <w:r>
        <w:rPr>
          <w:spacing w:val="-8"/>
        </w:rPr>
        <w:t> </w:t>
      </w:r>
      <w:r>
        <w:rPr/>
        <w:t>an</w:t>
      </w:r>
      <w:r>
        <w:rPr>
          <w:spacing w:val="-6"/>
        </w:rPr>
        <w:t> </w:t>
      </w:r>
      <w:r>
        <w:rPr/>
        <w:t>outflow</w:t>
      </w:r>
      <w:r>
        <w:rPr>
          <w:spacing w:val="-8"/>
        </w:rPr>
        <w:t> </w:t>
      </w:r>
      <w:r>
        <w:rPr/>
        <w:t>of</w:t>
      </w:r>
      <w:r>
        <w:rPr>
          <w:spacing w:val="-5"/>
        </w:rPr>
        <w:t> </w:t>
      </w:r>
      <w:r>
        <w:rPr/>
        <w:t>resources</w:t>
      </w:r>
      <w:r>
        <w:rPr>
          <w:spacing w:val="-4"/>
        </w:rPr>
        <w:t> </w:t>
      </w:r>
      <w:r>
        <w:rPr/>
        <w:t>will</w:t>
      </w:r>
      <w:r>
        <w:rPr>
          <w:spacing w:val="-9"/>
        </w:rPr>
        <w:t> </w:t>
      </w:r>
      <w:r>
        <w:rPr/>
        <w:t>be</w:t>
      </w:r>
      <w:r>
        <w:rPr>
          <w:spacing w:val="-8"/>
        </w:rPr>
        <w:t> </w:t>
      </w:r>
      <w:r>
        <w:rPr/>
        <w:t>required</w:t>
      </w:r>
      <w:r>
        <w:rPr>
          <w:spacing w:val="-8"/>
        </w:rPr>
        <w:t> </w:t>
      </w:r>
      <w:r>
        <w:rPr/>
        <w:t>or</w:t>
      </w:r>
      <w:r>
        <w:rPr>
          <w:spacing w:val="-7"/>
        </w:rPr>
        <w:t> </w:t>
      </w:r>
      <w:r>
        <w:rPr/>
        <w:t>the amount of the obligation cannot be reliably measured.</w:t>
      </w:r>
    </w:p>
    <w:p>
      <w:pPr>
        <w:pStyle w:val="BodyText"/>
      </w:pPr>
    </w:p>
    <w:p>
      <w:pPr>
        <w:pStyle w:val="BodyText"/>
        <w:ind w:left="852" w:right="537"/>
      </w:pPr>
      <w:r>
        <w:rPr/>
        <w:t>Contingent</w:t>
      </w:r>
      <w:r>
        <w:rPr>
          <w:spacing w:val="30"/>
        </w:rPr>
        <w:t> </w:t>
      </w:r>
      <w:r>
        <w:rPr/>
        <w:t>liabilities</w:t>
      </w:r>
      <w:r>
        <w:rPr>
          <w:spacing w:val="31"/>
        </w:rPr>
        <w:t> </w:t>
      </w:r>
      <w:r>
        <w:rPr/>
        <w:t>are</w:t>
      </w:r>
      <w:r>
        <w:rPr>
          <w:spacing w:val="30"/>
        </w:rPr>
        <w:t> </w:t>
      </w:r>
      <w:r>
        <w:rPr/>
        <w:t>not</w:t>
      </w:r>
      <w:r>
        <w:rPr>
          <w:spacing w:val="30"/>
        </w:rPr>
        <w:t> </w:t>
      </w:r>
      <w:r>
        <w:rPr/>
        <w:t>recognised</w:t>
      </w:r>
      <w:r>
        <w:rPr>
          <w:spacing w:val="30"/>
        </w:rPr>
        <w:t> </w:t>
      </w:r>
      <w:r>
        <w:rPr/>
        <w:t>in</w:t>
      </w:r>
      <w:r>
        <w:rPr>
          <w:spacing w:val="30"/>
        </w:rPr>
        <w:t> </w:t>
      </w:r>
      <w:r>
        <w:rPr/>
        <w:t>the</w:t>
      </w:r>
      <w:r>
        <w:rPr>
          <w:spacing w:val="30"/>
        </w:rPr>
        <w:t> </w:t>
      </w:r>
      <w:r>
        <w:rPr/>
        <w:t>balance</w:t>
      </w:r>
      <w:r>
        <w:rPr>
          <w:spacing w:val="30"/>
        </w:rPr>
        <w:t> </w:t>
      </w:r>
      <w:r>
        <w:rPr/>
        <w:t>sheet</w:t>
      </w:r>
      <w:r>
        <w:rPr>
          <w:spacing w:val="30"/>
        </w:rPr>
        <w:t> </w:t>
      </w:r>
      <w:r>
        <w:rPr/>
        <w:t>but</w:t>
      </w:r>
      <w:r>
        <w:rPr>
          <w:spacing w:val="30"/>
        </w:rPr>
        <w:t> </w:t>
      </w:r>
      <w:r>
        <w:rPr/>
        <w:t>are</w:t>
      </w:r>
      <w:r>
        <w:rPr>
          <w:spacing w:val="30"/>
        </w:rPr>
        <w:t> </w:t>
      </w:r>
      <w:r>
        <w:rPr/>
        <w:t>disclosed</w:t>
      </w:r>
      <w:r>
        <w:rPr>
          <w:spacing w:val="32"/>
        </w:rPr>
        <w:t> </w:t>
      </w:r>
      <w:r>
        <w:rPr/>
        <w:t>in</w:t>
      </w:r>
      <w:r>
        <w:rPr>
          <w:spacing w:val="30"/>
        </w:rPr>
        <w:t> </w:t>
      </w:r>
      <w:r>
        <w:rPr/>
        <w:t>the</w:t>
      </w:r>
      <w:r>
        <w:rPr>
          <w:spacing w:val="30"/>
        </w:rPr>
        <w:t> </w:t>
      </w:r>
      <w:r>
        <w:rPr/>
        <w:t>notes</w:t>
      </w:r>
      <w:r>
        <w:rPr>
          <w:spacing w:val="31"/>
        </w:rPr>
        <w:t> </w:t>
      </w:r>
      <w:r>
        <w:rPr/>
        <w:t>to</w:t>
      </w:r>
      <w:r>
        <w:rPr>
          <w:spacing w:val="30"/>
        </w:rPr>
        <w:t> </w:t>
      </w:r>
      <w:r>
        <w:rPr/>
        <w:t>the financial statements.</w:t>
      </w:r>
    </w:p>
    <w:p>
      <w:pPr>
        <w:pStyle w:val="BodyText"/>
        <w:spacing w:before="2"/>
      </w:pPr>
    </w:p>
    <w:p>
      <w:pPr>
        <w:pStyle w:val="Heading6"/>
        <w:jc w:val="left"/>
      </w:pPr>
      <w:r>
        <w:rPr/>
        <w:t>Agency</w:t>
      </w:r>
      <w:r>
        <w:rPr>
          <w:spacing w:val="-9"/>
        </w:rPr>
        <w:t> </w:t>
      </w:r>
      <w:r>
        <w:rPr>
          <w:spacing w:val="-2"/>
        </w:rPr>
        <w:t>arrangements</w:t>
      </w:r>
    </w:p>
    <w:p>
      <w:pPr>
        <w:pStyle w:val="BodyText"/>
        <w:spacing w:before="228"/>
        <w:ind w:left="852" w:right="709"/>
        <w:jc w:val="both"/>
      </w:pPr>
      <w:r>
        <w:rPr/>
        <w:t>The College acts as an agent in distributing discretionary support funds from the funding bodies. Payments received from the funding bodies and subsequent disbursements to students are excluded from the income and expenditure of the College where the College does not have control of the economic benefit related to the transaction.</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numPr>
          <w:ilvl w:val="0"/>
          <w:numId w:val="12"/>
        </w:numPr>
        <w:tabs>
          <w:tab w:pos="852" w:val="left" w:leader="none"/>
        </w:tabs>
        <w:spacing w:line="240" w:lineRule="auto" w:before="0" w:after="0"/>
        <w:ind w:left="852" w:right="0" w:hanging="427"/>
        <w:jc w:val="left"/>
      </w:pPr>
      <w:r>
        <w:rPr/>
        <w:t>Critical</w:t>
      </w:r>
      <w:r>
        <w:rPr>
          <w:spacing w:val="-7"/>
        </w:rPr>
        <w:t> </w:t>
      </w:r>
      <w:r>
        <w:rPr/>
        <w:t>accounting</w:t>
      </w:r>
      <w:r>
        <w:rPr>
          <w:spacing w:val="-8"/>
        </w:rPr>
        <w:t> </w:t>
      </w:r>
      <w:r>
        <w:rPr/>
        <w:t>judgements</w:t>
      </w:r>
      <w:r>
        <w:rPr>
          <w:spacing w:val="-9"/>
        </w:rPr>
        <w:t> </w:t>
      </w:r>
      <w:r>
        <w:rPr/>
        <w:t>and</w:t>
      </w:r>
      <w:r>
        <w:rPr>
          <w:spacing w:val="-6"/>
        </w:rPr>
        <w:t> </w:t>
      </w:r>
      <w:r>
        <w:rPr/>
        <w:t>estimation</w:t>
      </w:r>
      <w:r>
        <w:rPr>
          <w:spacing w:val="-6"/>
        </w:rPr>
        <w:t> </w:t>
      </w:r>
      <w:r>
        <w:rPr>
          <w:spacing w:val="-2"/>
        </w:rPr>
        <w:t>uncertainty</w:t>
      </w:r>
    </w:p>
    <w:p>
      <w:pPr>
        <w:pStyle w:val="BodyText"/>
        <w:spacing w:before="229"/>
        <w:ind w:left="852" w:right="708"/>
        <w:jc w:val="both"/>
      </w:pPr>
      <w:r>
        <w:rPr/>
        <w:t>Estimates and judgements are continually evaluated and are based on historical experience and other factors, including expectations of future events that are believed to be reasonable under the </w:t>
      </w:r>
      <w:r>
        <w:rPr>
          <w:spacing w:val="-2"/>
        </w:rPr>
        <w:t>circumstances.</w:t>
      </w:r>
    </w:p>
    <w:p>
      <w:pPr>
        <w:spacing w:before="121"/>
        <w:ind w:left="852" w:right="0" w:firstLine="0"/>
        <w:jc w:val="both"/>
        <w:rPr>
          <w:i/>
          <w:sz w:val="20"/>
        </w:rPr>
      </w:pPr>
      <w:r>
        <w:rPr>
          <w:i/>
          <w:sz w:val="20"/>
        </w:rPr>
        <w:t>Critical</w:t>
      </w:r>
      <w:r>
        <w:rPr>
          <w:i/>
          <w:spacing w:val="-8"/>
          <w:sz w:val="20"/>
        </w:rPr>
        <w:t> </w:t>
      </w:r>
      <w:r>
        <w:rPr>
          <w:i/>
          <w:sz w:val="20"/>
        </w:rPr>
        <w:t>areas</w:t>
      </w:r>
      <w:r>
        <w:rPr>
          <w:i/>
          <w:spacing w:val="-5"/>
          <w:sz w:val="20"/>
        </w:rPr>
        <w:t> </w:t>
      </w:r>
      <w:r>
        <w:rPr>
          <w:i/>
          <w:sz w:val="20"/>
        </w:rPr>
        <w:t>of</w:t>
      </w:r>
      <w:r>
        <w:rPr>
          <w:i/>
          <w:spacing w:val="-4"/>
          <w:sz w:val="20"/>
        </w:rPr>
        <w:t> </w:t>
      </w:r>
      <w:r>
        <w:rPr>
          <w:i/>
          <w:spacing w:val="-2"/>
          <w:sz w:val="20"/>
        </w:rPr>
        <w:t>judgement</w:t>
      </w:r>
    </w:p>
    <w:p>
      <w:pPr>
        <w:pStyle w:val="BodyText"/>
        <w:spacing w:before="120"/>
        <w:ind w:left="852"/>
        <w:jc w:val="both"/>
      </w:pPr>
      <w:r>
        <w:rPr/>
        <w:t>In</w:t>
      </w:r>
      <w:r>
        <w:rPr>
          <w:spacing w:val="-9"/>
        </w:rPr>
        <w:t> </w:t>
      </w:r>
      <w:r>
        <w:rPr/>
        <w:t>preparing</w:t>
      </w:r>
      <w:r>
        <w:rPr>
          <w:spacing w:val="-8"/>
        </w:rPr>
        <w:t> </w:t>
      </w:r>
      <w:r>
        <w:rPr/>
        <w:t>these</w:t>
      </w:r>
      <w:r>
        <w:rPr>
          <w:spacing w:val="-8"/>
        </w:rPr>
        <w:t> </w:t>
      </w:r>
      <w:r>
        <w:rPr/>
        <w:t>financial</w:t>
      </w:r>
      <w:r>
        <w:rPr>
          <w:spacing w:val="-7"/>
        </w:rPr>
        <w:t> </w:t>
      </w:r>
      <w:r>
        <w:rPr/>
        <w:t>statements,</w:t>
      </w:r>
      <w:r>
        <w:rPr>
          <w:spacing w:val="-6"/>
        </w:rPr>
        <w:t> </w:t>
      </w:r>
      <w:r>
        <w:rPr/>
        <w:t>management</w:t>
      </w:r>
      <w:r>
        <w:rPr>
          <w:spacing w:val="-6"/>
        </w:rPr>
        <w:t> </w:t>
      </w:r>
      <w:r>
        <w:rPr/>
        <w:t>have</w:t>
      </w:r>
      <w:r>
        <w:rPr>
          <w:spacing w:val="-8"/>
        </w:rPr>
        <w:t> </w:t>
      </w:r>
      <w:r>
        <w:rPr/>
        <w:t>made</w:t>
      </w:r>
      <w:r>
        <w:rPr>
          <w:spacing w:val="-6"/>
        </w:rPr>
        <w:t> </w:t>
      </w:r>
      <w:r>
        <w:rPr/>
        <w:t>the</w:t>
      </w:r>
      <w:r>
        <w:rPr>
          <w:spacing w:val="-7"/>
        </w:rPr>
        <w:t> </w:t>
      </w:r>
      <w:r>
        <w:rPr/>
        <w:t>following</w:t>
      </w:r>
      <w:r>
        <w:rPr>
          <w:spacing w:val="-8"/>
        </w:rPr>
        <w:t> </w:t>
      </w:r>
      <w:r>
        <w:rPr>
          <w:spacing w:val="-2"/>
        </w:rPr>
        <w:t>judgement:</w:t>
      </w:r>
    </w:p>
    <w:p>
      <w:pPr>
        <w:pStyle w:val="ListParagraph"/>
        <w:numPr>
          <w:ilvl w:val="1"/>
          <w:numId w:val="12"/>
        </w:numPr>
        <w:tabs>
          <w:tab w:pos="1278" w:val="left" w:leader="none"/>
        </w:tabs>
        <w:spacing w:line="240" w:lineRule="auto" w:before="122" w:after="0"/>
        <w:ind w:left="1278" w:right="0" w:hanging="426"/>
        <w:jc w:val="both"/>
        <w:rPr>
          <w:sz w:val="20"/>
        </w:rPr>
      </w:pPr>
      <w:r>
        <w:rPr>
          <w:spacing w:val="-2"/>
          <w:sz w:val="20"/>
        </w:rPr>
        <w:t>Leases</w:t>
      </w:r>
    </w:p>
    <w:p>
      <w:pPr>
        <w:pStyle w:val="BodyText"/>
        <w:spacing w:before="116"/>
        <w:ind w:left="1279" w:right="708"/>
        <w:jc w:val="both"/>
      </w:pPr>
      <w:r>
        <w:rPr/>
        <w:t>Leases</w:t>
      </w:r>
      <w:r>
        <w:rPr>
          <w:spacing w:val="-7"/>
        </w:rPr>
        <w:t> </w:t>
      </w:r>
      <w:r>
        <w:rPr/>
        <w:t>are</w:t>
      </w:r>
      <w:r>
        <w:rPr>
          <w:spacing w:val="-9"/>
        </w:rPr>
        <w:t> </w:t>
      </w:r>
      <w:r>
        <w:rPr/>
        <w:t>classified</w:t>
      </w:r>
      <w:r>
        <w:rPr>
          <w:spacing w:val="-9"/>
        </w:rPr>
        <w:t> </w:t>
      </w:r>
      <w:r>
        <w:rPr/>
        <w:t>as</w:t>
      </w:r>
      <w:r>
        <w:rPr>
          <w:spacing w:val="-5"/>
        </w:rPr>
        <w:t> </w:t>
      </w:r>
      <w:r>
        <w:rPr/>
        <w:t>either</w:t>
      </w:r>
      <w:r>
        <w:rPr>
          <w:spacing w:val="-8"/>
        </w:rPr>
        <w:t> </w:t>
      </w:r>
      <w:r>
        <w:rPr/>
        <w:t>operating</w:t>
      </w:r>
      <w:r>
        <w:rPr>
          <w:spacing w:val="-7"/>
        </w:rPr>
        <w:t> </w:t>
      </w:r>
      <w:r>
        <w:rPr/>
        <w:t>or</w:t>
      </w:r>
      <w:r>
        <w:rPr>
          <w:spacing w:val="-8"/>
        </w:rPr>
        <w:t> </w:t>
      </w:r>
      <w:r>
        <w:rPr/>
        <w:t>finance</w:t>
      </w:r>
      <w:r>
        <w:rPr>
          <w:spacing w:val="-7"/>
        </w:rPr>
        <w:t> </w:t>
      </w:r>
      <w:r>
        <w:rPr/>
        <w:t>leases</w:t>
      </w:r>
      <w:r>
        <w:rPr>
          <w:spacing w:val="-7"/>
        </w:rPr>
        <w:t> </w:t>
      </w:r>
      <w:r>
        <w:rPr/>
        <w:t>following</w:t>
      </w:r>
      <w:r>
        <w:rPr>
          <w:spacing w:val="-7"/>
        </w:rPr>
        <w:t> </w:t>
      </w:r>
      <w:r>
        <w:rPr/>
        <w:t>an</w:t>
      </w:r>
      <w:r>
        <w:rPr>
          <w:spacing w:val="-7"/>
        </w:rPr>
        <w:t> </w:t>
      </w:r>
      <w:r>
        <w:rPr/>
        <w:t>assessment</w:t>
      </w:r>
      <w:r>
        <w:rPr>
          <w:spacing w:val="-9"/>
        </w:rPr>
        <w:t> </w:t>
      </w:r>
      <w:r>
        <w:rPr/>
        <w:t>of</w:t>
      </w:r>
      <w:r>
        <w:rPr>
          <w:spacing w:val="-6"/>
        </w:rPr>
        <w:t> </w:t>
      </w:r>
      <w:r>
        <w:rPr/>
        <w:t>whether</w:t>
      </w:r>
      <w:r>
        <w:rPr>
          <w:spacing w:val="-5"/>
        </w:rPr>
        <w:t> </w:t>
      </w:r>
      <w:r>
        <w:rPr/>
        <w:t>the risks and rewards of ownership have been transferred from the lessor to the lessee on a lease by lease basis.</w:t>
      </w:r>
    </w:p>
    <w:p>
      <w:pPr>
        <w:pStyle w:val="ListParagraph"/>
        <w:numPr>
          <w:ilvl w:val="1"/>
          <w:numId w:val="12"/>
        </w:numPr>
        <w:tabs>
          <w:tab w:pos="1278" w:val="left" w:leader="none"/>
        </w:tabs>
        <w:spacing w:line="240" w:lineRule="auto" w:before="122" w:after="0"/>
        <w:ind w:left="1278" w:right="0" w:hanging="426"/>
        <w:jc w:val="both"/>
        <w:rPr>
          <w:sz w:val="20"/>
        </w:rPr>
      </w:pPr>
      <w:r>
        <w:rPr>
          <w:sz w:val="20"/>
        </w:rPr>
        <w:t>East</w:t>
      </w:r>
      <w:r>
        <w:rPr>
          <w:spacing w:val="-7"/>
          <w:sz w:val="20"/>
        </w:rPr>
        <w:t> </w:t>
      </w:r>
      <w:r>
        <w:rPr>
          <w:sz w:val="20"/>
        </w:rPr>
        <w:t>Riding</w:t>
      </w:r>
      <w:r>
        <w:rPr>
          <w:spacing w:val="-5"/>
          <w:sz w:val="20"/>
        </w:rPr>
        <w:t> </w:t>
      </w:r>
      <w:r>
        <w:rPr>
          <w:sz w:val="20"/>
        </w:rPr>
        <w:t>Pension</w:t>
      </w:r>
      <w:r>
        <w:rPr>
          <w:spacing w:val="-7"/>
          <w:sz w:val="20"/>
        </w:rPr>
        <w:t> </w:t>
      </w:r>
      <w:r>
        <w:rPr>
          <w:spacing w:val="-4"/>
          <w:sz w:val="20"/>
        </w:rPr>
        <w:t>Fund</w:t>
      </w:r>
    </w:p>
    <w:p>
      <w:pPr>
        <w:pStyle w:val="BodyText"/>
        <w:spacing w:before="117"/>
        <w:ind w:left="1279" w:right="706"/>
        <w:jc w:val="both"/>
      </w:pPr>
      <w:r>
        <w:rPr/>
        <w:t>Determine the existence of a minimum funding requirement for the East Riding Pension Scheme to be included in the asset ceiling in measuring and recognising a surplus in the scheme. This judgement is based on an assessment of the nature of the scheme as a statutory scheme and its inherent</w:t>
      </w:r>
      <w:r>
        <w:rPr>
          <w:spacing w:val="-6"/>
        </w:rPr>
        <w:t> </w:t>
      </w:r>
      <w:r>
        <w:rPr/>
        <w:t>implied</w:t>
      </w:r>
      <w:r>
        <w:rPr>
          <w:spacing w:val="-9"/>
        </w:rPr>
        <w:t> </w:t>
      </w:r>
      <w:r>
        <w:rPr/>
        <w:t>continuance</w:t>
      </w:r>
      <w:r>
        <w:rPr>
          <w:spacing w:val="-9"/>
        </w:rPr>
        <w:t> </w:t>
      </w:r>
      <w:r>
        <w:rPr/>
        <w:t>as</w:t>
      </w:r>
      <w:r>
        <w:rPr>
          <w:spacing w:val="-5"/>
        </w:rPr>
        <w:t> </w:t>
      </w:r>
      <w:r>
        <w:rPr/>
        <w:t>well</w:t>
      </w:r>
      <w:r>
        <w:rPr>
          <w:spacing w:val="-7"/>
        </w:rPr>
        <w:t> </w:t>
      </w:r>
      <w:r>
        <w:rPr/>
        <w:t>as</w:t>
      </w:r>
      <w:r>
        <w:rPr>
          <w:spacing w:val="-7"/>
        </w:rPr>
        <w:t> </w:t>
      </w:r>
      <w:r>
        <w:rPr/>
        <w:t>the</w:t>
      </w:r>
      <w:r>
        <w:rPr>
          <w:spacing w:val="-7"/>
        </w:rPr>
        <w:t> </w:t>
      </w:r>
      <w:r>
        <w:rPr/>
        <w:t>operations</w:t>
      </w:r>
      <w:r>
        <w:rPr>
          <w:spacing w:val="-3"/>
        </w:rPr>
        <w:t> </w:t>
      </w:r>
      <w:r>
        <w:rPr/>
        <w:t>of</w:t>
      </w:r>
      <w:r>
        <w:rPr>
          <w:spacing w:val="-9"/>
        </w:rPr>
        <w:t> </w:t>
      </w:r>
      <w:r>
        <w:rPr/>
        <w:t>the</w:t>
      </w:r>
      <w:r>
        <w:rPr>
          <w:spacing w:val="-7"/>
        </w:rPr>
        <w:t> </w:t>
      </w:r>
      <w:r>
        <w:rPr/>
        <w:t>primary</w:t>
      </w:r>
      <w:r>
        <w:rPr>
          <w:spacing w:val="-7"/>
        </w:rPr>
        <w:t> </w:t>
      </w:r>
      <w:r>
        <w:rPr/>
        <w:t>and</w:t>
      </w:r>
      <w:r>
        <w:rPr>
          <w:spacing w:val="-7"/>
        </w:rPr>
        <w:t> </w:t>
      </w:r>
      <w:r>
        <w:rPr/>
        <w:t>secondary</w:t>
      </w:r>
      <w:r>
        <w:rPr>
          <w:spacing w:val="-7"/>
        </w:rPr>
        <w:t> </w:t>
      </w:r>
      <w:r>
        <w:rPr/>
        <w:t>contributions.</w:t>
      </w:r>
    </w:p>
    <w:p>
      <w:pPr>
        <w:spacing w:before="119"/>
        <w:ind w:left="852" w:right="0" w:firstLine="0"/>
        <w:jc w:val="both"/>
        <w:rPr>
          <w:i/>
          <w:sz w:val="20"/>
        </w:rPr>
      </w:pPr>
      <w:r>
        <w:rPr>
          <w:i/>
          <w:sz w:val="20"/>
        </w:rPr>
        <w:t>Critical</w:t>
      </w:r>
      <w:r>
        <w:rPr>
          <w:i/>
          <w:spacing w:val="-10"/>
          <w:sz w:val="20"/>
        </w:rPr>
        <w:t> </w:t>
      </w:r>
      <w:r>
        <w:rPr>
          <w:i/>
          <w:sz w:val="20"/>
        </w:rPr>
        <w:t>accounting</w:t>
      </w:r>
      <w:r>
        <w:rPr>
          <w:i/>
          <w:spacing w:val="-8"/>
          <w:sz w:val="20"/>
        </w:rPr>
        <w:t> </w:t>
      </w:r>
      <w:r>
        <w:rPr>
          <w:i/>
          <w:sz w:val="20"/>
        </w:rPr>
        <w:t>estimates</w:t>
      </w:r>
      <w:r>
        <w:rPr>
          <w:i/>
          <w:spacing w:val="-8"/>
          <w:sz w:val="20"/>
        </w:rPr>
        <w:t> </w:t>
      </w:r>
      <w:r>
        <w:rPr>
          <w:i/>
          <w:sz w:val="20"/>
        </w:rPr>
        <w:t>and</w:t>
      </w:r>
      <w:r>
        <w:rPr>
          <w:i/>
          <w:spacing w:val="-8"/>
          <w:sz w:val="20"/>
        </w:rPr>
        <w:t> </w:t>
      </w:r>
      <w:r>
        <w:rPr>
          <w:i/>
          <w:spacing w:val="-2"/>
          <w:sz w:val="20"/>
        </w:rPr>
        <w:t>assumptions</w:t>
      </w:r>
    </w:p>
    <w:p>
      <w:pPr>
        <w:pStyle w:val="ListParagraph"/>
        <w:numPr>
          <w:ilvl w:val="1"/>
          <w:numId w:val="12"/>
        </w:numPr>
        <w:tabs>
          <w:tab w:pos="1278" w:val="left" w:leader="none"/>
        </w:tabs>
        <w:spacing w:line="240" w:lineRule="auto" w:before="122" w:after="0"/>
        <w:ind w:left="1278" w:right="0" w:hanging="426"/>
        <w:jc w:val="both"/>
        <w:rPr>
          <w:sz w:val="20"/>
        </w:rPr>
      </w:pPr>
      <w:r>
        <w:rPr>
          <w:sz w:val="20"/>
        </w:rPr>
        <w:t>East</w:t>
      </w:r>
      <w:r>
        <w:rPr>
          <w:spacing w:val="-7"/>
          <w:sz w:val="20"/>
        </w:rPr>
        <w:t> </w:t>
      </w:r>
      <w:r>
        <w:rPr>
          <w:sz w:val="20"/>
        </w:rPr>
        <w:t>Riding</w:t>
      </w:r>
      <w:r>
        <w:rPr>
          <w:spacing w:val="-5"/>
          <w:sz w:val="20"/>
        </w:rPr>
        <w:t> </w:t>
      </w:r>
      <w:r>
        <w:rPr>
          <w:sz w:val="20"/>
        </w:rPr>
        <w:t>Pension</w:t>
      </w:r>
      <w:r>
        <w:rPr>
          <w:spacing w:val="-7"/>
          <w:sz w:val="20"/>
        </w:rPr>
        <w:t> </w:t>
      </w:r>
      <w:r>
        <w:rPr>
          <w:spacing w:val="-4"/>
          <w:sz w:val="20"/>
        </w:rPr>
        <w:t>Fund</w:t>
      </w:r>
    </w:p>
    <w:p>
      <w:pPr>
        <w:pStyle w:val="BodyText"/>
        <w:spacing w:before="116"/>
        <w:ind w:left="1279" w:right="704"/>
        <w:jc w:val="both"/>
      </w:pPr>
      <w:r>
        <w:rPr/>
        <w:t>The</w:t>
      </w:r>
      <w:r>
        <w:rPr>
          <w:spacing w:val="-14"/>
        </w:rPr>
        <w:t> </w:t>
      </w:r>
      <w:r>
        <w:rPr/>
        <w:t>present</w:t>
      </w:r>
      <w:r>
        <w:rPr>
          <w:spacing w:val="-13"/>
        </w:rPr>
        <w:t> </w:t>
      </w:r>
      <w:r>
        <w:rPr/>
        <w:t>value</w:t>
      </w:r>
      <w:r>
        <w:rPr>
          <w:spacing w:val="-14"/>
        </w:rPr>
        <w:t> </w:t>
      </w:r>
      <w:r>
        <w:rPr/>
        <w:t>of</w:t>
      </w:r>
      <w:r>
        <w:rPr>
          <w:spacing w:val="-13"/>
        </w:rPr>
        <w:t> </w:t>
      </w:r>
      <w:r>
        <w:rPr/>
        <w:t>the</w:t>
      </w:r>
      <w:r>
        <w:rPr>
          <w:spacing w:val="-14"/>
        </w:rPr>
        <w:t> </w:t>
      </w:r>
      <w:r>
        <w:rPr/>
        <w:t>East</w:t>
      </w:r>
      <w:r>
        <w:rPr>
          <w:spacing w:val="-13"/>
        </w:rPr>
        <w:t> </w:t>
      </w:r>
      <w:r>
        <w:rPr/>
        <w:t>Riding</w:t>
      </w:r>
      <w:r>
        <w:rPr>
          <w:spacing w:val="-14"/>
        </w:rPr>
        <w:t> </w:t>
      </w:r>
      <w:r>
        <w:rPr/>
        <w:t>Pension</w:t>
      </w:r>
      <w:r>
        <w:rPr>
          <w:spacing w:val="-13"/>
        </w:rPr>
        <w:t> </w:t>
      </w:r>
      <w:r>
        <w:rPr/>
        <w:t>Fund</w:t>
      </w:r>
      <w:r>
        <w:rPr>
          <w:spacing w:val="-14"/>
        </w:rPr>
        <w:t> </w:t>
      </w:r>
      <w:r>
        <w:rPr/>
        <w:t>defined</w:t>
      </w:r>
      <w:r>
        <w:rPr>
          <w:spacing w:val="-13"/>
        </w:rPr>
        <w:t> </w:t>
      </w:r>
      <w:r>
        <w:rPr/>
        <w:t>benefit</w:t>
      </w:r>
      <w:r>
        <w:rPr>
          <w:spacing w:val="-14"/>
        </w:rPr>
        <w:t> </w:t>
      </w:r>
      <w:r>
        <w:rPr/>
        <w:t>obligation</w:t>
      </w:r>
      <w:r>
        <w:rPr>
          <w:spacing w:val="-13"/>
        </w:rPr>
        <w:t> </w:t>
      </w:r>
      <w:r>
        <w:rPr/>
        <w:t>depends</w:t>
      </w:r>
      <w:r>
        <w:rPr>
          <w:spacing w:val="-12"/>
        </w:rPr>
        <w:t> </w:t>
      </w:r>
      <w:r>
        <w:rPr/>
        <w:t>on</w:t>
      </w:r>
      <w:r>
        <w:rPr>
          <w:spacing w:val="-14"/>
        </w:rPr>
        <w:t> </w:t>
      </w:r>
      <w:r>
        <w:rPr/>
        <w:t>a</w:t>
      </w:r>
      <w:r>
        <w:rPr>
          <w:spacing w:val="-13"/>
        </w:rPr>
        <w:t> </w:t>
      </w:r>
      <w:r>
        <w:rPr/>
        <w:t>number of factors that are determined on an actuarial basis using a variety of assumptions. The assumptions</w:t>
      </w:r>
      <w:r>
        <w:rPr>
          <w:spacing w:val="-3"/>
        </w:rPr>
        <w:t> </w:t>
      </w:r>
      <w:r>
        <w:rPr/>
        <w:t>used</w:t>
      </w:r>
      <w:r>
        <w:rPr>
          <w:spacing w:val="-4"/>
        </w:rPr>
        <w:t> </w:t>
      </w:r>
      <w:r>
        <w:rPr/>
        <w:t>in</w:t>
      </w:r>
      <w:r>
        <w:rPr>
          <w:spacing w:val="-4"/>
        </w:rPr>
        <w:t> </w:t>
      </w:r>
      <w:r>
        <w:rPr/>
        <w:t>determining</w:t>
      </w:r>
      <w:r>
        <w:rPr>
          <w:spacing w:val="-7"/>
        </w:rPr>
        <w:t> </w:t>
      </w:r>
      <w:r>
        <w:rPr/>
        <w:t>the</w:t>
      </w:r>
      <w:r>
        <w:rPr>
          <w:spacing w:val="-7"/>
        </w:rPr>
        <w:t> </w:t>
      </w:r>
      <w:r>
        <w:rPr/>
        <w:t>net</w:t>
      </w:r>
      <w:r>
        <w:rPr>
          <w:spacing w:val="-6"/>
        </w:rPr>
        <w:t> </w:t>
      </w:r>
      <w:r>
        <w:rPr/>
        <w:t>cost</w:t>
      </w:r>
      <w:r>
        <w:rPr>
          <w:spacing w:val="-4"/>
        </w:rPr>
        <w:t> </w:t>
      </w:r>
      <w:r>
        <w:rPr/>
        <w:t>(income)</w:t>
      </w:r>
      <w:r>
        <w:rPr>
          <w:spacing w:val="-5"/>
        </w:rPr>
        <w:t> </w:t>
      </w:r>
      <w:r>
        <w:rPr/>
        <w:t>for</w:t>
      </w:r>
      <w:r>
        <w:rPr>
          <w:spacing w:val="-5"/>
        </w:rPr>
        <w:t> </w:t>
      </w:r>
      <w:r>
        <w:rPr/>
        <w:t>pensions</w:t>
      </w:r>
      <w:r>
        <w:rPr>
          <w:spacing w:val="-5"/>
        </w:rPr>
        <w:t> </w:t>
      </w:r>
      <w:r>
        <w:rPr/>
        <w:t>include</w:t>
      </w:r>
      <w:r>
        <w:rPr>
          <w:spacing w:val="-7"/>
        </w:rPr>
        <w:t> </w:t>
      </w:r>
      <w:r>
        <w:rPr/>
        <w:t>the</w:t>
      </w:r>
      <w:r>
        <w:rPr>
          <w:spacing w:val="-4"/>
        </w:rPr>
        <w:t> </w:t>
      </w:r>
      <w:r>
        <w:rPr/>
        <w:t>discount</w:t>
      </w:r>
      <w:r>
        <w:rPr>
          <w:spacing w:val="-6"/>
        </w:rPr>
        <w:t> </w:t>
      </w:r>
      <w:r>
        <w:rPr/>
        <w:t>rate.</w:t>
      </w:r>
      <w:r>
        <w:rPr>
          <w:spacing w:val="-4"/>
        </w:rPr>
        <w:t> </w:t>
      </w:r>
      <w:r>
        <w:rPr/>
        <w:t>Any changes in these assumptions, which are disclosed in note 18, will impact the carrying amount of the</w:t>
      </w:r>
      <w:r>
        <w:rPr>
          <w:spacing w:val="-4"/>
        </w:rPr>
        <w:t> </w:t>
      </w:r>
      <w:r>
        <w:rPr/>
        <w:t>pension</w:t>
      </w:r>
      <w:r>
        <w:rPr>
          <w:spacing w:val="-4"/>
        </w:rPr>
        <w:t> </w:t>
      </w:r>
      <w:r>
        <w:rPr/>
        <w:t>liability.</w:t>
      </w:r>
      <w:r>
        <w:rPr>
          <w:spacing w:val="-4"/>
        </w:rPr>
        <w:t> </w:t>
      </w:r>
      <w:r>
        <w:rPr/>
        <w:t>Furthermore,</w:t>
      </w:r>
      <w:r>
        <w:rPr>
          <w:spacing w:val="-4"/>
        </w:rPr>
        <w:t> </w:t>
      </w:r>
      <w:r>
        <w:rPr/>
        <w:t>a</w:t>
      </w:r>
      <w:r>
        <w:rPr>
          <w:spacing w:val="-4"/>
        </w:rPr>
        <w:t> </w:t>
      </w:r>
      <w:r>
        <w:rPr/>
        <w:t>roll</w:t>
      </w:r>
      <w:r>
        <w:rPr>
          <w:spacing w:val="-5"/>
        </w:rPr>
        <w:t> </w:t>
      </w:r>
      <w:r>
        <w:rPr/>
        <w:t>forward</w:t>
      </w:r>
      <w:r>
        <w:rPr>
          <w:spacing w:val="-4"/>
        </w:rPr>
        <w:t> </w:t>
      </w:r>
      <w:r>
        <w:rPr/>
        <w:t>approach</w:t>
      </w:r>
      <w:r>
        <w:rPr>
          <w:spacing w:val="-4"/>
        </w:rPr>
        <w:t> </w:t>
      </w:r>
      <w:r>
        <w:rPr/>
        <w:t>which</w:t>
      </w:r>
      <w:r>
        <w:rPr>
          <w:spacing w:val="-4"/>
        </w:rPr>
        <w:t> </w:t>
      </w:r>
      <w:r>
        <w:rPr/>
        <w:t>projects</w:t>
      </w:r>
      <w:r>
        <w:rPr>
          <w:spacing w:val="-3"/>
        </w:rPr>
        <w:t> </w:t>
      </w:r>
      <w:r>
        <w:rPr/>
        <w:t>results</w:t>
      </w:r>
      <w:r>
        <w:rPr>
          <w:spacing w:val="-3"/>
        </w:rPr>
        <w:t> </w:t>
      </w:r>
      <w:r>
        <w:rPr/>
        <w:t>from</w:t>
      </w:r>
      <w:r>
        <w:rPr>
          <w:spacing w:val="-4"/>
        </w:rPr>
        <w:t> </w:t>
      </w:r>
      <w:r>
        <w:rPr/>
        <w:t>the</w:t>
      </w:r>
      <w:r>
        <w:rPr>
          <w:spacing w:val="-2"/>
        </w:rPr>
        <w:t> </w:t>
      </w:r>
      <w:r>
        <w:rPr/>
        <w:t>latest</w:t>
      </w:r>
      <w:r>
        <w:rPr>
          <w:spacing w:val="-4"/>
        </w:rPr>
        <w:t> </w:t>
      </w:r>
      <w:r>
        <w:rPr/>
        <w:t>full actuarial valuation performed at 31 March 2022 has been used by the actuary in valuing the pensions obligation at 31 July 2023. Any differences between the figures derived from the roll forward</w:t>
      </w:r>
      <w:r>
        <w:rPr>
          <w:spacing w:val="-8"/>
        </w:rPr>
        <w:t> </w:t>
      </w:r>
      <w:r>
        <w:rPr/>
        <w:t>approach</w:t>
      </w:r>
      <w:r>
        <w:rPr>
          <w:spacing w:val="-8"/>
        </w:rPr>
        <w:t> </w:t>
      </w:r>
      <w:r>
        <w:rPr/>
        <w:t>and</w:t>
      </w:r>
      <w:r>
        <w:rPr>
          <w:spacing w:val="-8"/>
        </w:rPr>
        <w:t> </w:t>
      </w:r>
      <w:r>
        <w:rPr/>
        <w:t>a</w:t>
      </w:r>
      <w:r>
        <w:rPr>
          <w:spacing w:val="-8"/>
        </w:rPr>
        <w:t> </w:t>
      </w:r>
      <w:r>
        <w:rPr/>
        <w:t>full</w:t>
      </w:r>
      <w:r>
        <w:rPr>
          <w:spacing w:val="-6"/>
        </w:rPr>
        <w:t> </w:t>
      </w:r>
      <w:r>
        <w:rPr/>
        <w:t>actuarial</w:t>
      </w:r>
      <w:r>
        <w:rPr>
          <w:spacing w:val="-9"/>
        </w:rPr>
        <w:t> </w:t>
      </w:r>
      <w:r>
        <w:rPr/>
        <w:t>valuation</w:t>
      </w:r>
      <w:r>
        <w:rPr>
          <w:spacing w:val="-6"/>
        </w:rPr>
        <w:t> </w:t>
      </w:r>
      <w:r>
        <w:rPr/>
        <w:t>would</w:t>
      </w:r>
      <w:r>
        <w:rPr>
          <w:spacing w:val="-8"/>
        </w:rPr>
        <w:t> </w:t>
      </w:r>
      <w:r>
        <w:rPr/>
        <w:t>impact</w:t>
      </w:r>
      <w:r>
        <w:rPr>
          <w:spacing w:val="-8"/>
        </w:rPr>
        <w:t> </w:t>
      </w:r>
      <w:r>
        <w:rPr/>
        <w:t>on</w:t>
      </w:r>
      <w:r>
        <w:rPr>
          <w:spacing w:val="-8"/>
        </w:rPr>
        <w:t> </w:t>
      </w:r>
      <w:r>
        <w:rPr/>
        <w:t>the</w:t>
      </w:r>
      <w:r>
        <w:rPr>
          <w:spacing w:val="-8"/>
        </w:rPr>
        <w:t> </w:t>
      </w:r>
      <w:r>
        <w:rPr/>
        <w:t>carrying</w:t>
      </w:r>
      <w:r>
        <w:rPr>
          <w:spacing w:val="-8"/>
        </w:rPr>
        <w:t> </w:t>
      </w:r>
      <w:r>
        <w:rPr/>
        <w:t>amount</w:t>
      </w:r>
      <w:r>
        <w:rPr>
          <w:spacing w:val="-8"/>
        </w:rPr>
        <w:t> </w:t>
      </w:r>
      <w:r>
        <w:rPr/>
        <w:t>of</w:t>
      </w:r>
      <w:r>
        <w:rPr>
          <w:spacing w:val="-8"/>
        </w:rPr>
        <w:t> </w:t>
      </w:r>
      <w:r>
        <w:rPr/>
        <w:t>the</w:t>
      </w:r>
      <w:r>
        <w:rPr>
          <w:spacing w:val="-8"/>
        </w:rPr>
        <w:t> </w:t>
      </w:r>
      <w:r>
        <w:rPr/>
        <w:t>pension </w:t>
      </w:r>
      <w:r>
        <w:rPr>
          <w:spacing w:val="-2"/>
        </w:rPr>
        <w:t>liability.</w:t>
      </w:r>
    </w:p>
    <w:p>
      <w:pPr>
        <w:pStyle w:val="ListParagraph"/>
        <w:numPr>
          <w:ilvl w:val="1"/>
          <w:numId w:val="12"/>
        </w:numPr>
        <w:tabs>
          <w:tab w:pos="1278" w:val="left" w:leader="none"/>
        </w:tabs>
        <w:spacing w:line="240" w:lineRule="auto" w:before="123" w:after="0"/>
        <w:ind w:left="1278" w:right="0" w:hanging="426"/>
        <w:jc w:val="both"/>
        <w:rPr>
          <w:sz w:val="20"/>
        </w:rPr>
      </w:pPr>
      <w:r>
        <w:rPr>
          <w:sz w:val="20"/>
        </w:rPr>
        <w:t>Tangible</w:t>
      </w:r>
      <w:r>
        <w:rPr>
          <w:spacing w:val="-8"/>
          <w:sz w:val="20"/>
        </w:rPr>
        <w:t> </w:t>
      </w:r>
      <w:r>
        <w:rPr>
          <w:sz w:val="20"/>
        </w:rPr>
        <w:t>fixed</w:t>
      </w:r>
      <w:r>
        <w:rPr>
          <w:spacing w:val="-8"/>
          <w:sz w:val="20"/>
        </w:rPr>
        <w:t> </w:t>
      </w:r>
      <w:r>
        <w:rPr>
          <w:spacing w:val="-2"/>
          <w:sz w:val="20"/>
        </w:rPr>
        <w:t>assets</w:t>
      </w:r>
    </w:p>
    <w:p>
      <w:pPr>
        <w:pStyle w:val="BodyText"/>
        <w:spacing w:before="116"/>
        <w:ind w:left="1279" w:right="706"/>
        <w:jc w:val="both"/>
      </w:pPr>
      <w:r>
        <w:rPr/>
        <w:t>Tangible fixed assets are depreciated over their useful lives taking into account residual values, where appropriate. The actual lives of the assets and residual values are assessed annually and may vary depending on a number of factors. In re-assessing asset lives, factors such as technological</w:t>
      </w:r>
      <w:r>
        <w:rPr>
          <w:spacing w:val="-6"/>
        </w:rPr>
        <w:t> </w:t>
      </w:r>
      <w:r>
        <w:rPr/>
        <w:t>innovation,</w:t>
      </w:r>
      <w:r>
        <w:rPr>
          <w:spacing w:val="-7"/>
        </w:rPr>
        <w:t> </w:t>
      </w:r>
      <w:r>
        <w:rPr/>
        <w:t>maintenance</w:t>
      </w:r>
      <w:r>
        <w:rPr>
          <w:spacing w:val="-8"/>
        </w:rPr>
        <w:t> </w:t>
      </w:r>
      <w:r>
        <w:rPr/>
        <w:t>programmes,</w:t>
      </w:r>
      <w:r>
        <w:rPr>
          <w:spacing w:val="-7"/>
        </w:rPr>
        <w:t> </w:t>
      </w:r>
      <w:r>
        <w:rPr/>
        <w:t>economic</w:t>
      </w:r>
      <w:r>
        <w:rPr>
          <w:spacing w:val="-6"/>
        </w:rPr>
        <w:t> </w:t>
      </w:r>
      <w:r>
        <w:rPr/>
        <w:t>utilisation</w:t>
      </w:r>
      <w:r>
        <w:rPr>
          <w:spacing w:val="-8"/>
        </w:rPr>
        <w:t> </w:t>
      </w:r>
      <w:r>
        <w:rPr/>
        <w:t>and</w:t>
      </w:r>
      <w:r>
        <w:rPr>
          <w:spacing w:val="-8"/>
        </w:rPr>
        <w:t> </w:t>
      </w:r>
      <w:r>
        <w:rPr/>
        <w:t>physical</w:t>
      </w:r>
      <w:r>
        <w:rPr>
          <w:spacing w:val="-8"/>
        </w:rPr>
        <w:t> </w:t>
      </w:r>
      <w:r>
        <w:rPr/>
        <w:t>condition</w:t>
      </w:r>
      <w:r>
        <w:rPr>
          <w:spacing w:val="-5"/>
        </w:rPr>
        <w:t> </w:t>
      </w:r>
      <w:r>
        <w:rPr/>
        <w:t>of the assets are taken into account. Residual value assessments consider issues such as future market conditions and the remaining life of the asset.</w:t>
      </w:r>
    </w:p>
    <w:p>
      <w:pPr>
        <w:pStyle w:val="ListParagraph"/>
        <w:numPr>
          <w:ilvl w:val="1"/>
          <w:numId w:val="12"/>
        </w:numPr>
        <w:tabs>
          <w:tab w:pos="1278" w:val="left" w:leader="none"/>
        </w:tabs>
        <w:spacing w:line="240" w:lineRule="auto" w:before="122" w:after="0"/>
        <w:ind w:left="1278" w:right="0" w:hanging="426"/>
        <w:jc w:val="both"/>
        <w:rPr>
          <w:sz w:val="20"/>
        </w:rPr>
      </w:pPr>
      <w:r>
        <w:rPr>
          <w:sz w:val="20"/>
        </w:rPr>
        <w:t>Impairment</w:t>
      </w:r>
      <w:r>
        <w:rPr>
          <w:spacing w:val="-8"/>
          <w:sz w:val="20"/>
        </w:rPr>
        <w:t> </w:t>
      </w:r>
      <w:r>
        <w:rPr>
          <w:sz w:val="20"/>
        </w:rPr>
        <w:t>of</w:t>
      </w:r>
      <w:r>
        <w:rPr>
          <w:spacing w:val="-6"/>
          <w:sz w:val="20"/>
        </w:rPr>
        <w:t> </w:t>
      </w:r>
      <w:r>
        <w:rPr>
          <w:sz w:val="20"/>
        </w:rPr>
        <w:t>fixed</w:t>
      </w:r>
      <w:r>
        <w:rPr>
          <w:spacing w:val="-7"/>
          <w:sz w:val="20"/>
        </w:rPr>
        <w:t> </w:t>
      </w:r>
      <w:r>
        <w:rPr>
          <w:spacing w:val="-2"/>
          <w:sz w:val="20"/>
        </w:rPr>
        <w:t>assets</w:t>
      </w:r>
    </w:p>
    <w:p>
      <w:pPr>
        <w:pStyle w:val="BodyText"/>
        <w:spacing w:before="119"/>
        <w:ind w:left="1279" w:right="706"/>
        <w:jc w:val="both"/>
      </w:pPr>
      <w:r>
        <w:rPr/>
        <w:t>The</w:t>
      </w:r>
      <w:r>
        <w:rPr>
          <w:spacing w:val="-14"/>
        </w:rPr>
        <w:t> </w:t>
      </w:r>
      <w:r>
        <w:rPr/>
        <w:t>Group</w:t>
      </w:r>
      <w:r>
        <w:rPr>
          <w:spacing w:val="-14"/>
        </w:rPr>
        <w:t> </w:t>
      </w:r>
      <w:r>
        <w:rPr/>
        <w:t>considers</w:t>
      </w:r>
      <w:r>
        <w:rPr>
          <w:spacing w:val="-14"/>
        </w:rPr>
        <w:t> </w:t>
      </w:r>
      <w:r>
        <w:rPr/>
        <w:t>whether</w:t>
      </w:r>
      <w:r>
        <w:rPr>
          <w:spacing w:val="-14"/>
        </w:rPr>
        <w:t> </w:t>
      </w:r>
      <w:r>
        <w:rPr/>
        <w:t>tangible</w:t>
      </w:r>
      <w:r>
        <w:rPr>
          <w:spacing w:val="-14"/>
        </w:rPr>
        <w:t> </w:t>
      </w:r>
      <w:r>
        <w:rPr/>
        <w:t>fixed</w:t>
      </w:r>
      <w:r>
        <w:rPr>
          <w:spacing w:val="-14"/>
        </w:rPr>
        <w:t> </w:t>
      </w:r>
      <w:r>
        <w:rPr/>
        <w:t>assets</w:t>
      </w:r>
      <w:r>
        <w:rPr>
          <w:spacing w:val="-14"/>
        </w:rPr>
        <w:t> </w:t>
      </w:r>
      <w:r>
        <w:rPr/>
        <w:t>are</w:t>
      </w:r>
      <w:r>
        <w:rPr>
          <w:spacing w:val="-14"/>
        </w:rPr>
        <w:t> </w:t>
      </w:r>
      <w:r>
        <w:rPr/>
        <w:t>impaired.</w:t>
      </w:r>
      <w:r>
        <w:rPr>
          <w:spacing w:val="-14"/>
        </w:rPr>
        <w:t> </w:t>
      </w:r>
      <w:r>
        <w:rPr/>
        <w:t>Where</w:t>
      </w:r>
      <w:r>
        <w:rPr>
          <w:spacing w:val="-13"/>
        </w:rPr>
        <w:t> </w:t>
      </w:r>
      <w:r>
        <w:rPr/>
        <w:t>an</w:t>
      </w:r>
      <w:r>
        <w:rPr>
          <w:spacing w:val="-14"/>
        </w:rPr>
        <w:t> </w:t>
      </w:r>
      <w:r>
        <w:rPr/>
        <w:t>indication</w:t>
      </w:r>
      <w:r>
        <w:rPr>
          <w:spacing w:val="-14"/>
        </w:rPr>
        <w:t> </w:t>
      </w:r>
      <w:r>
        <w:rPr/>
        <w:t>of</w:t>
      </w:r>
      <w:r>
        <w:rPr>
          <w:spacing w:val="-14"/>
        </w:rPr>
        <w:t> </w:t>
      </w:r>
      <w:r>
        <w:rPr/>
        <w:t>impairment is</w:t>
      </w:r>
      <w:r>
        <w:rPr>
          <w:spacing w:val="-7"/>
        </w:rPr>
        <w:t> </w:t>
      </w:r>
      <w:r>
        <w:rPr/>
        <w:t>identified</w:t>
      </w:r>
      <w:r>
        <w:rPr>
          <w:spacing w:val="-7"/>
        </w:rPr>
        <w:t> </w:t>
      </w:r>
      <w:r>
        <w:rPr/>
        <w:t>the</w:t>
      </w:r>
      <w:r>
        <w:rPr>
          <w:spacing w:val="-7"/>
        </w:rPr>
        <w:t> </w:t>
      </w:r>
      <w:r>
        <w:rPr/>
        <w:t>estimation</w:t>
      </w:r>
      <w:r>
        <w:rPr>
          <w:spacing w:val="-7"/>
        </w:rPr>
        <w:t> </w:t>
      </w:r>
      <w:r>
        <w:rPr/>
        <w:t>of</w:t>
      </w:r>
      <w:r>
        <w:rPr>
          <w:spacing w:val="-9"/>
        </w:rPr>
        <w:t> </w:t>
      </w:r>
      <w:r>
        <w:rPr/>
        <w:t>the</w:t>
      </w:r>
      <w:r>
        <w:rPr>
          <w:spacing w:val="-7"/>
        </w:rPr>
        <w:t> </w:t>
      </w:r>
      <w:r>
        <w:rPr/>
        <w:t>recoverable</w:t>
      </w:r>
      <w:r>
        <w:rPr>
          <w:spacing w:val="-7"/>
        </w:rPr>
        <w:t> </w:t>
      </w:r>
      <w:r>
        <w:rPr/>
        <w:t>amount</w:t>
      </w:r>
      <w:r>
        <w:rPr>
          <w:spacing w:val="-6"/>
        </w:rPr>
        <w:t> </w:t>
      </w:r>
      <w:r>
        <w:rPr/>
        <w:t>of</w:t>
      </w:r>
      <w:r>
        <w:rPr>
          <w:spacing w:val="-6"/>
        </w:rPr>
        <w:t> </w:t>
      </w:r>
      <w:r>
        <w:rPr/>
        <w:t>the</w:t>
      </w:r>
      <w:r>
        <w:rPr>
          <w:spacing w:val="-7"/>
        </w:rPr>
        <w:t> </w:t>
      </w:r>
      <w:r>
        <w:rPr/>
        <w:t>asset</w:t>
      </w:r>
      <w:r>
        <w:rPr>
          <w:spacing w:val="-9"/>
        </w:rPr>
        <w:t> </w:t>
      </w:r>
      <w:r>
        <w:rPr/>
        <w:t>or</w:t>
      </w:r>
      <w:r>
        <w:rPr>
          <w:spacing w:val="-5"/>
        </w:rPr>
        <w:t> </w:t>
      </w:r>
      <w:r>
        <w:rPr/>
        <w:t>the</w:t>
      </w:r>
      <w:r>
        <w:rPr>
          <w:spacing w:val="-7"/>
        </w:rPr>
        <w:t> </w:t>
      </w:r>
      <w:r>
        <w:rPr/>
        <w:t>recoverable</w:t>
      </w:r>
      <w:r>
        <w:rPr>
          <w:spacing w:val="-9"/>
        </w:rPr>
        <w:t> </w:t>
      </w:r>
      <w:r>
        <w:rPr/>
        <w:t>amount</w:t>
      </w:r>
      <w:r>
        <w:rPr>
          <w:spacing w:val="-9"/>
        </w:rPr>
        <w:t> </w:t>
      </w:r>
      <w:r>
        <w:rPr/>
        <w:t>of</w:t>
      </w:r>
      <w:r>
        <w:rPr>
          <w:spacing w:val="-6"/>
        </w:rPr>
        <w:t> </w:t>
      </w:r>
      <w:r>
        <w:rPr/>
        <w:t>the cash-generating unit is required. These will require an estimation of the future cash flow and selection of appropriate discount rates in order to calculate the net present value of those cash </w:t>
      </w:r>
      <w:r>
        <w:rPr>
          <w:spacing w:val="-2"/>
        </w:rPr>
        <w:t>flows.</w:t>
      </w:r>
    </w:p>
    <w:p>
      <w:pPr>
        <w:pStyle w:val="BodyText"/>
        <w:spacing w:after="0"/>
        <w:jc w:val="both"/>
        <w:sectPr>
          <w:pgSz w:w="11910" w:h="16850"/>
          <w:pgMar w:header="727" w:footer="702" w:top="1520" w:bottom="900" w:left="566" w:right="708"/>
        </w:sectPr>
      </w:pPr>
    </w:p>
    <w:p>
      <w:pPr>
        <w:pStyle w:val="Heading1"/>
        <w:spacing w:before="63"/>
        <w:ind w:left="566"/>
      </w:pPr>
      <w:r>
        <w:rPr/>
        <w:t>Hull</w:t>
      </w:r>
      <w:r>
        <w:rPr>
          <w:spacing w:val="-6"/>
        </w:rPr>
        <w:t> </w:t>
      </w:r>
      <w:r>
        <w:rPr/>
        <w:t>College</w:t>
      </w:r>
      <w:r>
        <w:rPr>
          <w:spacing w:val="-8"/>
        </w:rPr>
        <w:t> </w:t>
      </w:r>
      <w:r>
        <w:rPr/>
        <w:t>Further</w:t>
      </w:r>
      <w:r>
        <w:rPr>
          <w:spacing w:val="-4"/>
        </w:rPr>
        <w:t> </w:t>
      </w:r>
      <w:r>
        <w:rPr/>
        <w:t>Education</w:t>
      </w:r>
      <w:r>
        <w:rPr>
          <w:spacing w:val="-8"/>
        </w:rPr>
        <w:t> </w:t>
      </w:r>
      <w:r>
        <w:rPr>
          <w:spacing w:val="-2"/>
        </w:rPr>
        <w:t>Corporation</w:t>
      </w:r>
    </w:p>
    <w:p>
      <w:pPr>
        <w:pStyle w:val="BodyText"/>
        <w:ind w:left="566"/>
      </w:pPr>
      <w:r>
        <w:rPr/>
        <w:t>FINANCIAL</w:t>
      </w:r>
      <w:r>
        <w:rPr>
          <w:spacing w:val="-11"/>
        </w:rPr>
        <w:t> </w:t>
      </w:r>
      <w:r>
        <w:rPr>
          <w:spacing w:val="-2"/>
        </w:rPr>
        <w:t>STATEMENTS</w:t>
      </w:r>
    </w:p>
    <w:p>
      <w:pPr>
        <w:pStyle w:val="BodyText"/>
        <w:ind w:left="566"/>
      </w:pPr>
      <w:r>
        <w:rPr/>
        <mc:AlternateContent>
          <mc:Choice Requires="wps">
            <w:drawing>
              <wp:anchor distT="0" distB="0" distL="0" distR="0" allowOverlap="1" layoutInCell="1" locked="0" behindDoc="1" simplePos="0" relativeHeight="487596032">
                <wp:simplePos x="0" y="0"/>
                <wp:positionH relativeFrom="page">
                  <wp:posOffset>701040</wp:posOffset>
                </wp:positionH>
                <wp:positionV relativeFrom="paragraph">
                  <wp:posOffset>159148</wp:posOffset>
                </wp:positionV>
                <wp:extent cx="6373495" cy="635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6373495" cy="6350"/>
                        </a:xfrm>
                        <a:custGeom>
                          <a:avLst/>
                          <a:gdLst/>
                          <a:ahLst/>
                          <a:cxnLst/>
                          <a:rect l="l" t="t" r="r" b="b"/>
                          <a:pathLst>
                            <a:path w="6373495" h="6350">
                              <a:moveTo>
                                <a:pt x="6373368" y="0"/>
                              </a:moveTo>
                              <a:lnTo>
                                <a:pt x="0" y="0"/>
                              </a:lnTo>
                              <a:lnTo>
                                <a:pt x="0" y="6108"/>
                              </a:lnTo>
                              <a:lnTo>
                                <a:pt x="6373368" y="6108"/>
                              </a:lnTo>
                              <a:lnTo>
                                <a:pt x="6373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2.531343pt;width:501.84pt;height:.481pt;mso-position-horizontal-relative:page;mso-position-vertical-relative:paragraph;z-index:-15720448;mso-wrap-distance-left:0;mso-wrap-distance-right:0" id="docshape64" filled="true" fillcolor="#000000" stroked="false">
                <v:fill type="solid"/>
                <w10:wrap type="topAndBottom"/>
              </v:rect>
            </w:pict>
          </mc:Fallback>
        </mc:AlternateContent>
      </w: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p>
      <w:pPr>
        <w:pStyle w:val="BodyText"/>
        <w:rPr>
          <w:sz w:val="24"/>
        </w:rPr>
      </w:pPr>
    </w:p>
    <w:p>
      <w:pPr>
        <w:pStyle w:val="Heading3"/>
        <w:ind w:left="566"/>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numPr>
          <w:ilvl w:val="0"/>
          <w:numId w:val="13"/>
        </w:numPr>
        <w:tabs>
          <w:tab w:pos="566" w:val="left" w:leader="none"/>
        </w:tabs>
        <w:spacing w:line="240" w:lineRule="auto" w:before="0" w:after="0"/>
        <w:ind w:left="566" w:right="0" w:hanging="427"/>
        <w:jc w:val="left"/>
      </w:pPr>
      <w:r>
        <w:rPr/>
        <w:t>Funding</w:t>
      </w:r>
      <w:r>
        <w:rPr>
          <w:spacing w:val="-4"/>
        </w:rPr>
        <w:t> </w:t>
      </w:r>
      <w:r>
        <w:rPr/>
        <w:t>body</w:t>
      </w:r>
      <w:r>
        <w:rPr>
          <w:spacing w:val="-5"/>
        </w:rPr>
        <w:t> </w:t>
      </w:r>
      <w:r>
        <w:rPr>
          <w:spacing w:val="-2"/>
        </w:rPr>
        <w:t>grants</w:t>
      </w:r>
    </w:p>
    <w:p>
      <w:pPr>
        <w:pStyle w:val="BodyText"/>
        <w:rPr>
          <w:b/>
        </w:rPr>
      </w:pPr>
    </w:p>
    <w:p>
      <w:pPr>
        <w:pStyle w:val="BodyText"/>
        <w:spacing w:before="83"/>
        <w:rPr>
          <w:b/>
        </w:rPr>
      </w:pPr>
    </w:p>
    <w:p>
      <w:pPr>
        <w:tabs>
          <w:tab w:pos="8133" w:val="left" w:leader="none"/>
        </w:tabs>
        <w:spacing w:before="0" w:after="47"/>
        <w:ind w:left="5400"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7"/>
        <w:gridCol w:w="1109"/>
        <w:gridCol w:w="276"/>
        <w:gridCol w:w="1032"/>
        <w:gridCol w:w="386"/>
        <w:gridCol w:w="998"/>
        <w:gridCol w:w="276"/>
        <w:gridCol w:w="1001"/>
      </w:tblGrid>
      <w:tr>
        <w:trPr>
          <w:trHeight w:val="1056" w:hRule="atLeast"/>
        </w:trPr>
        <w:tc>
          <w:tcPr>
            <w:tcW w:w="4077" w:type="dxa"/>
          </w:tcPr>
          <w:p>
            <w:pPr>
              <w:pStyle w:val="TableParagraph"/>
              <w:rPr>
                <w:b/>
                <w:sz w:val="20"/>
              </w:rPr>
            </w:pPr>
          </w:p>
          <w:p>
            <w:pPr>
              <w:pStyle w:val="TableParagraph"/>
              <w:rPr>
                <w:b/>
                <w:sz w:val="20"/>
              </w:rPr>
            </w:pPr>
          </w:p>
          <w:p>
            <w:pPr>
              <w:pStyle w:val="TableParagraph"/>
              <w:spacing w:before="114"/>
              <w:rPr>
                <w:b/>
                <w:sz w:val="20"/>
              </w:rPr>
            </w:pPr>
          </w:p>
          <w:p>
            <w:pPr>
              <w:pStyle w:val="TableParagraph"/>
              <w:ind w:left="50"/>
              <w:rPr>
                <w:b/>
                <w:sz w:val="20"/>
              </w:rPr>
            </w:pPr>
            <w:r>
              <w:rPr>
                <w:b/>
                <w:sz w:val="20"/>
              </w:rPr>
              <w:t>Recurrent</w:t>
            </w:r>
            <w:r>
              <w:rPr>
                <w:b/>
                <w:spacing w:val="-13"/>
                <w:sz w:val="20"/>
              </w:rPr>
              <w:t> </w:t>
            </w:r>
            <w:r>
              <w:rPr>
                <w:b/>
                <w:spacing w:val="-2"/>
                <w:sz w:val="20"/>
              </w:rPr>
              <w:t>grants</w:t>
            </w:r>
          </w:p>
        </w:tc>
        <w:tc>
          <w:tcPr>
            <w:tcW w:w="1109" w:type="dxa"/>
          </w:tcPr>
          <w:p>
            <w:pPr>
              <w:pStyle w:val="TableParagraph"/>
              <w:spacing w:line="223" w:lineRule="exact"/>
              <w:ind w:right="108"/>
              <w:jc w:val="right"/>
              <w:rPr>
                <w:b/>
                <w:sz w:val="20"/>
              </w:rPr>
            </w:pPr>
            <w:r>
              <w:rPr>
                <w:b/>
                <w:spacing w:val="-4"/>
                <w:sz w:val="20"/>
              </w:rPr>
              <w:t>2023</w:t>
            </w:r>
          </w:p>
          <w:p>
            <w:pPr>
              <w:pStyle w:val="TableParagraph"/>
              <w:spacing w:before="41"/>
              <w:ind w:right="106"/>
              <w:jc w:val="right"/>
              <w:rPr>
                <w:b/>
                <w:sz w:val="20"/>
              </w:rPr>
            </w:pPr>
            <w:r>
              <w:rPr>
                <w:b/>
                <w:spacing w:val="-4"/>
                <w:sz w:val="20"/>
              </w:rPr>
              <w:t>Group</w:t>
            </w:r>
          </w:p>
          <w:p>
            <w:pPr>
              <w:pStyle w:val="TableParagraph"/>
              <w:spacing w:before="39"/>
              <w:ind w:right="108"/>
              <w:jc w:val="right"/>
              <w:rPr>
                <w:b/>
                <w:sz w:val="20"/>
              </w:rPr>
            </w:pPr>
            <w:r>
              <w:rPr>
                <w:b/>
                <w:spacing w:val="-2"/>
                <w:sz w:val="20"/>
              </w:rPr>
              <w:t>£’000</w:t>
            </w:r>
          </w:p>
        </w:tc>
        <w:tc>
          <w:tcPr>
            <w:tcW w:w="276" w:type="dxa"/>
          </w:tcPr>
          <w:p>
            <w:pPr>
              <w:pStyle w:val="TableParagraph"/>
              <w:rPr>
                <w:rFonts w:ascii="Times New Roman"/>
                <w:sz w:val="20"/>
              </w:rPr>
            </w:pPr>
          </w:p>
        </w:tc>
        <w:tc>
          <w:tcPr>
            <w:tcW w:w="1032" w:type="dxa"/>
          </w:tcPr>
          <w:p>
            <w:pPr>
              <w:pStyle w:val="TableParagraph"/>
              <w:spacing w:line="223" w:lineRule="exact"/>
              <w:ind w:right="105"/>
              <w:jc w:val="right"/>
              <w:rPr>
                <w:b/>
                <w:sz w:val="20"/>
              </w:rPr>
            </w:pPr>
            <w:r>
              <w:rPr>
                <w:b/>
                <w:spacing w:val="-4"/>
                <w:sz w:val="20"/>
              </w:rPr>
              <w:t>2023</w:t>
            </w:r>
          </w:p>
          <w:p>
            <w:pPr>
              <w:pStyle w:val="TableParagraph"/>
              <w:spacing w:before="41"/>
              <w:ind w:right="105"/>
              <w:jc w:val="right"/>
              <w:rPr>
                <w:b/>
                <w:sz w:val="20"/>
              </w:rPr>
            </w:pPr>
            <w:r>
              <w:rPr>
                <w:b/>
                <w:spacing w:val="-2"/>
                <w:sz w:val="20"/>
              </w:rPr>
              <w:t>College</w:t>
            </w:r>
          </w:p>
          <w:p>
            <w:pPr>
              <w:pStyle w:val="TableParagraph"/>
              <w:spacing w:before="39"/>
              <w:ind w:right="105"/>
              <w:jc w:val="right"/>
              <w:rPr>
                <w:b/>
                <w:sz w:val="20"/>
              </w:rPr>
            </w:pPr>
            <w:r>
              <w:rPr>
                <w:b/>
                <w:spacing w:val="-2"/>
                <w:sz w:val="20"/>
              </w:rPr>
              <w:t>£’000</w:t>
            </w:r>
          </w:p>
        </w:tc>
        <w:tc>
          <w:tcPr>
            <w:tcW w:w="386" w:type="dxa"/>
          </w:tcPr>
          <w:p>
            <w:pPr>
              <w:pStyle w:val="TableParagraph"/>
              <w:rPr>
                <w:rFonts w:ascii="Times New Roman"/>
                <w:sz w:val="20"/>
              </w:rPr>
            </w:pPr>
          </w:p>
        </w:tc>
        <w:tc>
          <w:tcPr>
            <w:tcW w:w="998" w:type="dxa"/>
          </w:tcPr>
          <w:p>
            <w:pPr>
              <w:pStyle w:val="TableParagraph"/>
              <w:spacing w:line="223" w:lineRule="exact"/>
              <w:ind w:right="107"/>
              <w:jc w:val="right"/>
              <w:rPr>
                <w:b/>
                <w:sz w:val="20"/>
              </w:rPr>
            </w:pPr>
            <w:r>
              <w:rPr>
                <w:b/>
                <w:spacing w:val="-4"/>
                <w:sz w:val="20"/>
              </w:rPr>
              <w:t>2022</w:t>
            </w:r>
          </w:p>
          <w:p>
            <w:pPr>
              <w:pStyle w:val="TableParagraph"/>
              <w:spacing w:before="41"/>
              <w:ind w:right="105"/>
              <w:jc w:val="right"/>
              <w:rPr>
                <w:b/>
                <w:sz w:val="20"/>
              </w:rPr>
            </w:pPr>
            <w:r>
              <w:rPr>
                <w:b/>
                <w:spacing w:val="-4"/>
                <w:sz w:val="20"/>
              </w:rPr>
              <w:t>Group</w:t>
            </w:r>
          </w:p>
          <w:p>
            <w:pPr>
              <w:pStyle w:val="TableParagraph"/>
              <w:spacing w:before="39"/>
              <w:ind w:right="107"/>
              <w:jc w:val="right"/>
              <w:rPr>
                <w:b/>
                <w:sz w:val="20"/>
              </w:rPr>
            </w:pPr>
            <w:r>
              <w:rPr>
                <w:b/>
                <w:spacing w:val="-2"/>
                <w:sz w:val="20"/>
              </w:rPr>
              <w:t>£’000</w:t>
            </w:r>
          </w:p>
        </w:tc>
        <w:tc>
          <w:tcPr>
            <w:tcW w:w="276" w:type="dxa"/>
          </w:tcPr>
          <w:p>
            <w:pPr>
              <w:pStyle w:val="TableParagraph"/>
              <w:rPr>
                <w:rFonts w:ascii="Times New Roman"/>
                <w:sz w:val="20"/>
              </w:rPr>
            </w:pPr>
          </w:p>
        </w:tc>
        <w:tc>
          <w:tcPr>
            <w:tcW w:w="1001" w:type="dxa"/>
          </w:tcPr>
          <w:p>
            <w:pPr>
              <w:pStyle w:val="TableParagraph"/>
              <w:spacing w:line="223" w:lineRule="exact"/>
              <w:ind w:right="107"/>
              <w:jc w:val="right"/>
              <w:rPr>
                <w:b/>
                <w:sz w:val="20"/>
              </w:rPr>
            </w:pPr>
            <w:r>
              <w:rPr>
                <w:b/>
                <w:spacing w:val="-4"/>
                <w:sz w:val="20"/>
              </w:rPr>
              <w:t>2022</w:t>
            </w:r>
          </w:p>
          <w:p>
            <w:pPr>
              <w:pStyle w:val="TableParagraph"/>
              <w:spacing w:before="41"/>
              <w:ind w:right="107"/>
              <w:jc w:val="right"/>
              <w:rPr>
                <w:b/>
                <w:sz w:val="20"/>
              </w:rPr>
            </w:pPr>
            <w:r>
              <w:rPr>
                <w:b/>
                <w:spacing w:val="-2"/>
                <w:sz w:val="20"/>
              </w:rPr>
              <w:t>College</w:t>
            </w:r>
          </w:p>
          <w:p>
            <w:pPr>
              <w:pStyle w:val="TableParagraph"/>
              <w:spacing w:before="39"/>
              <w:ind w:right="107"/>
              <w:jc w:val="right"/>
              <w:rPr>
                <w:b/>
                <w:sz w:val="20"/>
              </w:rPr>
            </w:pPr>
            <w:r>
              <w:rPr>
                <w:b/>
                <w:spacing w:val="-2"/>
                <w:sz w:val="20"/>
              </w:rPr>
              <w:t>£’000</w:t>
            </w:r>
          </w:p>
        </w:tc>
      </w:tr>
      <w:tr>
        <w:trPr>
          <w:trHeight w:val="270" w:hRule="atLeast"/>
        </w:trPr>
        <w:tc>
          <w:tcPr>
            <w:tcW w:w="4077" w:type="dxa"/>
          </w:tcPr>
          <w:p>
            <w:pPr>
              <w:pStyle w:val="TableParagraph"/>
              <w:spacing w:before="16"/>
              <w:ind w:left="50"/>
              <w:rPr>
                <w:sz w:val="20"/>
              </w:rPr>
            </w:pPr>
            <w:r>
              <w:rPr>
                <w:sz w:val="20"/>
              </w:rPr>
              <w:t>ESFA</w:t>
            </w:r>
            <w:r>
              <w:rPr>
                <w:spacing w:val="-5"/>
                <w:sz w:val="20"/>
              </w:rPr>
              <w:t> </w:t>
            </w:r>
            <w:r>
              <w:rPr>
                <w:sz w:val="20"/>
              </w:rPr>
              <w:t>-</w:t>
            </w:r>
            <w:r>
              <w:rPr>
                <w:spacing w:val="-3"/>
                <w:sz w:val="20"/>
              </w:rPr>
              <w:t> </w:t>
            </w:r>
            <w:r>
              <w:rPr>
                <w:sz w:val="20"/>
              </w:rPr>
              <w:t>16</w:t>
            </w:r>
            <w:r>
              <w:rPr>
                <w:spacing w:val="-2"/>
                <w:sz w:val="20"/>
              </w:rPr>
              <w:t> </w:t>
            </w:r>
            <w:r>
              <w:rPr>
                <w:sz w:val="20"/>
              </w:rPr>
              <w:t>-</w:t>
            </w:r>
            <w:r>
              <w:rPr>
                <w:spacing w:val="-5"/>
                <w:sz w:val="20"/>
              </w:rPr>
              <w:t>18</w:t>
            </w:r>
          </w:p>
        </w:tc>
        <w:tc>
          <w:tcPr>
            <w:tcW w:w="1109" w:type="dxa"/>
          </w:tcPr>
          <w:p>
            <w:pPr>
              <w:pStyle w:val="TableParagraph"/>
              <w:spacing w:before="16"/>
              <w:ind w:right="108"/>
              <w:jc w:val="right"/>
              <w:rPr>
                <w:sz w:val="20"/>
              </w:rPr>
            </w:pPr>
            <w:r>
              <w:rPr>
                <w:spacing w:val="-2"/>
                <w:sz w:val="20"/>
              </w:rPr>
              <w:t>12,466</w:t>
            </w:r>
          </w:p>
        </w:tc>
        <w:tc>
          <w:tcPr>
            <w:tcW w:w="276" w:type="dxa"/>
          </w:tcPr>
          <w:p>
            <w:pPr>
              <w:pStyle w:val="TableParagraph"/>
              <w:rPr>
                <w:rFonts w:ascii="Times New Roman"/>
                <w:sz w:val="20"/>
              </w:rPr>
            </w:pPr>
          </w:p>
        </w:tc>
        <w:tc>
          <w:tcPr>
            <w:tcW w:w="1032" w:type="dxa"/>
          </w:tcPr>
          <w:p>
            <w:pPr>
              <w:pStyle w:val="TableParagraph"/>
              <w:spacing w:before="16"/>
              <w:ind w:right="190"/>
              <w:jc w:val="right"/>
              <w:rPr>
                <w:sz w:val="20"/>
              </w:rPr>
            </w:pPr>
            <w:r>
              <w:rPr>
                <w:spacing w:val="-2"/>
                <w:sz w:val="20"/>
              </w:rPr>
              <w:t>12,466</w:t>
            </w:r>
          </w:p>
        </w:tc>
        <w:tc>
          <w:tcPr>
            <w:tcW w:w="386" w:type="dxa"/>
          </w:tcPr>
          <w:p>
            <w:pPr>
              <w:pStyle w:val="TableParagraph"/>
              <w:rPr>
                <w:rFonts w:ascii="Times New Roman"/>
                <w:sz w:val="20"/>
              </w:rPr>
            </w:pPr>
          </w:p>
        </w:tc>
        <w:tc>
          <w:tcPr>
            <w:tcW w:w="998" w:type="dxa"/>
          </w:tcPr>
          <w:p>
            <w:pPr>
              <w:pStyle w:val="TableParagraph"/>
              <w:spacing w:before="16"/>
              <w:ind w:right="107"/>
              <w:jc w:val="right"/>
              <w:rPr>
                <w:sz w:val="20"/>
              </w:rPr>
            </w:pPr>
            <w:r>
              <w:rPr>
                <w:spacing w:val="-2"/>
                <w:sz w:val="20"/>
              </w:rPr>
              <w:t>9,088</w:t>
            </w:r>
          </w:p>
        </w:tc>
        <w:tc>
          <w:tcPr>
            <w:tcW w:w="276" w:type="dxa"/>
          </w:tcPr>
          <w:p>
            <w:pPr>
              <w:pStyle w:val="TableParagraph"/>
              <w:rPr>
                <w:rFonts w:ascii="Times New Roman"/>
                <w:sz w:val="20"/>
              </w:rPr>
            </w:pPr>
          </w:p>
        </w:tc>
        <w:tc>
          <w:tcPr>
            <w:tcW w:w="1001" w:type="dxa"/>
          </w:tcPr>
          <w:p>
            <w:pPr>
              <w:pStyle w:val="TableParagraph"/>
              <w:spacing w:before="16"/>
              <w:ind w:right="157"/>
              <w:jc w:val="right"/>
              <w:rPr>
                <w:sz w:val="20"/>
              </w:rPr>
            </w:pPr>
            <w:r>
              <w:rPr>
                <w:spacing w:val="-2"/>
                <w:sz w:val="20"/>
              </w:rPr>
              <w:t>9,088</w:t>
            </w:r>
          </w:p>
        </w:tc>
      </w:tr>
      <w:tr>
        <w:trPr>
          <w:trHeight w:val="270" w:hRule="atLeast"/>
        </w:trPr>
        <w:tc>
          <w:tcPr>
            <w:tcW w:w="4077" w:type="dxa"/>
          </w:tcPr>
          <w:p>
            <w:pPr>
              <w:pStyle w:val="TableParagraph"/>
              <w:spacing w:before="17"/>
              <w:ind w:left="50"/>
              <w:rPr>
                <w:sz w:val="20"/>
              </w:rPr>
            </w:pPr>
            <w:r>
              <w:rPr>
                <w:sz w:val="20"/>
              </w:rPr>
              <w:t>ESFA</w:t>
            </w:r>
            <w:r>
              <w:rPr>
                <w:spacing w:val="-5"/>
                <w:sz w:val="20"/>
              </w:rPr>
              <w:t> </w:t>
            </w:r>
            <w:r>
              <w:rPr>
                <w:sz w:val="20"/>
              </w:rPr>
              <w:t>–</w:t>
            </w:r>
            <w:r>
              <w:rPr>
                <w:spacing w:val="-2"/>
                <w:sz w:val="20"/>
              </w:rPr>
              <w:t> adult</w:t>
            </w:r>
          </w:p>
        </w:tc>
        <w:tc>
          <w:tcPr>
            <w:tcW w:w="1109" w:type="dxa"/>
          </w:tcPr>
          <w:p>
            <w:pPr>
              <w:pStyle w:val="TableParagraph"/>
              <w:spacing w:before="17"/>
              <w:ind w:right="108"/>
              <w:jc w:val="right"/>
              <w:rPr>
                <w:sz w:val="20"/>
              </w:rPr>
            </w:pPr>
            <w:r>
              <w:rPr>
                <w:spacing w:val="-2"/>
                <w:sz w:val="20"/>
              </w:rPr>
              <w:t>9,694</w:t>
            </w:r>
          </w:p>
        </w:tc>
        <w:tc>
          <w:tcPr>
            <w:tcW w:w="276" w:type="dxa"/>
          </w:tcPr>
          <w:p>
            <w:pPr>
              <w:pStyle w:val="TableParagraph"/>
              <w:rPr>
                <w:rFonts w:ascii="Times New Roman"/>
                <w:sz w:val="20"/>
              </w:rPr>
            </w:pPr>
          </w:p>
        </w:tc>
        <w:tc>
          <w:tcPr>
            <w:tcW w:w="1032" w:type="dxa"/>
          </w:tcPr>
          <w:p>
            <w:pPr>
              <w:pStyle w:val="TableParagraph"/>
              <w:spacing w:before="17"/>
              <w:ind w:right="189"/>
              <w:jc w:val="right"/>
              <w:rPr>
                <w:sz w:val="20"/>
              </w:rPr>
            </w:pPr>
            <w:r>
              <w:rPr>
                <w:spacing w:val="-2"/>
                <w:sz w:val="20"/>
              </w:rPr>
              <w:t>9,694</w:t>
            </w:r>
          </w:p>
        </w:tc>
        <w:tc>
          <w:tcPr>
            <w:tcW w:w="386" w:type="dxa"/>
          </w:tcPr>
          <w:p>
            <w:pPr>
              <w:pStyle w:val="TableParagraph"/>
              <w:rPr>
                <w:rFonts w:ascii="Times New Roman"/>
                <w:sz w:val="20"/>
              </w:rPr>
            </w:pPr>
          </w:p>
        </w:tc>
        <w:tc>
          <w:tcPr>
            <w:tcW w:w="998" w:type="dxa"/>
          </w:tcPr>
          <w:p>
            <w:pPr>
              <w:pStyle w:val="TableParagraph"/>
              <w:spacing w:before="17"/>
              <w:ind w:right="107"/>
              <w:jc w:val="right"/>
              <w:rPr>
                <w:sz w:val="20"/>
              </w:rPr>
            </w:pPr>
            <w:r>
              <w:rPr>
                <w:spacing w:val="-2"/>
                <w:sz w:val="20"/>
              </w:rPr>
              <w:t>11,366</w:t>
            </w:r>
          </w:p>
        </w:tc>
        <w:tc>
          <w:tcPr>
            <w:tcW w:w="276" w:type="dxa"/>
          </w:tcPr>
          <w:p>
            <w:pPr>
              <w:pStyle w:val="TableParagraph"/>
              <w:rPr>
                <w:rFonts w:ascii="Times New Roman"/>
                <w:sz w:val="20"/>
              </w:rPr>
            </w:pPr>
          </w:p>
        </w:tc>
        <w:tc>
          <w:tcPr>
            <w:tcW w:w="1001" w:type="dxa"/>
          </w:tcPr>
          <w:p>
            <w:pPr>
              <w:pStyle w:val="TableParagraph"/>
              <w:spacing w:before="17"/>
              <w:ind w:right="158"/>
              <w:jc w:val="right"/>
              <w:rPr>
                <w:sz w:val="20"/>
              </w:rPr>
            </w:pPr>
            <w:r>
              <w:rPr>
                <w:spacing w:val="-2"/>
                <w:sz w:val="20"/>
              </w:rPr>
              <w:t>11,366</w:t>
            </w:r>
          </w:p>
        </w:tc>
      </w:tr>
      <w:tr>
        <w:trPr>
          <w:trHeight w:val="270" w:hRule="atLeast"/>
        </w:trPr>
        <w:tc>
          <w:tcPr>
            <w:tcW w:w="4077" w:type="dxa"/>
          </w:tcPr>
          <w:p>
            <w:pPr>
              <w:pStyle w:val="TableParagraph"/>
              <w:spacing w:before="16"/>
              <w:ind w:left="50"/>
              <w:rPr>
                <w:sz w:val="20"/>
              </w:rPr>
            </w:pPr>
            <w:r>
              <w:rPr>
                <w:sz w:val="20"/>
              </w:rPr>
              <w:t>ESFA</w:t>
            </w:r>
            <w:r>
              <w:rPr>
                <w:spacing w:val="-5"/>
                <w:sz w:val="20"/>
              </w:rPr>
              <w:t> </w:t>
            </w:r>
            <w:r>
              <w:rPr>
                <w:sz w:val="20"/>
              </w:rPr>
              <w:t>–</w:t>
            </w:r>
            <w:r>
              <w:rPr>
                <w:spacing w:val="-2"/>
                <w:sz w:val="20"/>
              </w:rPr>
              <w:t> apprenticeships</w:t>
            </w:r>
          </w:p>
        </w:tc>
        <w:tc>
          <w:tcPr>
            <w:tcW w:w="1109" w:type="dxa"/>
          </w:tcPr>
          <w:p>
            <w:pPr>
              <w:pStyle w:val="TableParagraph"/>
              <w:spacing w:before="16"/>
              <w:ind w:right="108"/>
              <w:jc w:val="right"/>
              <w:rPr>
                <w:sz w:val="20"/>
              </w:rPr>
            </w:pPr>
            <w:r>
              <w:rPr>
                <w:spacing w:val="-2"/>
                <w:sz w:val="20"/>
              </w:rPr>
              <w:t>2,955</w:t>
            </w:r>
          </w:p>
        </w:tc>
        <w:tc>
          <w:tcPr>
            <w:tcW w:w="276" w:type="dxa"/>
          </w:tcPr>
          <w:p>
            <w:pPr>
              <w:pStyle w:val="TableParagraph"/>
              <w:rPr>
                <w:rFonts w:ascii="Times New Roman"/>
                <w:sz w:val="20"/>
              </w:rPr>
            </w:pPr>
          </w:p>
        </w:tc>
        <w:tc>
          <w:tcPr>
            <w:tcW w:w="1032" w:type="dxa"/>
          </w:tcPr>
          <w:p>
            <w:pPr>
              <w:pStyle w:val="TableParagraph"/>
              <w:spacing w:before="16"/>
              <w:ind w:right="189"/>
              <w:jc w:val="right"/>
              <w:rPr>
                <w:sz w:val="20"/>
              </w:rPr>
            </w:pPr>
            <w:r>
              <w:rPr>
                <w:spacing w:val="-2"/>
                <w:sz w:val="20"/>
              </w:rPr>
              <w:t>2,955</w:t>
            </w:r>
          </w:p>
        </w:tc>
        <w:tc>
          <w:tcPr>
            <w:tcW w:w="386" w:type="dxa"/>
          </w:tcPr>
          <w:p>
            <w:pPr>
              <w:pStyle w:val="TableParagraph"/>
              <w:rPr>
                <w:rFonts w:ascii="Times New Roman"/>
                <w:sz w:val="20"/>
              </w:rPr>
            </w:pPr>
          </w:p>
        </w:tc>
        <w:tc>
          <w:tcPr>
            <w:tcW w:w="998" w:type="dxa"/>
          </w:tcPr>
          <w:p>
            <w:pPr>
              <w:pStyle w:val="TableParagraph"/>
              <w:spacing w:before="16"/>
              <w:ind w:right="107"/>
              <w:jc w:val="right"/>
              <w:rPr>
                <w:sz w:val="20"/>
              </w:rPr>
            </w:pPr>
            <w:r>
              <w:rPr>
                <w:spacing w:val="-2"/>
                <w:sz w:val="20"/>
              </w:rPr>
              <w:t>3,067</w:t>
            </w:r>
          </w:p>
        </w:tc>
        <w:tc>
          <w:tcPr>
            <w:tcW w:w="276" w:type="dxa"/>
          </w:tcPr>
          <w:p>
            <w:pPr>
              <w:pStyle w:val="TableParagraph"/>
              <w:rPr>
                <w:rFonts w:ascii="Times New Roman"/>
                <w:sz w:val="20"/>
              </w:rPr>
            </w:pPr>
          </w:p>
        </w:tc>
        <w:tc>
          <w:tcPr>
            <w:tcW w:w="1001" w:type="dxa"/>
          </w:tcPr>
          <w:p>
            <w:pPr>
              <w:pStyle w:val="TableParagraph"/>
              <w:spacing w:before="16"/>
              <w:ind w:right="157"/>
              <w:jc w:val="right"/>
              <w:rPr>
                <w:sz w:val="20"/>
              </w:rPr>
            </w:pPr>
            <w:r>
              <w:rPr>
                <w:spacing w:val="-2"/>
                <w:sz w:val="20"/>
              </w:rPr>
              <w:t>3,067</w:t>
            </w:r>
          </w:p>
        </w:tc>
      </w:tr>
      <w:tr>
        <w:trPr>
          <w:trHeight w:val="270" w:hRule="atLeast"/>
        </w:trPr>
        <w:tc>
          <w:tcPr>
            <w:tcW w:w="4077" w:type="dxa"/>
          </w:tcPr>
          <w:p>
            <w:pPr>
              <w:pStyle w:val="TableParagraph"/>
              <w:spacing w:before="17"/>
              <w:ind w:left="50"/>
              <w:rPr>
                <w:sz w:val="20"/>
              </w:rPr>
            </w:pPr>
            <w:r>
              <w:rPr>
                <w:sz w:val="20"/>
              </w:rPr>
              <w:t>Office</w:t>
            </w:r>
            <w:r>
              <w:rPr>
                <w:spacing w:val="-7"/>
                <w:sz w:val="20"/>
              </w:rPr>
              <w:t> </w:t>
            </w:r>
            <w:r>
              <w:rPr>
                <w:sz w:val="20"/>
              </w:rPr>
              <w:t>for</w:t>
            </w:r>
            <w:r>
              <w:rPr>
                <w:spacing w:val="-4"/>
                <w:sz w:val="20"/>
              </w:rPr>
              <w:t> </w:t>
            </w:r>
            <w:r>
              <w:rPr>
                <w:spacing w:val="-2"/>
                <w:sz w:val="20"/>
              </w:rPr>
              <w:t>Students</w:t>
            </w:r>
          </w:p>
        </w:tc>
        <w:tc>
          <w:tcPr>
            <w:tcW w:w="1109" w:type="dxa"/>
          </w:tcPr>
          <w:p>
            <w:pPr>
              <w:pStyle w:val="TableParagraph"/>
              <w:spacing w:before="17"/>
              <w:ind w:right="108"/>
              <w:jc w:val="right"/>
              <w:rPr>
                <w:sz w:val="20"/>
              </w:rPr>
            </w:pPr>
            <w:r>
              <w:rPr>
                <w:spacing w:val="-5"/>
                <w:sz w:val="20"/>
              </w:rPr>
              <w:t>139</w:t>
            </w:r>
          </w:p>
        </w:tc>
        <w:tc>
          <w:tcPr>
            <w:tcW w:w="276" w:type="dxa"/>
          </w:tcPr>
          <w:p>
            <w:pPr>
              <w:pStyle w:val="TableParagraph"/>
              <w:rPr>
                <w:rFonts w:ascii="Times New Roman"/>
                <w:sz w:val="20"/>
              </w:rPr>
            </w:pPr>
          </w:p>
        </w:tc>
        <w:tc>
          <w:tcPr>
            <w:tcW w:w="1032" w:type="dxa"/>
          </w:tcPr>
          <w:p>
            <w:pPr>
              <w:pStyle w:val="TableParagraph"/>
              <w:spacing w:before="17"/>
              <w:ind w:right="190"/>
              <w:jc w:val="right"/>
              <w:rPr>
                <w:sz w:val="20"/>
              </w:rPr>
            </w:pPr>
            <w:r>
              <w:rPr>
                <w:spacing w:val="-5"/>
                <w:sz w:val="20"/>
              </w:rPr>
              <w:t>139</w:t>
            </w:r>
          </w:p>
        </w:tc>
        <w:tc>
          <w:tcPr>
            <w:tcW w:w="386" w:type="dxa"/>
          </w:tcPr>
          <w:p>
            <w:pPr>
              <w:pStyle w:val="TableParagraph"/>
              <w:rPr>
                <w:rFonts w:ascii="Times New Roman"/>
                <w:sz w:val="20"/>
              </w:rPr>
            </w:pPr>
          </w:p>
        </w:tc>
        <w:tc>
          <w:tcPr>
            <w:tcW w:w="998" w:type="dxa"/>
          </w:tcPr>
          <w:p>
            <w:pPr>
              <w:pStyle w:val="TableParagraph"/>
              <w:spacing w:before="17"/>
              <w:ind w:right="107"/>
              <w:jc w:val="right"/>
              <w:rPr>
                <w:sz w:val="20"/>
              </w:rPr>
            </w:pPr>
            <w:r>
              <w:rPr>
                <w:spacing w:val="-5"/>
                <w:sz w:val="20"/>
              </w:rPr>
              <w:t>149</w:t>
            </w:r>
          </w:p>
        </w:tc>
        <w:tc>
          <w:tcPr>
            <w:tcW w:w="276" w:type="dxa"/>
          </w:tcPr>
          <w:p>
            <w:pPr>
              <w:pStyle w:val="TableParagraph"/>
              <w:rPr>
                <w:rFonts w:ascii="Times New Roman"/>
                <w:sz w:val="20"/>
              </w:rPr>
            </w:pPr>
          </w:p>
        </w:tc>
        <w:tc>
          <w:tcPr>
            <w:tcW w:w="1001" w:type="dxa"/>
          </w:tcPr>
          <w:p>
            <w:pPr>
              <w:pStyle w:val="TableParagraph"/>
              <w:spacing w:before="17"/>
              <w:ind w:right="158"/>
              <w:jc w:val="right"/>
              <w:rPr>
                <w:sz w:val="20"/>
              </w:rPr>
            </w:pPr>
            <w:r>
              <w:rPr>
                <w:spacing w:val="-5"/>
                <w:sz w:val="20"/>
              </w:rPr>
              <w:t>149</w:t>
            </w:r>
          </w:p>
        </w:tc>
      </w:tr>
      <w:tr>
        <w:trPr>
          <w:trHeight w:val="270" w:hRule="atLeast"/>
        </w:trPr>
        <w:tc>
          <w:tcPr>
            <w:tcW w:w="4077" w:type="dxa"/>
          </w:tcPr>
          <w:p>
            <w:pPr>
              <w:pStyle w:val="TableParagraph"/>
              <w:spacing w:before="16"/>
              <w:ind w:left="50"/>
              <w:rPr>
                <w:b/>
                <w:sz w:val="20"/>
              </w:rPr>
            </w:pPr>
            <w:r>
              <w:rPr>
                <w:b/>
                <w:sz w:val="20"/>
              </w:rPr>
              <w:t>Specific</w:t>
            </w:r>
            <w:r>
              <w:rPr>
                <w:b/>
                <w:spacing w:val="-11"/>
                <w:sz w:val="20"/>
              </w:rPr>
              <w:t> </w:t>
            </w:r>
            <w:r>
              <w:rPr>
                <w:b/>
                <w:spacing w:val="-2"/>
                <w:sz w:val="20"/>
              </w:rPr>
              <w:t>grants</w:t>
            </w:r>
          </w:p>
        </w:tc>
        <w:tc>
          <w:tcPr>
            <w:tcW w:w="1109" w:type="dxa"/>
          </w:tcPr>
          <w:p>
            <w:pPr>
              <w:pStyle w:val="TableParagraph"/>
              <w:rPr>
                <w:rFonts w:ascii="Times New Roman"/>
                <w:sz w:val="20"/>
              </w:rPr>
            </w:pPr>
          </w:p>
        </w:tc>
        <w:tc>
          <w:tcPr>
            <w:tcW w:w="276" w:type="dxa"/>
          </w:tcPr>
          <w:p>
            <w:pPr>
              <w:pStyle w:val="TableParagraph"/>
              <w:rPr>
                <w:rFonts w:ascii="Times New Roman"/>
                <w:sz w:val="20"/>
              </w:rPr>
            </w:pPr>
          </w:p>
        </w:tc>
        <w:tc>
          <w:tcPr>
            <w:tcW w:w="1032" w:type="dxa"/>
          </w:tcPr>
          <w:p>
            <w:pPr>
              <w:pStyle w:val="TableParagraph"/>
              <w:rPr>
                <w:rFonts w:ascii="Times New Roman"/>
                <w:sz w:val="20"/>
              </w:rPr>
            </w:pPr>
          </w:p>
        </w:tc>
        <w:tc>
          <w:tcPr>
            <w:tcW w:w="386" w:type="dxa"/>
          </w:tcPr>
          <w:p>
            <w:pPr>
              <w:pStyle w:val="TableParagraph"/>
              <w:rPr>
                <w:rFonts w:ascii="Times New Roman"/>
                <w:sz w:val="20"/>
              </w:rPr>
            </w:pPr>
          </w:p>
        </w:tc>
        <w:tc>
          <w:tcPr>
            <w:tcW w:w="998" w:type="dxa"/>
          </w:tcPr>
          <w:p>
            <w:pPr>
              <w:pStyle w:val="TableParagraph"/>
              <w:rPr>
                <w:rFonts w:ascii="Times New Roman"/>
                <w:sz w:val="20"/>
              </w:rPr>
            </w:pPr>
          </w:p>
        </w:tc>
        <w:tc>
          <w:tcPr>
            <w:tcW w:w="276" w:type="dxa"/>
          </w:tcPr>
          <w:p>
            <w:pPr>
              <w:pStyle w:val="TableParagraph"/>
              <w:rPr>
                <w:rFonts w:ascii="Times New Roman"/>
                <w:sz w:val="20"/>
              </w:rPr>
            </w:pPr>
          </w:p>
        </w:tc>
        <w:tc>
          <w:tcPr>
            <w:tcW w:w="1001" w:type="dxa"/>
          </w:tcPr>
          <w:p>
            <w:pPr>
              <w:pStyle w:val="TableParagraph"/>
              <w:rPr>
                <w:rFonts w:ascii="Times New Roman"/>
                <w:sz w:val="20"/>
              </w:rPr>
            </w:pPr>
          </w:p>
        </w:tc>
      </w:tr>
      <w:tr>
        <w:trPr>
          <w:trHeight w:val="270" w:hRule="atLeast"/>
        </w:trPr>
        <w:tc>
          <w:tcPr>
            <w:tcW w:w="4077" w:type="dxa"/>
          </w:tcPr>
          <w:p>
            <w:pPr>
              <w:pStyle w:val="TableParagraph"/>
              <w:spacing w:before="17"/>
              <w:ind w:left="50"/>
              <w:rPr>
                <w:sz w:val="20"/>
              </w:rPr>
            </w:pPr>
            <w:r>
              <w:rPr>
                <w:sz w:val="20"/>
              </w:rPr>
              <w:t>Teacher</w:t>
            </w:r>
            <w:r>
              <w:rPr>
                <w:spacing w:val="-10"/>
                <w:sz w:val="20"/>
              </w:rPr>
              <w:t> </w:t>
            </w:r>
            <w:r>
              <w:rPr>
                <w:sz w:val="20"/>
              </w:rPr>
              <w:t>Pension</w:t>
            </w:r>
            <w:r>
              <w:rPr>
                <w:spacing w:val="-9"/>
                <w:sz w:val="20"/>
              </w:rPr>
              <w:t> </w:t>
            </w:r>
            <w:r>
              <w:rPr>
                <w:sz w:val="20"/>
              </w:rPr>
              <w:t>Scheme</w:t>
            </w:r>
            <w:r>
              <w:rPr>
                <w:spacing w:val="-9"/>
                <w:sz w:val="20"/>
              </w:rPr>
              <w:t> </w:t>
            </w:r>
            <w:r>
              <w:rPr>
                <w:sz w:val="20"/>
              </w:rPr>
              <w:t>contribution</w:t>
            </w:r>
            <w:r>
              <w:rPr>
                <w:spacing w:val="-11"/>
                <w:sz w:val="20"/>
              </w:rPr>
              <w:t> </w:t>
            </w:r>
            <w:r>
              <w:rPr>
                <w:spacing w:val="-4"/>
                <w:sz w:val="20"/>
              </w:rPr>
              <w:t>grant</w:t>
            </w:r>
          </w:p>
        </w:tc>
        <w:tc>
          <w:tcPr>
            <w:tcW w:w="1109" w:type="dxa"/>
          </w:tcPr>
          <w:p>
            <w:pPr>
              <w:pStyle w:val="TableParagraph"/>
              <w:spacing w:before="17"/>
              <w:ind w:right="108"/>
              <w:jc w:val="right"/>
              <w:rPr>
                <w:sz w:val="20"/>
              </w:rPr>
            </w:pPr>
            <w:r>
              <w:rPr>
                <w:spacing w:val="-5"/>
                <w:sz w:val="20"/>
              </w:rPr>
              <w:t>510</w:t>
            </w:r>
          </w:p>
        </w:tc>
        <w:tc>
          <w:tcPr>
            <w:tcW w:w="276" w:type="dxa"/>
          </w:tcPr>
          <w:p>
            <w:pPr>
              <w:pStyle w:val="TableParagraph"/>
              <w:rPr>
                <w:rFonts w:ascii="Times New Roman"/>
                <w:sz w:val="20"/>
              </w:rPr>
            </w:pPr>
          </w:p>
        </w:tc>
        <w:tc>
          <w:tcPr>
            <w:tcW w:w="1032" w:type="dxa"/>
          </w:tcPr>
          <w:p>
            <w:pPr>
              <w:pStyle w:val="TableParagraph"/>
              <w:spacing w:before="17"/>
              <w:ind w:right="190"/>
              <w:jc w:val="right"/>
              <w:rPr>
                <w:sz w:val="20"/>
              </w:rPr>
            </w:pPr>
            <w:r>
              <w:rPr>
                <w:spacing w:val="-5"/>
                <w:sz w:val="20"/>
              </w:rPr>
              <w:t>510</w:t>
            </w:r>
          </w:p>
        </w:tc>
        <w:tc>
          <w:tcPr>
            <w:tcW w:w="386" w:type="dxa"/>
          </w:tcPr>
          <w:p>
            <w:pPr>
              <w:pStyle w:val="TableParagraph"/>
              <w:rPr>
                <w:rFonts w:ascii="Times New Roman"/>
                <w:sz w:val="20"/>
              </w:rPr>
            </w:pPr>
          </w:p>
        </w:tc>
        <w:tc>
          <w:tcPr>
            <w:tcW w:w="998" w:type="dxa"/>
          </w:tcPr>
          <w:p>
            <w:pPr>
              <w:pStyle w:val="TableParagraph"/>
              <w:spacing w:before="17"/>
              <w:ind w:right="107"/>
              <w:jc w:val="right"/>
              <w:rPr>
                <w:sz w:val="20"/>
              </w:rPr>
            </w:pPr>
            <w:r>
              <w:rPr>
                <w:spacing w:val="-5"/>
                <w:sz w:val="20"/>
              </w:rPr>
              <w:t>443</w:t>
            </w:r>
          </w:p>
        </w:tc>
        <w:tc>
          <w:tcPr>
            <w:tcW w:w="276" w:type="dxa"/>
          </w:tcPr>
          <w:p>
            <w:pPr>
              <w:pStyle w:val="TableParagraph"/>
              <w:rPr>
                <w:rFonts w:ascii="Times New Roman"/>
                <w:sz w:val="20"/>
              </w:rPr>
            </w:pPr>
          </w:p>
        </w:tc>
        <w:tc>
          <w:tcPr>
            <w:tcW w:w="1001" w:type="dxa"/>
          </w:tcPr>
          <w:p>
            <w:pPr>
              <w:pStyle w:val="TableParagraph"/>
              <w:spacing w:before="17"/>
              <w:ind w:right="158"/>
              <w:jc w:val="right"/>
              <w:rPr>
                <w:sz w:val="20"/>
              </w:rPr>
            </w:pPr>
            <w:r>
              <w:rPr>
                <w:spacing w:val="-5"/>
                <w:sz w:val="20"/>
              </w:rPr>
              <w:t>443</w:t>
            </w:r>
          </w:p>
        </w:tc>
      </w:tr>
      <w:tr>
        <w:trPr>
          <w:trHeight w:val="270" w:hRule="atLeast"/>
        </w:trPr>
        <w:tc>
          <w:tcPr>
            <w:tcW w:w="4077" w:type="dxa"/>
          </w:tcPr>
          <w:p>
            <w:pPr>
              <w:pStyle w:val="TableParagraph"/>
              <w:spacing w:before="16"/>
              <w:ind w:left="50"/>
              <w:rPr>
                <w:sz w:val="20"/>
              </w:rPr>
            </w:pPr>
            <w:r>
              <w:rPr>
                <w:sz w:val="20"/>
              </w:rPr>
              <w:t>Releases</w:t>
            </w:r>
            <w:r>
              <w:rPr>
                <w:spacing w:val="-8"/>
                <w:sz w:val="20"/>
              </w:rPr>
              <w:t> </w:t>
            </w:r>
            <w:r>
              <w:rPr>
                <w:sz w:val="20"/>
              </w:rPr>
              <w:t>of</w:t>
            </w:r>
            <w:r>
              <w:rPr>
                <w:spacing w:val="-7"/>
                <w:sz w:val="20"/>
              </w:rPr>
              <w:t> </w:t>
            </w:r>
            <w:r>
              <w:rPr>
                <w:sz w:val="20"/>
              </w:rPr>
              <w:t>government</w:t>
            </w:r>
            <w:r>
              <w:rPr>
                <w:spacing w:val="-7"/>
                <w:sz w:val="20"/>
              </w:rPr>
              <w:t> </w:t>
            </w:r>
            <w:r>
              <w:rPr>
                <w:sz w:val="20"/>
              </w:rPr>
              <w:t>capital</w:t>
            </w:r>
            <w:r>
              <w:rPr>
                <w:spacing w:val="-10"/>
                <w:sz w:val="20"/>
              </w:rPr>
              <w:t> </w:t>
            </w:r>
            <w:r>
              <w:rPr>
                <w:spacing w:val="-2"/>
                <w:sz w:val="20"/>
              </w:rPr>
              <w:t>grants</w:t>
            </w:r>
          </w:p>
        </w:tc>
        <w:tc>
          <w:tcPr>
            <w:tcW w:w="1109" w:type="dxa"/>
          </w:tcPr>
          <w:p>
            <w:pPr>
              <w:pStyle w:val="TableParagraph"/>
              <w:spacing w:before="16"/>
              <w:ind w:right="108"/>
              <w:jc w:val="right"/>
              <w:rPr>
                <w:sz w:val="20"/>
              </w:rPr>
            </w:pPr>
            <w:r>
              <w:rPr>
                <w:spacing w:val="-5"/>
                <w:sz w:val="20"/>
              </w:rPr>
              <w:t>930</w:t>
            </w:r>
          </w:p>
        </w:tc>
        <w:tc>
          <w:tcPr>
            <w:tcW w:w="276" w:type="dxa"/>
          </w:tcPr>
          <w:p>
            <w:pPr>
              <w:pStyle w:val="TableParagraph"/>
              <w:rPr>
                <w:rFonts w:ascii="Times New Roman"/>
                <w:sz w:val="20"/>
              </w:rPr>
            </w:pPr>
          </w:p>
        </w:tc>
        <w:tc>
          <w:tcPr>
            <w:tcW w:w="1032" w:type="dxa"/>
          </w:tcPr>
          <w:p>
            <w:pPr>
              <w:pStyle w:val="TableParagraph"/>
              <w:spacing w:before="16"/>
              <w:ind w:right="190"/>
              <w:jc w:val="right"/>
              <w:rPr>
                <w:sz w:val="20"/>
              </w:rPr>
            </w:pPr>
            <w:r>
              <w:rPr>
                <w:spacing w:val="-5"/>
                <w:sz w:val="20"/>
              </w:rPr>
              <w:t>930</w:t>
            </w:r>
          </w:p>
        </w:tc>
        <w:tc>
          <w:tcPr>
            <w:tcW w:w="386" w:type="dxa"/>
          </w:tcPr>
          <w:p>
            <w:pPr>
              <w:pStyle w:val="TableParagraph"/>
              <w:rPr>
                <w:rFonts w:ascii="Times New Roman"/>
                <w:sz w:val="20"/>
              </w:rPr>
            </w:pPr>
          </w:p>
        </w:tc>
        <w:tc>
          <w:tcPr>
            <w:tcW w:w="998" w:type="dxa"/>
          </w:tcPr>
          <w:p>
            <w:pPr>
              <w:pStyle w:val="TableParagraph"/>
              <w:spacing w:before="16"/>
              <w:ind w:right="107"/>
              <w:jc w:val="right"/>
              <w:rPr>
                <w:sz w:val="20"/>
              </w:rPr>
            </w:pPr>
            <w:r>
              <w:rPr>
                <w:spacing w:val="-2"/>
                <w:sz w:val="20"/>
              </w:rPr>
              <w:t>1,198</w:t>
            </w:r>
          </w:p>
        </w:tc>
        <w:tc>
          <w:tcPr>
            <w:tcW w:w="276" w:type="dxa"/>
          </w:tcPr>
          <w:p>
            <w:pPr>
              <w:pStyle w:val="TableParagraph"/>
              <w:rPr>
                <w:rFonts w:ascii="Times New Roman"/>
                <w:sz w:val="20"/>
              </w:rPr>
            </w:pPr>
          </w:p>
        </w:tc>
        <w:tc>
          <w:tcPr>
            <w:tcW w:w="1001" w:type="dxa"/>
          </w:tcPr>
          <w:p>
            <w:pPr>
              <w:pStyle w:val="TableParagraph"/>
              <w:spacing w:before="16"/>
              <w:ind w:right="157"/>
              <w:jc w:val="right"/>
              <w:rPr>
                <w:sz w:val="20"/>
              </w:rPr>
            </w:pPr>
            <w:r>
              <w:rPr>
                <w:spacing w:val="-2"/>
                <w:sz w:val="20"/>
              </w:rPr>
              <w:t>1,198</w:t>
            </w:r>
          </w:p>
        </w:tc>
      </w:tr>
      <w:tr>
        <w:trPr>
          <w:trHeight w:val="266" w:hRule="atLeast"/>
        </w:trPr>
        <w:tc>
          <w:tcPr>
            <w:tcW w:w="4077" w:type="dxa"/>
          </w:tcPr>
          <w:p>
            <w:pPr>
              <w:pStyle w:val="TableParagraph"/>
              <w:spacing w:before="17"/>
              <w:ind w:left="50"/>
              <w:rPr>
                <w:sz w:val="20"/>
              </w:rPr>
            </w:pPr>
            <w:r>
              <w:rPr>
                <w:sz w:val="20"/>
              </w:rPr>
              <w:t>DfE</w:t>
            </w:r>
            <w:r>
              <w:rPr>
                <w:spacing w:val="-7"/>
                <w:sz w:val="20"/>
              </w:rPr>
              <w:t> </w:t>
            </w:r>
            <w:r>
              <w:rPr>
                <w:spacing w:val="-2"/>
                <w:sz w:val="20"/>
              </w:rPr>
              <w:t>grants</w:t>
            </w:r>
          </w:p>
        </w:tc>
        <w:tc>
          <w:tcPr>
            <w:tcW w:w="1109" w:type="dxa"/>
            <w:tcBorders>
              <w:bottom w:val="single" w:sz="4" w:space="0" w:color="000000"/>
            </w:tcBorders>
          </w:tcPr>
          <w:p>
            <w:pPr>
              <w:pStyle w:val="TableParagraph"/>
              <w:spacing w:before="17"/>
              <w:ind w:right="108"/>
              <w:jc w:val="right"/>
              <w:rPr>
                <w:sz w:val="20"/>
              </w:rPr>
            </w:pPr>
            <w:r>
              <w:rPr>
                <w:spacing w:val="-5"/>
                <w:sz w:val="20"/>
              </w:rPr>
              <w:t>103</w:t>
            </w:r>
          </w:p>
        </w:tc>
        <w:tc>
          <w:tcPr>
            <w:tcW w:w="276" w:type="dxa"/>
          </w:tcPr>
          <w:p>
            <w:pPr>
              <w:pStyle w:val="TableParagraph"/>
              <w:rPr>
                <w:rFonts w:ascii="Times New Roman"/>
                <w:sz w:val="18"/>
              </w:rPr>
            </w:pPr>
          </w:p>
        </w:tc>
        <w:tc>
          <w:tcPr>
            <w:tcW w:w="1032" w:type="dxa"/>
            <w:tcBorders>
              <w:bottom w:val="single" w:sz="4" w:space="0" w:color="000000"/>
            </w:tcBorders>
          </w:tcPr>
          <w:p>
            <w:pPr>
              <w:pStyle w:val="TableParagraph"/>
              <w:spacing w:before="17"/>
              <w:ind w:right="190"/>
              <w:jc w:val="right"/>
              <w:rPr>
                <w:sz w:val="20"/>
              </w:rPr>
            </w:pPr>
            <w:r>
              <w:rPr>
                <w:spacing w:val="-5"/>
                <w:sz w:val="20"/>
              </w:rPr>
              <w:t>103</w:t>
            </w:r>
          </w:p>
        </w:tc>
        <w:tc>
          <w:tcPr>
            <w:tcW w:w="386" w:type="dxa"/>
          </w:tcPr>
          <w:p>
            <w:pPr>
              <w:pStyle w:val="TableParagraph"/>
              <w:rPr>
                <w:rFonts w:ascii="Times New Roman"/>
                <w:sz w:val="18"/>
              </w:rPr>
            </w:pPr>
          </w:p>
        </w:tc>
        <w:tc>
          <w:tcPr>
            <w:tcW w:w="998" w:type="dxa"/>
            <w:tcBorders>
              <w:bottom w:val="single" w:sz="4" w:space="0" w:color="000000"/>
            </w:tcBorders>
          </w:tcPr>
          <w:p>
            <w:pPr>
              <w:pStyle w:val="TableParagraph"/>
              <w:spacing w:before="17"/>
              <w:ind w:right="106"/>
              <w:jc w:val="right"/>
              <w:rPr>
                <w:sz w:val="20"/>
              </w:rPr>
            </w:pPr>
            <w:r>
              <w:rPr>
                <w:spacing w:val="-10"/>
                <w:sz w:val="20"/>
              </w:rPr>
              <w:t>-</w:t>
            </w:r>
          </w:p>
        </w:tc>
        <w:tc>
          <w:tcPr>
            <w:tcW w:w="276" w:type="dxa"/>
          </w:tcPr>
          <w:p>
            <w:pPr>
              <w:pStyle w:val="TableParagraph"/>
              <w:rPr>
                <w:rFonts w:ascii="Times New Roman"/>
                <w:sz w:val="18"/>
              </w:rPr>
            </w:pPr>
          </w:p>
        </w:tc>
        <w:tc>
          <w:tcPr>
            <w:tcW w:w="1001" w:type="dxa"/>
            <w:tcBorders>
              <w:bottom w:val="single" w:sz="4" w:space="0" w:color="000000"/>
            </w:tcBorders>
          </w:tcPr>
          <w:p>
            <w:pPr>
              <w:pStyle w:val="TableParagraph"/>
              <w:spacing w:before="17"/>
              <w:ind w:right="156"/>
              <w:jc w:val="right"/>
              <w:rPr>
                <w:sz w:val="20"/>
              </w:rPr>
            </w:pPr>
            <w:r>
              <w:rPr>
                <w:spacing w:val="-10"/>
                <w:sz w:val="20"/>
              </w:rPr>
              <w:t>-</w:t>
            </w:r>
          </w:p>
        </w:tc>
      </w:tr>
      <w:tr>
        <w:trPr>
          <w:trHeight w:val="270" w:hRule="atLeast"/>
        </w:trPr>
        <w:tc>
          <w:tcPr>
            <w:tcW w:w="4077" w:type="dxa"/>
          </w:tcPr>
          <w:p>
            <w:pPr>
              <w:pStyle w:val="TableParagraph"/>
              <w:spacing w:before="18"/>
              <w:ind w:left="50"/>
              <w:rPr>
                <w:b/>
                <w:sz w:val="20"/>
              </w:rPr>
            </w:pPr>
            <w:r>
              <w:rPr>
                <w:b/>
                <w:spacing w:val="-2"/>
                <w:sz w:val="20"/>
              </w:rPr>
              <w:t>Total</w:t>
            </w:r>
          </w:p>
        </w:tc>
        <w:tc>
          <w:tcPr>
            <w:tcW w:w="1109" w:type="dxa"/>
            <w:tcBorders>
              <w:top w:val="single" w:sz="4" w:space="0" w:color="000000"/>
              <w:bottom w:val="double" w:sz="4" w:space="0" w:color="000000"/>
            </w:tcBorders>
          </w:tcPr>
          <w:p>
            <w:pPr>
              <w:pStyle w:val="TableParagraph"/>
              <w:spacing w:before="18"/>
              <w:ind w:right="108"/>
              <w:jc w:val="right"/>
              <w:rPr>
                <w:sz w:val="20"/>
              </w:rPr>
            </w:pPr>
            <w:r>
              <w:rPr>
                <w:spacing w:val="-2"/>
                <w:sz w:val="20"/>
              </w:rPr>
              <w:t>26,797</w:t>
            </w:r>
          </w:p>
        </w:tc>
        <w:tc>
          <w:tcPr>
            <w:tcW w:w="276" w:type="dxa"/>
          </w:tcPr>
          <w:p>
            <w:pPr>
              <w:pStyle w:val="TableParagraph"/>
              <w:rPr>
                <w:rFonts w:ascii="Times New Roman"/>
                <w:sz w:val="20"/>
              </w:rPr>
            </w:pPr>
          </w:p>
        </w:tc>
        <w:tc>
          <w:tcPr>
            <w:tcW w:w="1032" w:type="dxa"/>
            <w:tcBorders>
              <w:top w:val="single" w:sz="4" w:space="0" w:color="000000"/>
              <w:bottom w:val="double" w:sz="4" w:space="0" w:color="000000"/>
            </w:tcBorders>
          </w:tcPr>
          <w:p>
            <w:pPr>
              <w:pStyle w:val="TableParagraph"/>
              <w:spacing w:before="18"/>
              <w:ind w:right="190"/>
              <w:jc w:val="right"/>
              <w:rPr>
                <w:sz w:val="20"/>
              </w:rPr>
            </w:pPr>
            <w:r>
              <w:rPr>
                <w:spacing w:val="-2"/>
                <w:sz w:val="20"/>
              </w:rPr>
              <w:t>26,797</w:t>
            </w:r>
          </w:p>
        </w:tc>
        <w:tc>
          <w:tcPr>
            <w:tcW w:w="38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7"/>
              <w:jc w:val="right"/>
              <w:rPr>
                <w:sz w:val="20"/>
              </w:rPr>
            </w:pPr>
            <w:r>
              <w:rPr>
                <w:spacing w:val="-2"/>
                <w:sz w:val="20"/>
              </w:rPr>
              <w:t>25,311</w:t>
            </w:r>
          </w:p>
        </w:tc>
        <w:tc>
          <w:tcPr>
            <w:tcW w:w="276"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58"/>
              <w:jc w:val="right"/>
              <w:rPr>
                <w:sz w:val="20"/>
              </w:rPr>
            </w:pPr>
            <w:r>
              <w:rPr>
                <w:spacing w:val="-2"/>
                <w:sz w:val="20"/>
              </w:rPr>
              <w:t>25,311</w:t>
            </w:r>
          </w:p>
        </w:tc>
      </w:tr>
    </w:tbl>
    <w:p>
      <w:pPr>
        <w:pStyle w:val="Heading5"/>
        <w:numPr>
          <w:ilvl w:val="0"/>
          <w:numId w:val="13"/>
        </w:numPr>
        <w:tabs>
          <w:tab w:pos="566" w:val="left" w:leader="none"/>
        </w:tabs>
        <w:spacing w:line="240" w:lineRule="auto" w:before="232" w:after="0"/>
        <w:ind w:left="566" w:right="0" w:hanging="427"/>
        <w:jc w:val="left"/>
      </w:pPr>
      <w:r>
        <w:rPr/>
        <w:t>Tuition</w:t>
      </w:r>
      <w:r>
        <w:rPr>
          <w:spacing w:val="-6"/>
        </w:rPr>
        <w:t> </w:t>
      </w:r>
      <w:r>
        <w:rPr/>
        <w:t>fees</w:t>
      </w:r>
      <w:r>
        <w:rPr>
          <w:spacing w:val="-4"/>
        </w:rPr>
        <w:t> </w:t>
      </w:r>
      <w:r>
        <w:rPr/>
        <w:t>and</w:t>
      </w:r>
      <w:r>
        <w:rPr>
          <w:spacing w:val="-5"/>
        </w:rPr>
        <w:t> </w:t>
      </w:r>
      <w:r>
        <w:rPr/>
        <w:t>education</w:t>
      </w:r>
      <w:r>
        <w:rPr>
          <w:spacing w:val="-5"/>
        </w:rPr>
        <w:t> </w:t>
      </w:r>
      <w:r>
        <w:rPr>
          <w:spacing w:val="-2"/>
        </w:rPr>
        <w:t>contracts</w:t>
      </w:r>
    </w:p>
    <w:p>
      <w:pPr>
        <w:pStyle w:val="Heading6"/>
        <w:tabs>
          <w:tab w:pos="8133" w:val="left" w:leader="none"/>
        </w:tabs>
        <w:spacing w:before="17" w:after="49"/>
        <w:ind w:left="5383"/>
        <w:jc w:val="left"/>
      </w:pPr>
      <w:r>
        <w:rPr/>
        <w:t>Year</w:t>
      </w:r>
      <w:r>
        <w:rPr>
          <w:spacing w:val="-7"/>
        </w:rPr>
        <w:t> </w:t>
      </w:r>
      <w:r>
        <w:rPr/>
        <w:t>ended</w:t>
      </w:r>
      <w:r>
        <w:rPr>
          <w:spacing w:val="-4"/>
        </w:rPr>
        <w:t> </w:t>
      </w:r>
      <w:r>
        <w:rPr/>
        <w:t>31</w:t>
      </w:r>
      <w:r>
        <w:rPr>
          <w:spacing w:val="-4"/>
        </w:rPr>
        <w:t> July</w:t>
      </w:r>
      <w:r>
        <w:rPr/>
        <w:tab/>
        <w:t>Year</w:t>
      </w:r>
      <w:r>
        <w:rPr>
          <w:spacing w:val="-7"/>
        </w:rPr>
        <w:t> </w:t>
      </w:r>
      <w:r>
        <w:rPr/>
        <w:t>ended</w:t>
      </w:r>
      <w:r>
        <w:rPr>
          <w:spacing w:val="-4"/>
        </w:rPr>
        <w:t> </w:t>
      </w:r>
      <w:r>
        <w:rPr/>
        <w:t>31</w:t>
      </w:r>
      <w:r>
        <w:rPr>
          <w:spacing w:val="-4"/>
        </w:rPr>
        <w:t> July</w:t>
      </w:r>
    </w:p>
    <w:tbl>
      <w:tblPr>
        <w:tblW w:w="0" w:type="auto"/>
        <w:jc w:val="left"/>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7"/>
        <w:gridCol w:w="1109"/>
        <w:gridCol w:w="276"/>
        <w:gridCol w:w="998"/>
        <w:gridCol w:w="420"/>
        <w:gridCol w:w="998"/>
        <w:gridCol w:w="276"/>
        <w:gridCol w:w="1001"/>
      </w:tblGrid>
      <w:tr>
        <w:trPr>
          <w:trHeight w:val="921" w:hRule="atLeast"/>
        </w:trPr>
        <w:tc>
          <w:tcPr>
            <w:tcW w:w="4077" w:type="dxa"/>
          </w:tcPr>
          <w:p>
            <w:pPr>
              <w:pStyle w:val="TableParagraph"/>
              <w:rPr>
                <w:rFonts w:ascii="Times New Roman"/>
                <w:sz w:val="20"/>
              </w:rPr>
            </w:pPr>
          </w:p>
        </w:tc>
        <w:tc>
          <w:tcPr>
            <w:tcW w:w="1109" w:type="dxa"/>
          </w:tcPr>
          <w:p>
            <w:pPr>
              <w:pStyle w:val="TableParagraph"/>
              <w:spacing w:line="223" w:lineRule="exact"/>
              <w:ind w:right="108"/>
              <w:jc w:val="right"/>
              <w:rPr>
                <w:b/>
                <w:sz w:val="20"/>
              </w:rPr>
            </w:pPr>
            <w:r>
              <w:rPr>
                <w:b/>
                <w:spacing w:val="-4"/>
                <w:sz w:val="20"/>
              </w:rPr>
              <w:t>2023</w:t>
            </w:r>
          </w:p>
          <w:p>
            <w:pPr>
              <w:pStyle w:val="TableParagraph"/>
              <w:spacing w:before="39"/>
              <w:ind w:right="106"/>
              <w:jc w:val="right"/>
              <w:rPr>
                <w:b/>
                <w:sz w:val="20"/>
              </w:rPr>
            </w:pPr>
            <w:r>
              <w:rPr>
                <w:b/>
                <w:spacing w:val="-4"/>
                <w:sz w:val="20"/>
              </w:rPr>
              <w:t>Group</w:t>
            </w:r>
          </w:p>
          <w:p>
            <w:pPr>
              <w:pStyle w:val="TableParagraph"/>
              <w:spacing w:before="41"/>
              <w:ind w:right="108"/>
              <w:jc w:val="right"/>
              <w:rPr>
                <w:b/>
                <w:sz w:val="20"/>
              </w:rPr>
            </w:pPr>
            <w:r>
              <w:rPr>
                <w:b/>
                <w:spacing w:val="-2"/>
                <w:sz w:val="20"/>
              </w:rPr>
              <w:t>£’000</w:t>
            </w:r>
          </w:p>
        </w:tc>
        <w:tc>
          <w:tcPr>
            <w:tcW w:w="276" w:type="dxa"/>
          </w:tcPr>
          <w:p>
            <w:pPr>
              <w:pStyle w:val="TableParagraph"/>
              <w:rPr>
                <w:rFonts w:ascii="Times New Roman"/>
                <w:sz w:val="20"/>
              </w:rPr>
            </w:pPr>
          </w:p>
        </w:tc>
        <w:tc>
          <w:tcPr>
            <w:tcW w:w="998" w:type="dxa"/>
          </w:tcPr>
          <w:p>
            <w:pPr>
              <w:pStyle w:val="TableParagraph"/>
              <w:spacing w:line="223" w:lineRule="exact"/>
              <w:ind w:right="107"/>
              <w:jc w:val="right"/>
              <w:rPr>
                <w:b/>
                <w:sz w:val="20"/>
              </w:rPr>
            </w:pPr>
            <w:r>
              <w:rPr>
                <w:b/>
                <w:spacing w:val="-4"/>
                <w:sz w:val="20"/>
              </w:rPr>
              <w:t>2023</w:t>
            </w:r>
          </w:p>
          <w:p>
            <w:pPr>
              <w:pStyle w:val="TableParagraph"/>
              <w:spacing w:before="39"/>
              <w:ind w:right="107"/>
              <w:jc w:val="right"/>
              <w:rPr>
                <w:b/>
                <w:sz w:val="20"/>
              </w:rPr>
            </w:pPr>
            <w:r>
              <w:rPr>
                <w:b/>
                <w:spacing w:val="-2"/>
                <w:sz w:val="20"/>
              </w:rPr>
              <w:t>College</w:t>
            </w:r>
          </w:p>
          <w:p>
            <w:pPr>
              <w:pStyle w:val="TableParagraph"/>
              <w:spacing w:before="41"/>
              <w:ind w:right="107"/>
              <w:jc w:val="right"/>
              <w:rPr>
                <w:b/>
                <w:sz w:val="20"/>
              </w:rPr>
            </w:pPr>
            <w:r>
              <w:rPr>
                <w:b/>
                <w:spacing w:val="-2"/>
                <w:sz w:val="20"/>
              </w:rPr>
              <w:t>£’000</w:t>
            </w:r>
          </w:p>
        </w:tc>
        <w:tc>
          <w:tcPr>
            <w:tcW w:w="420" w:type="dxa"/>
          </w:tcPr>
          <w:p>
            <w:pPr>
              <w:pStyle w:val="TableParagraph"/>
              <w:rPr>
                <w:rFonts w:ascii="Times New Roman"/>
                <w:sz w:val="20"/>
              </w:rPr>
            </w:pPr>
          </w:p>
        </w:tc>
        <w:tc>
          <w:tcPr>
            <w:tcW w:w="998" w:type="dxa"/>
          </w:tcPr>
          <w:p>
            <w:pPr>
              <w:pStyle w:val="TableParagraph"/>
              <w:spacing w:line="223" w:lineRule="exact"/>
              <w:ind w:right="107"/>
              <w:jc w:val="right"/>
              <w:rPr>
                <w:b/>
                <w:sz w:val="20"/>
              </w:rPr>
            </w:pPr>
            <w:r>
              <w:rPr>
                <w:b/>
                <w:spacing w:val="-4"/>
                <w:sz w:val="20"/>
              </w:rPr>
              <w:t>2022</w:t>
            </w:r>
          </w:p>
          <w:p>
            <w:pPr>
              <w:pStyle w:val="TableParagraph"/>
              <w:spacing w:before="39"/>
              <w:ind w:right="105"/>
              <w:jc w:val="right"/>
              <w:rPr>
                <w:b/>
                <w:sz w:val="20"/>
              </w:rPr>
            </w:pPr>
            <w:r>
              <w:rPr>
                <w:b/>
                <w:spacing w:val="-4"/>
                <w:sz w:val="20"/>
              </w:rPr>
              <w:t>Group</w:t>
            </w:r>
          </w:p>
          <w:p>
            <w:pPr>
              <w:pStyle w:val="TableParagraph"/>
              <w:spacing w:before="41"/>
              <w:ind w:right="107"/>
              <w:jc w:val="right"/>
              <w:rPr>
                <w:b/>
                <w:sz w:val="20"/>
              </w:rPr>
            </w:pPr>
            <w:r>
              <w:rPr>
                <w:b/>
                <w:spacing w:val="-2"/>
                <w:sz w:val="20"/>
              </w:rPr>
              <w:t>£’000</w:t>
            </w:r>
          </w:p>
        </w:tc>
        <w:tc>
          <w:tcPr>
            <w:tcW w:w="276" w:type="dxa"/>
          </w:tcPr>
          <w:p>
            <w:pPr>
              <w:pStyle w:val="TableParagraph"/>
              <w:rPr>
                <w:rFonts w:ascii="Times New Roman"/>
                <w:sz w:val="20"/>
              </w:rPr>
            </w:pPr>
          </w:p>
        </w:tc>
        <w:tc>
          <w:tcPr>
            <w:tcW w:w="1001" w:type="dxa"/>
          </w:tcPr>
          <w:p>
            <w:pPr>
              <w:pStyle w:val="TableParagraph"/>
              <w:spacing w:line="223" w:lineRule="exact"/>
              <w:ind w:right="107"/>
              <w:jc w:val="right"/>
              <w:rPr>
                <w:b/>
                <w:sz w:val="20"/>
              </w:rPr>
            </w:pPr>
            <w:r>
              <w:rPr>
                <w:b/>
                <w:spacing w:val="-4"/>
                <w:sz w:val="20"/>
              </w:rPr>
              <w:t>2022</w:t>
            </w:r>
          </w:p>
          <w:p>
            <w:pPr>
              <w:pStyle w:val="TableParagraph"/>
              <w:spacing w:before="39"/>
              <w:ind w:right="107"/>
              <w:jc w:val="right"/>
              <w:rPr>
                <w:b/>
                <w:sz w:val="20"/>
              </w:rPr>
            </w:pPr>
            <w:r>
              <w:rPr>
                <w:b/>
                <w:spacing w:val="-2"/>
                <w:sz w:val="20"/>
              </w:rPr>
              <w:t>College</w:t>
            </w:r>
          </w:p>
          <w:p>
            <w:pPr>
              <w:pStyle w:val="TableParagraph"/>
              <w:spacing w:before="41"/>
              <w:ind w:right="107"/>
              <w:jc w:val="right"/>
              <w:rPr>
                <w:b/>
                <w:sz w:val="20"/>
              </w:rPr>
            </w:pPr>
            <w:r>
              <w:rPr>
                <w:b/>
                <w:spacing w:val="-2"/>
                <w:sz w:val="20"/>
              </w:rPr>
              <w:t>£’000</w:t>
            </w:r>
          </w:p>
        </w:tc>
      </w:tr>
      <w:tr>
        <w:trPr>
          <w:trHeight w:val="404" w:hRule="atLeast"/>
        </w:trPr>
        <w:tc>
          <w:tcPr>
            <w:tcW w:w="4077" w:type="dxa"/>
          </w:tcPr>
          <w:p>
            <w:pPr>
              <w:pStyle w:val="TableParagraph"/>
              <w:spacing w:before="151"/>
              <w:ind w:left="50"/>
              <w:rPr>
                <w:sz w:val="20"/>
              </w:rPr>
            </w:pPr>
            <w:r>
              <w:rPr>
                <w:sz w:val="20"/>
              </w:rPr>
              <w:t>Tuition</w:t>
            </w:r>
            <w:r>
              <w:rPr>
                <w:spacing w:val="-13"/>
                <w:sz w:val="20"/>
              </w:rPr>
              <w:t> </w:t>
            </w:r>
            <w:r>
              <w:rPr>
                <w:spacing w:val="-4"/>
                <w:sz w:val="20"/>
              </w:rPr>
              <w:t>fees</w:t>
            </w:r>
          </w:p>
        </w:tc>
        <w:tc>
          <w:tcPr>
            <w:tcW w:w="1109" w:type="dxa"/>
          </w:tcPr>
          <w:p>
            <w:pPr>
              <w:pStyle w:val="TableParagraph"/>
              <w:spacing w:before="151"/>
              <w:ind w:right="108"/>
              <w:jc w:val="right"/>
              <w:rPr>
                <w:sz w:val="20"/>
              </w:rPr>
            </w:pPr>
            <w:r>
              <w:rPr>
                <w:spacing w:val="-2"/>
                <w:sz w:val="20"/>
              </w:rPr>
              <w:t>2,196</w:t>
            </w:r>
          </w:p>
        </w:tc>
        <w:tc>
          <w:tcPr>
            <w:tcW w:w="276" w:type="dxa"/>
          </w:tcPr>
          <w:p>
            <w:pPr>
              <w:pStyle w:val="TableParagraph"/>
              <w:rPr>
                <w:rFonts w:ascii="Times New Roman"/>
                <w:sz w:val="20"/>
              </w:rPr>
            </w:pPr>
          </w:p>
        </w:tc>
        <w:tc>
          <w:tcPr>
            <w:tcW w:w="998" w:type="dxa"/>
          </w:tcPr>
          <w:p>
            <w:pPr>
              <w:pStyle w:val="TableParagraph"/>
              <w:spacing w:before="151"/>
              <w:ind w:right="155"/>
              <w:jc w:val="right"/>
              <w:rPr>
                <w:sz w:val="20"/>
              </w:rPr>
            </w:pPr>
            <w:r>
              <w:rPr>
                <w:spacing w:val="-2"/>
                <w:sz w:val="20"/>
              </w:rPr>
              <w:t>2,196</w:t>
            </w:r>
          </w:p>
        </w:tc>
        <w:tc>
          <w:tcPr>
            <w:tcW w:w="420" w:type="dxa"/>
          </w:tcPr>
          <w:p>
            <w:pPr>
              <w:pStyle w:val="TableParagraph"/>
              <w:rPr>
                <w:rFonts w:ascii="Times New Roman"/>
                <w:sz w:val="20"/>
              </w:rPr>
            </w:pPr>
          </w:p>
        </w:tc>
        <w:tc>
          <w:tcPr>
            <w:tcW w:w="998" w:type="dxa"/>
          </w:tcPr>
          <w:p>
            <w:pPr>
              <w:pStyle w:val="TableParagraph"/>
              <w:spacing w:before="151"/>
              <w:ind w:right="107"/>
              <w:jc w:val="right"/>
              <w:rPr>
                <w:sz w:val="20"/>
              </w:rPr>
            </w:pPr>
            <w:r>
              <w:rPr>
                <w:spacing w:val="-2"/>
                <w:sz w:val="20"/>
              </w:rPr>
              <w:t>2,784</w:t>
            </w:r>
          </w:p>
        </w:tc>
        <w:tc>
          <w:tcPr>
            <w:tcW w:w="276" w:type="dxa"/>
          </w:tcPr>
          <w:p>
            <w:pPr>
              <w:pStyle w:val="TableParagraph"/>
              <w:rPr>
                <w:rFonts w:ascii="Times New Roman"/>
                <w:sz w:val="20"/>
              </w:rPr>
            </w:pPr>
          </w:p>
        </w:tc>
        <w:tc>
          <w:tcPr>
            <w:tcW w:w="1001" w:type="dxa"/>
          </w:tcPr>
          <w:p>
            <w:pPr>
              <w:pStyle w:val="TableParagraph"/>
              <w:spacing w:before="151"/>
              <w:ind w:right="157"/>
              <w:jc w:val="right"/>
              <w:rPr>
                <w:sz w:val="20"/>
              </w:rPr>
            </w:pPr>
            <w:r>
              <w:rPr>
                <w:spacing w:val="-2"/>
                <w:sz w:val="20"/>
              </w:rPr>
              <w:t>2,784</w:t>
            </w:r>
          </w:p>
        </w:tc>
      </w:tr>
      <w:tr>
        <w:trPr>
          <w:trHeight w:val="268" w:hRule="atLeast"/>
        </w:trPr>
        <w:tc>
          <w:tcPr>
            <w:tcW w:w="4077" w:type="dxa"/>
          </w:tcPr>
          <w:p>
            <w:pPr>
              <w:pStyle w:val="TableParagraph"/>
              <w:spacing w:before="16"/>
              <w:ind w:left="50"/>
              <w:rPr>
                <w:sz w:val="20"/>
              </w:rPr>
            </w:pPr>
            <w:r>
              <w:rPr>
                <w:sz w:val="20"/>
              </w:rPr>
              <w:t>Education</w:t>
            </w:r>
            <w:r>
              <w:rPr>
                <w:spacing w:val="-11"/>
                <w:sz w:val="20"/>
              </w:rPr>
              <w:t> </w:t>
            </w:r>
            <w:r>
              <w:rPr>
                <w:spacing w:val="-2"/>
                <w:sz w:val="20"/>
              </w:rPr>
              <w:t>contracts</w:t>
            </w:r>
          </w:p>
        </w:tc>
        <w:tc>
          <w:tcPr>
            <w:tcW w:w="1109" w:type="dxa"/>
            <w:tcBorders>
              <w:bottom w:val="single" w:sz="4" w:space="0" w:color="000000"/>
            </w:tcBorders>
          </w:tcPr>
          <w:p>
            <w:pPr>
              <w:pStyle w:val="TableParagraph"/>
              <w:spacing w:before="16"/>
              <w:ind w:right="108"/>
              <w:jc w:val="right"/>
              <w:rPr>
                <w:sz w:val="20"/>
              </w:rPr>
            </w:pPr>
            <w:r>
              <w:rPr>
                <w:spacing w:val="-5"/>
                <w:sz w:val="20"/>
              </w:rPr>
              <w:t>932</w:t>
            </w:r>
          </w:p>
        </w:tc>
        <w:tc>
          <w:tcPr>
            <w:tcW w:w="276" w:type="dxa"/>
          </w:tcPr>
          <w:p>
            <w:pPr>
              <w:pStyle w:val="TableParagraph"/>
              <w:rPr>
                <w:rFonts w:ascii="Times New Roman"/>
                <w:sz w:val="18"/>
              </w:rPr>
            </w:pPr>
          </w:p>
        </w:tc>
        <w:tc>
          <w:tcPr>
            <w:tcW w:w="998" w:type="dxa"/>
            <w:tcBorders>
              <w:bottom w:val="single" w:sz="4" w:space="0" w:color="000000"/>
            </w:tcBorders>
          </w:tcPr>
          <w:p>
            <w:pPr>
              <w:pStyle w:val="TableParagraph"/>
              <w:spacing w:before="16"/>
              <w:ind w:right="156"/>
              <w:jc w:val="right"/>
              <w:rPr>
                <w:sz w:val="20"/>
              </w:rPr>
            </w:pPr>
            <w:r>
              <w:rPr>
                <w:spacing w:val="-5"/>
                <w:sz w:val="20"/>
              </w:rPr>
              <w:t>932</w:t>
            </w:r>
          </w:p>
        </w:tc>
        <w:tc>
          <w:tcPr>
            <w:tcW w:w="420" w:type="dxa"/>
          </w:tcPr>
          <w:p>
            <w:pPr>
              <w:pStyle w:val="TableParagraph"/>
              <w:rPr>
                <w:rFonts w:ascii="Times New Roman"/>
                <w:sz w:val="18"/>
              </w:rPr>
            </w:pPr>
          </w:p>
        </w:tc>
        <w:tc>
          <w:tcPr>
            <w:tcW w:w="998" w:type="dxa"/>
            <w:tcBorders>
              <w:bottom w:val="single" w:sz="4" w:space="0" w:color="000000"/>
            </w:tcBorders>
          </w:tcPr>
          <w:p>
            <w:pPr>
              <w:pStyle w:val="TableParagraph"/>
              <w:spacing w:before="16"/>
              <w:ind w:right="107"/>
              <w:jc w:val="right"/>
              <w:rPr>
                <w:sz w:val="20"/>
              </w:rPr>
            </w:pPr>
            <w:r>
              <w:rPr>
                <w:spacing w:val="-2"/>
                <w:sz w:val="20"/>
              </w:rPr>
              <w:t>1,006</w:t>
            </w:r>
          </w:p>
        </w:tc>
        <w:tc>
          <w:tcPr>
            <w:tcW w:w="276" w:type="dxa"/>
          </w:tcPr>
          <w:p>
            <w:pPr>
              <w:pStyle w:val="TableParagraph"/>
              <w:rPr>
                <w:rFonts w:ascii="Times New Roman"/>
                <w:sz w:val="18"/>
              </w:rPr>
            </w:pPr>
          </w:p>
        </w:tc>
        <w:tc>
          <w:tcPr>
            <w:tcW w:w="1001" w:type="dxa"/>
            <w:tcBorders>
              <w:bottom w:val="single" w:sz="4" w:space="0" w:color="000000"/>
            </w:tcBorders>
          </w:tcPr>
          <w:p>
            <w:pPr>
              <w:pStyle w:val="TableParagraph"/>
              <w:spacing w:before="16"/>
              <w:ind w:right="157"/>
              <w:jc w:val="right"/>
              <w:rPr>
                <w:sz w:val="20"/>
              </w:rPr>
            </w:pPr>
            <w:r>
              <w:rPr>
                <w:spacing w:val="-2"/>
                <w:sz w:val="20"/>
              </w:rPr>
              <w:t>1,006</w:t>
            </w:r>
          </w:p>
        </w:tc>
      </w:tr>
      <w:tr>
        <w:trPr>
          <w:trHeight w:val="270" w:hRule="atLeast"/>
        </w:trPr>
        <w:tc>
          <w:tcPr>
            <w:tcW w:w="4077" w:type="dxa"/>
          </w:tcPr>
          <w:p>
            <w:pPr>
              <w:pStyle w:val="TableParagraph"/>
              <w:spacing w:before="18"/>
              <w:ind w:left="50"/>
              <w:rPr>
                <w:b/>
                <w:sz w:val="20"/>
              </w:rPr>
            </w:pPr>
            <w:r>
              <w:rPr>
                <w:b/>
                <w:spacing w:val="-2"/>
                <w:sz w:val="20"/>
              </w:rPr>
              <w:t>Total</w:t>
            </w:r>
          </w:p>
        </w:tc>
        <w:tc>
          <w:tcPr>
            <w:tcW w:w="1109" w:type="dxa"/>
            <w:tcBorders>
              <w:top w:val="single" w:sz="4" w:space="0" w:color="000000"/>
              <w:bottom w:val="double" w:sz="4" w:space="0" w:color="000000"/>
            </w:tcBorders>
          </w:tcPr>
          <w:p>
            <w:pPr>
              <w:pStyle w:val="TableParagraph"/>
              <w:spacing w:before="18"/>
              <w:ind w:right="108"/>
              <w:jc w:val="right"/>
              <w:rPr>
                <w:sz w:val="20"/>
              </w:rPr>
            </w:pPr>
            <w:r>
              <w:rPr>
                <w:spacing w:val="-2"/>
                <w:sz w:val="20"/>
              </w:rPr>
              <w:t>3,128</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5"/>
              <w:jc w:val="right"/>
              <w:rPr>
                <w:sz w:val="20"/>
              </w:rPr>
            </w:pPr>
            <w:r>
              <w:rPr>
                <w:spacing w:val="-2"/>
                <w:sz w:val="20"/>
              </w:rPr>
              <w:t>3,128</w:t>
            </w:r>
          </w:p>
        </w:tc>
        <w:tc>
          <w:tcPr>
            <w:tcW w:w="420"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7"/>
              <w:jc w:val="right"/>
              <w:rPr>
                <w:sz w:val="20"/>
              </w:rPr>
            </w:pPr>
            <w:r>
              <w:rPr>
                <w:spacing w:val="-2"/>
                <w:sz w:val="20"/>
              </w:rPr>
              <w:t>3,790</w:t>
            </w:r>
          </w:p>
        </w:tc>
        <w:tc>
          <w:tcPr>
            <w:tcW w:w="276"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57"/>
              <w:jc w:val="right"/>
              <w:rPr>
                <w:sz w:val="20"/>
              </w:rPr>
            </w:pPr>
            <w:r>
              <w:rPr>
                <w:spacing w:val="-2"/>
                <w:sz w:val="20"/>
              </w:rPr>
              <w:t>3,790</w:t>
            </w:r>
          </w:p>
        </w:tc>
      </w:tr>
    </w:tbl>
    <w:p>
      <w:pPr>
        <w:pStyle w:val="BodyText"/>
        <w:rPr>
          <w:b/>
        </w:rPr>
      </w:pPr>
    </w:p>
    <w:p>
      <w:pPr>
        <w:pStyle w:val="BodyText"/>
        <w:ind w:left="566"/>
      </w:pPr>
      <w:r>
        <w:rPr/>
        <w:t>Details</w:t>
      </w:r>
      <w:r>
        <w:rPr>
          <w:spacing w:val="-5"/>
        </w:rPr>
        <w:t> </w:t>
      </w:r>
      <w:r>
        <w:rPr/>
        <w:t>of</w:t>
      </w:r>
      <w:r>
        <w:rPr>
          <w:spacing w:val="-3"/>
        </w:rPr>
        <w:t> </w:t>
      </w:r>
      <w:r>
        <w:rPr/>
        <w:t>grant</w:t>
      </w:r>
      <w:r>
        <w:rPr>
          <w:spacing w:val="-5"/>
        </w:rPr>
        <w:t> </w:t>
      </w:r>
      <w:r>
        <w:rPr/>
        <w:t>and</w:t>
      </w:r>
      <w:r>
        <w:rPr>
          <w:spacing w:val="-6"/>
        </w:rPr>
        <w:t> </w:t>
      </w:r>
      <w:r>
        <w:rPr/>
        <w:t>fee</w:t>
      </w:r>
      <w:r>
        <w:rPr>
          <w:spacing w:val="-5"/>
        </w:rPr>
        <w:t> </w:t>
      </w:r>
      <w:r>
        <w:rPr>
          <w:spacing w:val="-2"/>
        </w:rPr>
        <w:t>income</w:t>
      </w:r>
    </w:p>
    <w:p>
      <w:pPr>
        <w:pStyle w:val="BodyText"/>
        <w:spacing w:before="229"/>
      </w:pPr>
    </w:p>
    <w:p>
      <w:pPr>
        <w:pStyle w:val="Heading6"/>
        <w:tabs>
          <w:tab w:pos="8167" w:val="left" w:leader="none"/>
        </w:tabs>
        <w:ind w:left="5400"/>
        <w:jc w:val="left"/>
      </w:pPr>
      <w:r>
        <w:rPr/>
        <w:t>Year</w:t>
      </w:r>
      <w:r>
        <w:rPr>
          <w:spacing w:val="-7"/>
        </w:rPr>
        <w:t> </w:t>
      </w:r>
      <w:r>
        <w:rPr/>
        <w:t>ended</w:t>
      </w:r>
      <w:r>
        <w:rPr>
          <w:spacing w:val="-4"/>
        </w:rPr>
        <w:t> </w:t>
      </w:r>
      <w:r>
        <w:rPr/>
        <w:t>31</w:t>
      </w:r>
      <w:r>
        <w:rPr>
          <w:spacing w:val="-4"/>
        </w:rPr>
        <w:t> July</w:t>
      </w:r>
      <w:r>
        <w:rPr/>
        <w:tab/>
        <w:t>Year</w:t>
      </w:r>
      <w:r>
        <w:rPr>
          <w:spacing w:val="-7"/>
        </w:rPr>
        <w:t> </w:t>
      </w:r>
      <w:r>
        <w:rPr/>
        <w:t>ended</w:t>
      </w:r>
      <w:r>
        <w:rPr>
          <w:spacing w:val="-4"/>
        </w:rPr>
        <w:t> </w:t>
      </w:r>
      <w:r>
        <w:rPr/>
        <w:t>31</w:t>
      </w:r>
      <w:r>
        <w:rPr>
          <w:spacing w:val="-4"/>
        </w:rPr>
        <w:t> July</w:t>
      </w:r>
    </w:p>
    <w:p>
      <w:pPr>
        <w:pStyle w:val="BodyText"/>
        <w:spacing w:before="3"/>
        <w:rPr>
          <w:b/>
          <w:sz w:val="10"/>
        </w:r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95"/>
        <w:gridCol w:w="1433"/>
        <w:gridCol w:w="1345"/>
        <w:gridCol w:w="1347"/>
        <w:gridCol w:w="1182"/>
      </w:tblGrid>
      <w:tr>
        <w:trPr>
          <w:trHeight w:val="1186" w:hRule="atLeast"/>
        </w:trPr>
        <w:tc>
          <w:tcPr>
            <w:tcW w:w="3895" w:type="dxa"/>
          </w:tcPr>
          <w:p>
            <w:pPr>
              <w:pStyle w:val="TableParagraph"/>
              <w:rPr>
                <w:rFonts w:ascii="Times New Roman"/>
                <w:sz w:val="20"/>
              </w:rPr>
            </w:pPr>
          </w:p>
        </w:tc>
        <w:tc>
          <w:tcPr>
            <w:tcW w:w="1433" w:type="dxa"/>
          </w:tcPr>
          <w:p>
            <w:pPr>
              <w:pStyle w:val="TableParagraph"/>
              <w:spacing w:line="223" w:lineRule="exact"/>
              <w:ind w:right="252"/>
              <w:jc w:val="right"/>
              <w:rPr>
                <w:b/>
                <w:sz w:val="20"/>
              </w:rPr>
            </w:pPr>
            <w:r>
              <w:rPr>
                <w:b/>
                <w:spacing w:val="-4"/>
                <w:sz w:val="20"/>
              </w:rPr>
              <w:t>2023</w:t>
            </w:r>
          </w:p>
          <w:p>
            <w:pPr>
              <w:pStyle w:val="TableParagraph"/>
              <w:spacing w:before="111"/>
              <w:ind w:right="251"/>
              <w:jc w:val="right"/>
              <w:rPr>
                <w:b/>
                <w:sz w:val="20"/>
              </w:rPr>
            </w:pPr>
            <w:r>
              <w:rPr>
                <w:b/>
                <w:spacing w:val="-4"/>
                <w:sz w:val="20"/>
              </w:rPr>
              <w:t>Group</w:t>
            </w:r>
          </w:p>
          <w:p>
            <w:pPr>
              <w:pStyle w:val="TableParagraph"/>
              <w:spacing w:before="108"/>
              <w:ind w:right="252"/>
              <w:jc w:val="right"/>
              <w:rPr>
                <w:b/>
                <w:sz w:val="20"/>
              </w:rPr>
            </w:pPr>
            <w:r>
              <w:rPr>
                <w:b/>
                <w:spacing w:val="-4"/>
                <w:sz w:val="20"/>
              </w:rPr>
              <w:t>£000</w:t>
            </w:r>
          </w:p>
        </w:tc>
        <w:tc>
          <w:tcPr>
            <w:tcW w:w="1345" w:type="dxa"/>
          </w:tcPr>
          <w:p>
            <w:pPr>
              <w:pStyle w:val="TableParagraph"/>
              <w:spacing w:line="223" w:lineRule="exact"/>
              <w:ind w:right="320"/>
              <w:jc w:val="right"/>
              <w:rPr>
                <w:b/>
                <w:sz w:val="20"/>
              </w:rPr>
            </w:pPr>
            <w:r>
              <w:rPr>
                <w:b/>
                <w:spacing w:val="-4"/>
                <w:sz w:val="20"/>
              </w:rPr>
              <w:t>2023</w:t>
            </w:r>
          </w:p>
          <w:p>
            <w:pPr>
              <w:pStyle w:val="TableParagraph"/>
              <w:spacing w:before="111"/>
              <w:ind w:right="320"/>
              <w:jc w:val="right"/>
              <w:rPr>
                <w:b/>
                <w:sz w:val="20"/>
              </w:rPr>
            </w:pPr>
            <w:r>
              <w:rPr>
                <w:b/>
                <w:spacing w:val="-2"/>
                <w:sz w:val="20"/>
              </w:rPr>
              <w:t>College</w:t>
            </w:r>
          </w:p>
          <w:p>
            <w:pPr>
              <w:pStyle w:val="TableParagraph"/>
              <w:spacing w:before="108"/>
              <w:ind w:right="321"/>
              <w:jc w:val="right"/>
              <w:rPr>
                <w:b/>
                <w:sz w:val="20"/>
              </w:rPr>
            </w:pPr>
            <w:r>
              <w:rPr>
                <w:b/>
                <w:spacing w:val="-4"/>
                <w:sz w:val="20"/>
              </w:rPr>
              <w:t>£000</w:t>
            </w:r>
          </w:p>
        </w:tc>
        <w:tc>
          <w:tcPr>
            <w:tcW w:w="1347" w:type="dxa"/>
          </w:tcPr>
          <w:p>
            <w:pPr>
              <w:pStyle w:val="TableParagraph"/>
              <w:spacing w:line="223" w:lineRule="exact"/>
              <w:ind w:right="246"/>
              <w:jc w:val="right"/>
              <w:rPr>
                <w:b/>
                <w:sz w:val="20"/>
              </w:rPr>
            </w:pPr>
            <w:r>
              <w:rPr>
                <w:b/>
                <w:spacing w:val="-4"/>
                <w:sz w:val="20"/>
              </w:rPr>
              <w:t>2022</w:t>
            </w:r>
          </w:p>
          <w:p>
            <w:pPr>
              <w:pStyle w:val="TableParagraph"/>
              <w:spacing w:before="111"/>
              <w:ind w:right="245"/>
              <w:jc w:val="right"/>
              <w:rPr>
                <w:b/>
                <w:sz w:val="20"/>
              </w:rPr>
            </w:pPr>
            <w:r>
              <w:rPr>
                <w:b/>
                <w:spacing w:val="-4"/>
                <w:sz w:val="20"/>
              </w:rPr>
              <w:t>Group</w:t>
            </w:r>
          </w:p>
          <w:p>
            <w:pPr>
              <w:pStyle w:val="TableParagraph"/>
              <w:spacing w:before="108"/>
              <w:ind w:right="247"/>
              <w:jc w:val="right"/>
              <w:rPr>
                <w:b/>
                <w:sz w:val="20"/>
              </w:rPr>
            </w:pPr>
            <w:r>
              <w:rPr>
                <w:b/>
                <w:spacing w:val="-4"/>
                <w:sz w:val="20"/>
              </w:rPr>
              <w:t>£000</w:t>
            </w:r>
          </w:p>
        </w:tc>
        <w:tc>
          <w:tcPr>
            <w:tcW w:w="1182" w:type="dxa"/>
          </w:tcPr>
          <w:p>
            <w:pPr>
              <w:pStyle w:val="TableParagraph"/>
              <w:spacing w:line="223" w:lineRule="exact"/>
              <w:ind w:right="156"/>
              <w:jc w:val="right"/>
              <w:rPr>
                <w:b/>
                <w:sz w:val="20"/>
              </w:rPr>
            </w:pPr>
            <w:r>
              <w:rPr>
                <w:b/>
                <w:spacing w:val="-4"/>
                <w:sz w:val="20"/>
              </w:rPr>
              <w:t>2022</w:t>
            </w:r>
          </w:p>
          <w:p>
            <w:pPr>
              <w:pStyle w:val="TableParagraph"/>
              <w:spacing w:before="111"/>
              <w:ind w:right="156"/>
              <w:jc w:val="right"/>
              <w:rPr>
                <w:b/>
                <w:sz w:val="20"/>
              </w:rPr>
            </w:pPr>
            <w:r>
              <w:rPr>
                <w:b/>
                <w:spacing w:val="-2"/>
                <w:sz w:val="20"/>
              </w:rPr>
              <w:t>College</w:t>
            </w:r>
          </w:p>
          <w:p>
            <w:pPr>
              <w:pStyle w:val="TableParagraph"/>
              <w:spacing w:before="108"/>
              <w:ind w:right="157"/>
              <w:jc w:val="right"/>
              <w:rPr>
                <w:b/>
                <w:sz w:val="20"/>
              </w:rPr>
            </w:pPr>
            <w:r>
              <w:rPr>
                <w:b/>
                <w:spacing w:val="-4"/>
                <w:sz w:val="20"/>
              </w:rPr>
              <w:t>£000</w:t>
            </w:r>
          </w:p>
        </w:tc>
      </w:tr>
      <w:tr>
        <w:trPr>
          <w:trHeight w:val="565" w:hRule="atLeast"/>
        </w:trPr>
        <w:tc>
          <w:tcPr>
            <w:tcW w:w="3895" w:type="dxa"/>
          </w:tcPr>
          <w:p>
            <w:pPr>
              <w:pStyle w:val="TableParagraph"/>
              <w:spacing w:before="47"/>
              <w:rPr>
                <w:b/>
                <w:sz w:val="20"/>
              </w:rPr>
            </w:pPr>
          </w:p>
          <w:p>
            <w:pPr>
              <w:pStyle w:val="TableParagraph"/>
              <w:ind w:left="50"/>
              <w:rPr>
                <w:sz w:val="20"/>
              </w:rPr>
            </w:pPr>
            <w:r>
              <w:rPr>
                <w:sz w:val="20"/>
              </w:rPr>
              <w:t>Grant</w:t>
            </w:r>
            <w:r>
              <w:rPr>
                <w:spacing w:val="-8"/>
                <w:sz w:val="20"/>
              </w:rPr>
              <w:t> </w:t>
            </w:r>
            <w:r>
              <w:rPr>
                <w:sz w:val="20"/>
              </w:rPr>
              <w:t>income</w:t>
            </w:r>
            <w:r>
              <w:rPr>
                <w:spacing w:val="-5"/>
                <w:sz w:val="20"/>
              </w:rPr>
              <w:t> </w:t>
            </w:r>
            <w:r>
              <w:rPr>
                <w:sz w:val="20"/>
              </w:rPr>
              <w:t>from</w:t>
            </w:r>
            <w:r>
              <w:rPr>
                <w:spacing w:val="-6"/>
                <w:sz w:val="20"/>
              </w:rPr>
              <w:t> </w:t>
            </w:r>
            <w:r>
              <w:rPr>
                <w:sz w:val="20"/>
              </w:rPr>
              <w:t>Office</w:t>
            </w:r>
            <w:r>
              <w:rPr>
                <w:spacing w:val="-5"/>
                <w:sz w:val="20"/>
              </w:rPr>
              <w:t> </w:t>
            </w:r>
            <w:r>
              <w:rPr>
                <w:sz w:val="20"/>
              </w:rPr>
              <w:t>for</w:t>
            </w:r>
            <w:r>
              <w:rPr>
                <w:spacing w:val="-5"/>
                <w:sz w:val="20"/>
              </w:rPr>
              <w:t> </w:t>
            </w:r>
            <w:r>
              <w:rPr>
                <w:spacing w:val="-2"/>
                <w:sz w:val="20"/>
              </w:rPr>
              <w:t>Students</w:t>
            </w:r>
          </w:p>
        </w:tc>
        <w:tc>
          <w:tcPr>
            <w:tcW w:w="1433" w:type="dxa"/>
          </w:tcPr>
          <w:p>
            <w:pPr>
              <w:pStyle w:val="TableParagraph"/>
              <w:spacing w:before="47"/>
              <w:rPr>
                <w:b/>
                <w:sz w:val="20"/>
              </w:rPr>
            </w:pPr>
          </w:p>
          <w:p>
            <w:pPr>
              <w:pStyle w:val="TableParagraph"/>
              <w:ind w:right="252"/>
              <w:jc w:val="right"/>
              <w:rPr>
                <w:sz w:val="20"/>
              </w:rPr>
            </w:pPr>
            <w:r>
              <w:rPr>
                <w:spacing w:val="-5"/>
                <w:sz w:val="20"/>
              </w:rPr>
              <w:t>139</w:t>
            </w:r>
          </w:p>
        </w:tc>
        <w:tc>
          <w:tcPr>
            <w:tcW w:w="1345" w:type="dxa"/>
          </w:tcPr>
          <w:p>
            <w:pPr>
              <w:pStyle w:val="TableParagraph"/>
              <w:spacing w:before="47"/>
              <w:rPr>
                <w:b/>
                <w:sz w:val="20"/>
              </w:rPr>
            </w:pPr>
          </w:p>
          <w:p>
            <w:pPr>
              <w:pStyle w:val="TableParagraph"/>
              <w:ind w:right="321"/>
              <w:jc w:val="right"/>
              <w:rPr>
                <w:sz w:val="20"/>
              </w:rPr>
            </w:pPr>
            <w:r>
              <w:rPr>
                <w:spacing w:val="-5"/>
                <w:sz w:val="20"/>
              </w:rPr>
              <w:t>139</w:t>
            </w:r>
          </w:p>
        </w:tc>
        <w:tc>
          <w:tcPr>
            <w:tcW w:w="1347" w:type="dxa"/>
          </w:tcPr>
          <w:p>
            <w:pPr>
              <w:pStyle w:val="TableParagraph"/>
              <w:spacing w:before="47"/>
              <w:rPr>
                <w:b/>
                <w:sz w:val="20"/>
              </w:rPr>
            </w:pPr>
          </w:p>
          <w:p>
            <w:pPr>
              <w:pStyle w:val="TableParagraph"/>
              <w:ind w:left="766"/>
              <w:rPr>
                <w:sz w:val="20"/>
              </w:rPr>
            </w:pPr>
            <w:r>
              <w:rPr>
                <w:spacing w:val="-5"/>
                <w:sz w:val="20"/>
              </w:rPr>
              <w:t>149</w:t>
            </w:r>
          </w:p>
        </w:tc>
        <w:tc>
          <w:tcPr>
            <w:tcW w:w="1182" w:type="dxa"/>
          </w:tcPr>
          <w:p>
            <w:pPr>
              <w:pStyle w:val="TableParagraph"/>
              <w:spacing w:before="47"/>
              <w:rPr>
                <w:b/>
                <w:sz w:val="20"/>
              </w:rPr>
            </w:pPr>
          </w:p>
          <w:p>
            <w:pPr>
              <w:pStyle w:val="TableParagraph"/>
              <w:ind w:left="691"/>
              <w:rPr>
                <w:sz w:val="20"/>
              </w:rPr>
            </w:pPr>
            <w:r>
              <w:rPr>
                <w:spacing w:val="-5"/>
                <w:sz w:val="20"/>
              </w:rPr>
              <w:t>149</w:t>
            </w:r>
          </w:p>
        </w:tc>
      </w:tr>
      <w:tr>
        <w:trPr>
          <w:trHeight w:val="339" w:hRule="atLeast"/>
        </w:trPr>
        <w:tc>
          <w:tcPr>
            <w:tcW w:w="3895" w:type="dxa"/>
          </w:tcPr>
          <w:p>
            <w:pPr>
              <w:pStyle w:val="TableParagraph"/>
              <w:spacing w:before="50"/>
              <w:ind w:left="50"/>
              <w:rPr>
                <w:sz w:val="20"/>
              </w:rPr>
            </w:pPr>
            <w:r>
              <w:rPr>
                <w:sz w:val="20"/>
              </w:rPr>
              <w:t>Grant</w:t>
            </w:r>
            <w:r>
              <w:rPr>
                <w:spacing w:val="-10"/>
                <w:sz w:val="20"/>
              </w:rPr>
              <w:t> </w:t>
            </w:r>
            <w:r>
              <w:rPr>
                <w:sz w:val="20"/>
              </w:rPr>
              <w:t>income</w:t>
            </w:r>
            <w:r>
              <w:rPr>
                <w:spacing w:val="-6"/>
                <w:sz w:val="20"/>
              </w:rPr>
              <w:t> </w:t>
            </w:r>
            <w:r>
              <w:rPr>
                <w:sz w:val="20"/>
              </w:rPr>
              <w:t>from</w:t>
            </w:r>
            <w:r>
              <w:rPr>
                <w:spacing w:val="-6"/>
                <w:sz w:val="20"/>
              </w:rPr>
              <w:t> </w:t>
            </w:r>
            <w:r>
              <w:rPr>
                <w:sz w:val="20"/>
              </w:rPr>
              <w:t>other</w:t>
            </w:r>
            <w:r>
              <w:rPr>
                <w:spacing w:val="-5"/>
                <w:sz w:val="20"/>
              </w:rPr>
              <w:t> </w:t>
            </w:r>
            <w:r>
              <w:rPr>
                <w:spacing w:val="-2"/>
                <w:sz w:val="20"/>
              </w:rPr>
              <w:t>bodies</w:t>
            </w:r>
          </w:p>
        </w:tc>
        <w:tc>
          <w:tcPr>
            <w:tcW w:w="1433" w:type="dxa"/>
          </w:tcPr>
          <w:p>
            <w:pPr>
              <w:pStyle w:val="TableParagraph"/>
              <w:spacing w:before="50"/>
              <w:ind w:right="252"/>
              <w:jc w:val="right"/>
              <w:rPr>
                <w:sz w:val="20"/>
              </w:rPr>
            </w:pPr>
            <w:r>
              <w:rPr>
                <w:spacing w:val="-2"/>
                <w:sz w:val="20"/>
              </w:rPr>
              <w:t>26,658</w:t>
            </w:r>
          </w:p>
        </w:tc>
        <w:tc>
          <w:tcPr>
            <w:tcW w:w="1345" w:type="dxa"/>
          </w:tcPr>
          <w:p>
            <w:pPr>
              <w:pStyle w:val="TableParagraph"/>
              <w:spacing w:before="50"/>
              <w:ind w:left="412"/>
              <w:rPr>
                <w:sz w:val="20"/>
              </w:rPr>
            </w:pPr>
            <w:r>
              <w:rPr>
                <w:spacing w:val="-2"/>
                <w:sz w:val="20"/>
              </w:rPr>
              <w:t>26,658</w:t>
            </w:r>
          </w:p>
        </w:tc>
        <w:tc>
          <w:tcPr>
            <w:tcW w:w="1347" w:type="dxa"/>
          </w:tcPr>
          <w:p>
            <w:pPr>
              <w:pStyle w:val="TableParagraph"/>
              <w:spacing w:before="50"/>
              <w:ind w:left="488"/>
              <w:rPr>
                <w:sz w:val="20"/>
              </w:rPr>
            </w:pPr>
            <w:r>
              <w:rPr>
                <w:spacing w:val="-2"/>
                <w:sz w:val="20"/>
              </w:rPr>
              <w:t>25,162</w:t>
            </w:r>
          </w:p>
        </w:tc>
        <w:tc>
          <w:tcPr>
            <w:tcW w:w="1182" w:type="dxa"/>
          </w:tcPr>
          <w:p>
            <w:pPr>
              <w:pStyle w:val="TableParagraph"/>
              <w:spacing w:before="50"/>
              <w:ind w:left="413"/>
              <w:rPr>
                <w:sz w:val="20"/>
              </w:rPr>
            </w:pPr>
            <w:r>
              <w:rPr>
                <w:spacing w:val="-2"/>
                <w:sz w:val="20"/>
              </w:rPr>
              <w:t>25,162</w:t>
            </w:r>
          </w:p>
        </w:tc>
      </w:tr>
      <w:tr>
        <w:trPr>
          <w:trHeight w:val="640" w:hRule="atLeast"/>
        </w:trPr>
        <w:tc>
          <w:tcPr>
            <w:tcW w:w="3895" w:type="dxa"/>
          </w:tcPr>
          <w:p>
            <w:pPr>
              <w:pStyle w:val="TableParagraph"/>
              <w:spacing w:before="52"/>
              <w:ind w:left="50" w:right="48"/>
              <w:rPr>
                <w:sz w:val="20"/>
              </w:rPr>
            </w:pPr>
            <w:r>
              <w:rPr>
                <w:sz w:val="20"/>
              </w:rPr>
              <w:t>Fees</w:t>
            </w:r>
            <w:r>
              <w:rPr>
                <w:spacing w:val="-8"/>
                <w:sz w:val="20"/>
              </w:rPr>
              <w:t> </w:t>
            </w:r>
            <w:r>
              <w:rPr>
                <w:sz w:val="20"/>
              </w:rPr>
              <w:t>income</w:t>
            </w:r>
            <w:r>
              <w:rPr>
                <w:spacing w:val="-9"/>
                <w:sz w:val="20"/>
              </w:rPr>
              <w:t> </w:t>
            </w:r>
            <w:r>
              <w:rPr>
                <w:sz w:val="20"/>
              </w:rPr>
              <w:t>for</w:t>
            </w:r>
            <w:r>
              <w:rPr>
                <w:spacing w:val="-8"/>
                <w:sz w:val="20"/>
              </w:rPr>
              <w:t> </w:t>
            </w:r>
            <w:r>
              <w:rPr>
                <w:sz w:val="20"/>
              </w:rPr>
              <w:t>taught</w:t>
            </w:r>
            <w:r>
              <w:rPr>
                <w:spacing w:val="-8"/>
                <w:sz w:val="20"/>
              </w:rPr>
              <w:t> </w:t>
            </w:r>
            <w:r>
              <w:rPr>
                <w:sz w:val="20"/>
              </w:rPr>
              <w:t>awards</w:t>
            </w:r>
            <w:r>
              <w:rPr>
                <w:spacing w:val="-8"/>
                <w:sz w:val="20"/>
              </w:rPr>
              <w:t> </w:t>
            </w:r>
            <w:r>
              <w:rPr>
                <w:sz w:val="20"/>
              </w:rPr>
              <w:t>(exclusive of VAT)</w:t>
            </w:r>
          </w:p>
        </w:tc>
        <w:tc>
          <w:tcPr>
            <w:tcW w:w="1433" w:type="dxa"/>
          </w:tcPr>
          <w:p>
            <w:pPr>
              <w:pStyle w:val="TableParagraph"/>
              <w:spacing w:before="172"/>
              <w:rPr>
                <w:b/>
                <w:sz w:val="20"/>
              </w:rPr>
            </w:pPr>
          </w:p>
          <w:p>
            <w:pPr>
              <w:pStyle w:val="TableParagraph"/>
              <w:tabs>
                <w:tab w:pos="523" w:val="left" w:leader="none"/>
              </w:tabs>
              <w:spacing w:line="219" w:lineRule="exact"/>
              <w:ind w:right="141"/>
              <w:jc w:val="right"/>
              <w:rPr>
                <w:sz w:val="20"/>
              </w:rPr>
            </w:pPr>
            <w:r>
              <w:rPr>
                <w:sz w:val="20"/>
                <w:u w:val="single"/>
              </w:rPr>
              <w:tab/>
            </w:r>
            <w:r>
              <w:rPr>
                <w:spacing w:val="-2"/>
                <w:sz w:val="20"/>
                <w:u w:val="single"/>
              </w:rPr>
              <w:t>3,128</w:t>
            </w:r>
            <w:r>
              <w:rPr>
                <w:spacing w:val="80"/>
                <w:sz w:val="20"/>
                <w:u w:val="single"/>
              </w:rPr>
              <w:t> </w:t>
            </w:r>
          </w:p>
        </w:tc>
        <w:tc>
          <w:tcPr>
            <w:tcW w:w="1345" w:type="dxa"/>
          </w:tcPr>
          <w:p>
            <w:pPr>
              <w:pStyle w:val="TableParagraph"/>
              <w:spacing w:before="172"/>
              <w:rPr>
                <w:b/>
                <w:sz w:val="20"/>
              </w:rPr>
            </w:pPr>
          </w:p>
          <w:p>
            <w:pPr>
              <w:pStyle w:val="TableParagraph"/>
              <w:tabs>
                <w:tab w:pos="381" w:val="left" w:leader="none"/>
              </w:tabs>
              <w:spacing w:line="219" w:lineRule="exact"/>
              <w:ind w:right="210"/>
              <w:jc w:val="right"/>
              <w:rPr>
                <w:sz w:val="20"/>
              </w:rPr>
            </w:pPr>
            <w:r>
              <w:rPr>
                <w:sz w:val="20"/>
                <w:u w:val="single"/>
              </w:rPr>
              <w:tab/>
            </w:r>
            <w:r>
              <w:rPr>
                <w:spacing w:val="-2"/>
                <w:sz w:val="20"/>
                <w:u w:val="single"/>
              </w:rPr>
              <w:t>3,128</w:t>
            </w:r>
            <w:r>
              <w:rPr>
                <w:spacing w:val="80"/>
                <w:sz w:val="20"/>
                <w:u w:val="single"/>
              </w:rPr>
              <w:t> </w:t>
            </w:r>
          </w:p>
        </w:tc>
        <w:tc>
          <w:tcPr>
            <w:tcW w:w="1347" w:type="dxa"/>
          </w:tcPr>
          <w:p>
            <w:pPr>
              <w:pStyle w:val="TableParagraph"/>
              <w:spacing w:before="172"/>
              <w:rPr>
                <w:b/>
                <w:sz w:val="20"/>
              </w:rPr>
            </w:pPr>
          </w:p>
          <w:p>
            <w:pPr>
              <w:pStyle w:val="TableParagraph"/>
              <w:tabs>
                <w:tab w:pos="598" w:val="left" w:leader="none"/>
              </w:tabs>
              <w:spacing w:line="219" w:lineRule="exact"/>
              <w:ind w:left="212"/>
              <w:rPr>
                <w:sz w:val="20"/>
              </w:rPr>
            </w:pPr>
            <w:r>
              <w:rPr>
                <w:sz w:val="20"/>
                <w:u w:val="single"/>
              </w:rPr>
              <w:tab/>
            </w:r>
            <w:r>
              <w:rPr>
                <w:spacing w:val="-2"/>
                <w:sz w:val="20"/>
                <w:u w:val="single"/>
              </w:rPr>
              <w:t>3,790</w:t>
            </w:r>
            <w:r>
              <w:rPr>
                <w:spacing w:val="80"/>
                <w:sz w:val="20"/>
                <w:u w:val="single"/>
              </w:rPr>
              <w:t> </w:t>
            </w:r>
          </w:p>
        </w:tc>
        <w:tc>
          <w:tcPr>
            <w:tcW w:w="1182" w:type="dxa"/>
          </w:tcPr>
          <w:p>
            <w:pPr>
              <w:pStyle w:val="TableParagraph"/>
              <w:spacing w:before="172"/>
              <w:rPr>
                <w:b/>
                <w:sz w:val="20"/>
              </w:rPr>
            </w:pPr>
          </w:p>
          <w:p>
            <w:pPr>
              <w:pStyle w:val="TableParagraph"/>
              <w:tabs>
                <w:tab w:pos="523" w:val="left" w:leader="none"/>
              </w:tabs>
              <w:spacing w:line="219" w:lineRule="exact"/>
              <w:ind w:left="142"/>
              <w:rPr>
                <w:sz w:val="20"/>
              </w:rPr>
            </w:pPr>
            <w:r>
              <w:rPr>
                <w:sz w:val="20"/>
                <w:u w:val="single"/>
              </w:rPr>
              <w:tab/>
            </w:r>
            <w:r>
              <w:rPr>
                <w:spacing w:val="-2"/>
                <w:sz w:val="20"/>
                <w:u w:val="single"/>
              </w:rPr>
              <w:t>3,790</w:t>
            </w:r>
            <w:r>
              <w:rPr>
                <w:spacing w:val="80"/>
                <w:sz w:val="20"/>
                <w:u w:val="single"/>
              </w:rPr>
              <w:t> </w:t>
            </w:r>
          </w:p>
        </w:tc>
      </w:tr>
      <w:tr>
        <w:trPr>
          <w:trHeight w:val="364" w:hRule="atLeast"/>
        </w:trPr>
        <w:tc>
          <w:tcPr>
            <w:tcW w:w="3895" w:type="dxa"/>
          </w:tcPr>
          <w:p>
            <w:pPr>
              <w:pStyle w:val="TableParagraph"/>
              <w:spacing w:before="1"/>
              <w:ind w:left="50"/>
              <w:rPr>
                <w:sz w:val="20"/>
              </w:rPr>
            </w:pPr>
            <w:r>
              <w:rPr>
                <w:sz w:val="20"/>
              </w:rPr>
              <w:t>Total</w:t>
            </w:r>
            <w:r>
              <w:rPr>
                <w:spacing w:val="-4"/>
                <w:sz w:val="20"/>
              </w:rPr>
              <w:t> </w:t>
            </w:r>
            <w:r>
              <w:rPr>
                <w:sz w:val="20"/>
              </w:rPr>
              <w:t>grant</w:t>
            </w:r>
            <w:r>
              <w:rPr>
                <w:spacing w:val="-4"/>
                <w:sz w:val="20"/>
              </w:rPr>
              <w:t> </w:t>
            </w:r>
            <w:r>
              <w:rPr>
                <w:sz w:val="20"/>
              </w:rPr>
              <w:t>and</w:t>
            </w:r>
            <w:r>
              <w:rPr>
                <w:spacing w:val="-6"/>
                <w:sz w:val="20"/>
              </w:rPr>
              <w:t> </w:t>
            </w:r>
            <w:r>
              <w:rPr>
                <w:sz w:val="20"/>
              </w:rPr>
              <w:t>fee</w:t>
            </w:r>
            <w:r>
              <w:rPr>
                <w:spacing w:val="-6"/>
                <w:sz w:val="20"/>
              </w:rPr>
              <w:t> </w:t>
            </w:r>
            <w:r>
              <w:rPr>
                <w:spacing w:val="-2"/>
                <w:sz w:val="20"/>
              </w:rPr>
              <w:t>income</w:t>
            </w:r>
          </w:p>
        </w:tc>
        <w:tc>
          <w:tcPr>
            <w:tcW w:w="1433" w:type="dxa"/>
          </w:tcPr>
          <w:p>
            <w:pPr>
              <w:pStyle w:val="TableParagraph"/>
              <w:spacing w:before="1"/>
              <w:ind w:right="252"/>
              <w:jc w:val="right"/>
              <w:rPr>
                <w:sz w:val="20"/>
              </w:rPr>
            </w:pPr>
            <w:r>
              <w:rPr>
                <w:sz w:val="20"/>
              </w:rPr>
              <mc:AlternateContent>
                <mc:Choice Requires="wps">
                  <w:drawing>
                    <wp:anchor distT="0" distB="0" distL="0" distR="0" allowOverlap="1" layoutInCell="1" locked="0" behindDoc="0" simplePos="0" relativeHeight="15737856">
                      <wp:simplePos x="0" y="0"/>
                      <wp:positionH relativeFrom="column">
                        <wp:posOffset>89897</wp:posOffset>
                      </wp:positionH>
                      <wp:positionV relativeFrom="paragraph">
                        <wp:posOffset>212723</wp:posOffset>
                      </wp:positionV>
                      <wp:extent cx="730250" cy="1841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730250" cy="18415"/>
                                <a:chExt cx="730250" cy="18415"/>
                              </a:xfrm>
                            </wpg:grpSpPr>
                            <wps:wsp>
                              <wps:cNvPr id="76" name="Graphic 76"/>
                              <wps:cNvSpPr/>
                              <wps:spPr>
                                <a:xfrm>
                                  <a:off x="0" y="0"/>
                                  <a:ext cx="730250" cy="18415"/>
                                </a:xfrm>
                                <a:custGeom>
                                  <a:avLst/>
                                  <a:gdLst/>
                                  <a:ahLst/>
                                  <a:cxnLst/>
                                  <a:rect l="l" t="t" r="r" b="b"/>
                                  <a:pathLst>
                                    <a:path w="730250" h="18415">
                                      <a:moveTo>
                                        <a:pt x="729996" y="12179"/>
                                      </a:moveTo>
                                      <a:lnTo>
                                        <a:pt x="0" y="12179"/>
                                      </a:lnTo>
                                      <a:lnTo>
                                        <a:pt x="0" y="18288"/>
                                      </a:lnTo>
                                      <a:lnTo>
                                        <a:pt x="729996" y="18288"/>
                                      </a:lnTo>
                                      <a:lnTo>
                                        <a:pt x="729996" y="12179"/>
                                      </a:lnTo>
                                      <a:close/>
                                    </a:path>
                                    <a:path w="730250" h="18415">
                                      <a:moveTo>
                                        <a:pt x="729996" y="0"/>
                                      </a:moveTo>
                                      <a:lnTo>
                                        <a:pt x="0" y="0"/>
                                      </a:lnTo>
                                      <a:lnTo>
                                        <a:pt x="0" y="6096"/>
                                      </a:lnTo>
                                      <a:lnTo>
                                        <a:pt x="729996" y="6096"/>
                                      </a:lnTo>
                                      <a:lnTo>
                                        <a:pt x="7299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78581pt;margin-top:16.749878pt;width:57.5pt;height:1.45pt;mso-position-horizontal-relative:column;mso-position-vertical-relative:paragraph;z-index:15737856" id="docshapegroup65" coordorigin="142,335" coordsize="1150,29">
                      <v:shape style="position:absolute;left:141;top:335;width:1150;height:29" id="docshape66" coordorigin="142,335" coordsize="1150,29" path="m1291,354l142,354,142,364,1291,364,1291,354xm1291,335l142,335,142,345,1291,345,1291,335xe" filled="true" fillcolor="#000000" stroked="false">
                        <v:path arrowok="t"/>
                        <v:fill type="solid"/>
                      </v:shape>
                      <w10:wrap type="none"/>
                    </v:group>
                  </w:pict>
                </mc:Fallback>
              </mc:AlternateContent>
            </w:r>
            <w:r>
              <w:rPr>
                <w:spacing w:val="-2"/>
                <w:sz w:val="20"/>
              </w:rPr>
              <w:t>29,925</w:t>
            </w:r>
          </w:p>
        </w:tc>
        <w:tc>
          <w:tcPr>
            <w:tcW w:w="1345" w:type="dxa"/>
          </w:tcPr>
          <w:p>
            <w:pPr>
              <w:pStyle w:val="TableParagraph"/>
              <w:spacing w:before="1"/>
              <w:ind w:left="412"/>
              <w:rPr>
                <w:sz w:val="20"/>
              </w:rPr>
            </w:pPr>
            <w:r>
              <w:rPr>
                <w:sz w:val="20"/>
              </w:rPr>
              <mc:AlternateContent>
                <mc:Choice Requires="wps">
                  <w:drawing>
                    <wp:anchor distT="0" distB="0" distL="0" distR="0" allowOverlap="1" layoutInCell="1" locked="0" behindDoc="0" simplePos="0" relativeHeight="15738368">
                      <wp:simplePos x="0" y="0"/>
                      <wp:positionH relativeFrom="column">
                        <wp:posOffset>80772</wp:posOffset>
                      </wp:positionH>
                      <wp:positionV relativeFrom="paragraph">
                        <wp:posOffset>212723</wp:posOffset>
                      </wp:positionV>
                      <wp:extent cx="638810" cy="1841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638810" cy="18415"/>
                                <a:chExt cx="638810" cy="18415"/>
                              </a:xfrm>
                            </wpg:grpSpPr>
                            <wps:wsp>
                              <wps:cNvPr id="78" name="Graphic 78"/>
                              <wps:cNvSpPr/>
                              <wps:spPr>
                                <a:xfrm>
                                  <a:off x="0" y="0"/>
                                  <a:ext cx="638810" cy="18415"/>
                                </a:xfrm>
                                <a:custGeom>
                                  <a:avLst/>
                                  <a:gdLst/>
                                  <a:ahLst/>
                                  <a:cxnLst/>
                                  <a:rect l="l" t="t" r="r" b="b"/>
                                  <a:pathLst>
                                    <a:path w="638810" h="18415">
                                      <a:moveTo>
                                        <a:pt x="638543" y="12179"/>
                                      </a:moveTo>
                                      <a:lnTo>
                                        <a:pt x="0" y="12179"/>
                                      </a:lnTo>
                                      <a:lnTo>
                                        <a:pt x="0" y="18288"/>
                                      </a:lnTo>
                                      <a:lnTo>
                                        <a:pt x="638543" y="18288"/>
                                      </a:lnTo>
                                      <a:lnTo>
                                        <a:pt x="638543" y="12179"/>
                                      </a:lnTo>
                                      <a:close/>
                                    </a:path>
                                    <a:path w="638810" h="18415">
                                      <a:moveTo>
                                        <a:pt x="638543" y="0"/>
                                      </a:moveTo>
                                      <a:lnTo>
                                        <a:pt x="0" y="0"/>
                                      </a:lnTo>
                                      <a:lnTo>
                                        <a:pt x="0" y="6096"/>
                                      </a:lnTo>
                                      <a:lnTo>
                                        <a:pt x="638543" y="6096"/>
                                      </a:lnTo>
                                      <a:lnTo>
                                        <a:pt x="6385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36pt;margin-top:16.749878pt;width:50.3pt;height:1.45pt;mso-position-horizontal-relative:column;mso-position-vertical-relative:paragraph;z-index:15738368" id="docshapegroup67" coordorigin="127,335" coordsize="1006,29">
                      <v:shape style="position:absolute;left:127;top:335;width:1006;height:29" id="docshape68" coordorigin="127,335" coordsize="1006,29" path="m1133,354l127,354,127,364,1133,364,1133,354xm1133,335l127,335,127,345,1133,345,1133,335xe" filled="true" fillcolor="#000000" stroked="false">
                        <v:path arrowok="t"/>
                        <v:fill type="solid"/>
                      </v:shape>
                      <w10:wrap type="none"/>
                    </v:group>
                  </w:pict>
                </mc:Fallback>
              </mc:AlternateContent>
            </w:r>
            <w:r>
              <w:rPr>
                <w:spacing w:val="-2"/>
                <w:sz w:val="20"/>
              </w:rPr>
              <w:t>29,925</w:t>
            </w:r>
          </w:p>
        </w:tc>
        <w:tc>
          <w:tcPr>
            <w:tcW w:w="1347" w:type="dxa"/>
          </w:tcPr>
          <w:p>
            <w:pPr>
              <w:pStyle w:val="TableParagraph"/>
              <w:spacing w:before="1"/>
              <w:ind w:left="488"/>
              <w:rPr>
                <w:sz w:val="20"/>
              </w:rPr>
            </w:pPr>
            <w:r>
              <w:rPr>
                <w:sz w:val="20"/>
              </w:rPr>
              <mc:AlternateContent>
                <mc:Choice Requires="wps">
                  <w:drawing>
                    <wp:anchor distT="0" distB="0" distL="0" distR="0" allowOverlap="1" layoutInCell="1" locked="0" behindDoc="0" simplePos="0" relativeHeight="15738880">
                      <wp:simplePos x="0" y="0"/>
                      <wp:positionH relativeFrom="column">
                        <wp:posOffset>125729</wp:posOffset>
                      </wp:positionH>
                      <wp:positionV relativeFrom="paragraph">
                        <wp:posOffset>212723</wp:posOffset>
                      </wp:positionV>
                      <wp:extent cx="640080" cy="1841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40080" cy="18415"/>
                                <a:chExt cx="640080" cy="18415"/>
                              </a:xfrm>
                            </wpg:grpSpPr>
                            <wps:wsp>
                              <wps:cNvPr id="80" name="Graphic 80"/>
                              <wps:cNvSpPr/>
                              <wps:spPr>
                                <a:xfrm>
                                  <a:off x="0" y="0"/>
                                  <a:ext cx="640080" cy="18415"/>
                                </a:xfrm>
                                <a:custGeom>
                                  <a:avLst/>
                                  <a:gdLst/>
                                  <a:ahLst/>
                                  <a:cxnLst/>
                                  <a:rect l="l" t="t" r="r" b="b"/>
                                  <a:pathLst>
                                    <a:path w="640080" h="18415">
                                      <a:moveTo>
                                        <a:pt x="640080" y="12179"/>
                                      </a:moveTo>
                                      <a:lnTo>
                                        <a:pt x="0" y="12179"/>
                                      </a:lnTo>
                                      <a:lnTo>
                                        <a:pt x="0" y="18288"/>
                                      </a:lnTo>
                                      <a:lnTo>
                                        <a:pt x="640080" y="18288"/>
                                      </a:lnTo>
                                      <a:lnTo>
                                        <a:pt x="640080" y="12179"/>
                                      </a:lnTo>
                                      <a:close/>
                                    </a:path>
                                    <a:path w="640080" h="18415">
                                      <a:moveTo>
                                        <a:pt x="640080" y="0"/>
                                      </a:moveTo>
                                      <a:lnTo>
                                        <a:pt x="0" y="0"/>
                                      </a:lnTo>
                                      <a:lnTo>
                                        <a:pt x="0" y="6096"/>
                                      </a:lnTo>
                                      <a:lnTo>
                                        <a:pt x="640080" y="6096"/>
                                      </a:lnTo>
                                      <a:lnTo>
                                        <a:pt x="640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9pt;margin-top:16.749878pt;width:50.4pt;height:1.45pt;mso-position-horizontal-relative:column;mso-position-vertical-relative:paragraph;z-index:15738880" id="docshapegroup69" coordorigin="198,335" coordsize="1008,29">
                      <v:shape style="position:absolute;left:198;top:335;width:1008;height:29" id="docshape70" coordorigin="198,335" coordsize="1008,29" path="m1206,354l198,354,198,364,1206,364,1206,354xm1206,335l198,335,198,345,1206,345,1206,335xe" filled="true" fillcolor="#000000" stroked="false">
                        <v:path arrowok="t"/>
                        <v:fill type="solid"/>
                      </v:shape>
                      <w10:wrap type="none"/>
                    </v:group>
                  </w:pict>
                </mc:Fallback>
              </mc:AlternateContent>
            </w:r>
            <w:r>
              <w:rPr>
                <w:spacing w:val="-2"/>
                <w:sz w:val="20"/>
              </w:rPr>
              <w:t>29,101</w:t>
            </w:r>
          </w:p>
        </w:tc>
        <w:tc>
          <w:tcPr>
            <w:tcW w:w="1182" w:type="dxa"/>
          </w:tcPr>
          <w:p>
            <w:pPr>
              <w:pStyle w:val="TableParagraph"/>
              <w:spacing w:before="1"/>
              <w:ind w:left="413"/>
              <w:rPr>
                <w:sz w:val="20"/>
              </w:rPr>
            </w:pPr>
            <w:r>
              <w:rPr>
                <w:sz w:val="20"/>
              </w:rPr>
              <mc:AlternateContent>
                <mc:Choice Requires="wps">
                  <w:drawing>
                    <wp:anchor distT="0" distB="0" distL="0" distR="0" allowOverlap="1" layoutInCell="1" locked="0" behindDoc="0" simplePos="0" relativeHeight="15739392">
                      <wp:simplePos x="0" y="0"/>
                      <wp:positionH relativeFrom="column">
                        <wp:posOffset>80772</wp:posOffset>
                      </wp:positionH>
                      <wp:positionV relativeFrom="paragraph">
                        <wp:posOffset>212723</wp:posOffset>
                      </wp:positionV>
                      <wp:extent cx="638810" cy="1841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638810" cy="18415"/>
                                <a:chExt cx="638810" cy="18415"/>
                              </a:xfrm>
                            </wpg:grpSpPr>
                            <wps:wsp>
                              <wps:cNvPr id="82" name="Graphic 82"/>
                              <wps:cNvSpPr/>
                              <wps:spPr>
                                <a:xfrm>
                                  <a:off x="0" y="0"/>
                                  <a:ext cx="638810" cy="18415"/>
                                </a:xfrm>
                                <a:custGeom>
                                  <a:avLst/>
                                  <a:gdLst/>
                                  <a:ahLst/>
                                  <a:cxnLst/>
                                  <a:rect l="l" t="t" r="r" b="b"/>
                                  <a:pathLst>
                                    <a:path w="638810" h="18415">
                                      <a:moveTo>
                                        <a:pt x="638556" y="12179"/>
                                      </a:moveTo>
                                      <a:lnTo>
                                        <a:pt x="0" y="12179"/>
                                      </a:lnTo>
                                      <a:lnTo>
                                        <a:pt x="0" y="18288"/>
                                      </a:lnTo>
                                      <a:lnTo>
                                        <a:pt x="638556" y="18288"/>
                                      </a:lnTo>
                                      <a:lnTo>
                                        <a:pt x="638556" y="12179"/>
                                      </a:lnTo>
                                      <a:close/>
                                    </a:path>
                                    <a:path w="638810" h="18415">
                                      <a:moveTo>
                                        <a:pt x="638556" y="0"/>
                                      </a:moveTo>
                                      <a:lnTo>
                                        <a:pt x="0" y="0"/>
                                      </a:lnTo>
                                      <a:lnTo>
                                        <a:pt x="0" y="6096"/>
                                      </a:lnTo>
                                      <a:lnTo>
                                        <a:pt x="638556" y="6096"/>
                                      </a:lnTo>
                                      <a:lnTo>
                                        <a:pt x="6385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36pt;margin-top:16.749878pt;width:50.3pt;height:1.45pt;mso-position-horizontal-relative:column;mso-position-vertical-relative:paragraph;z-index:15739392" id="docshapegroup71" coordorigin="127,335" coordsize="1006,29">
                      <v:shape style="position:absolute;left:127;top:335;width:1006;height:29" id="docshape72" coordorigin="127,335" coordsize="1006,29" path="m1133,354l127,354,127,364,1133,364,1133,354xm1133,335l127,335,127,345,1133,345,1133,335xe" filled="true" fillcolor="#000000" stroked="false">
                        <v:path arrowok="t"/>
                        <v:fill type="solid"/>
                      </v:shape>
                      <w10:wrap type="none"/>
                    </v:group>
                  </w:pict>
                </mc:Fallback>
              </mc:AlternateContent>
            </w:r>
            <w:r>
              <w:rPr>
                <w:spacing w:val="-2"/>
                <w:sz w:val="20"/>
              </w:rPr>
              <w:t>29,101</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2"/>
        <w:rPr>
          <w:b/>
        </w:rPr>
      </w:pPr>
      <w:r>
        <w:rPr>
          <w:b/>
        </w:rPr>
        <mc:AlternateContent>
          <mc:Choice Requires="wps">
            <w:drawing>
              <wp:anchor distT="0" distB="0" distL="0" distR="0" allowOverlap="1" layoutInCell="1" locked="0" behindDoc="1" simplePos="0" relativeHeight="487596544">
                <wp:simplePos x="0" y="0"/>
                <wp:positionH relativeFrom="page">
                  <wp:posOffset>701040</wp:posOffset>
                </wp:positionH>
                <wp:positionV relativeFrom="paragraph">
                  <wp:posOffset>226102</wp:posOffset>
                </wp:positionV>
                <wp:extent cx="6373495" cy="635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6373495" cy="6350"/>
                        </a:xfrm>
                        <a:custGeom>
                          <a:avLst/>
                          <a:gdLst/>
                          <a:ahLst/>
                          <a:cxnLst/>
                          <a:rect l="l" t="t" r="r" b="b"/>
                          <a:pathLst>
                            <a:path w="6373495" h="6350">
                              <a:moveTo>
                                <a:pt x="6373368" y="0"/>
                              </a:moveTo>
                              <a:lnTo>
                                <a:pt x="0" y="0"/>
                              </a:lnTo>
                              <a:lnTo>
                                <a:pt x="0" y="6108"/>
                              </a:lnTo>
                              <a:lnTo>
                                <a:pt x="6373368" y="6108"/>
                              </a:lnTo>
                              <a:lnTo>
                                <a:pt x="6373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7.803335pt;width:501.84pt;height:.481pt;mso-position-horizontal-relative:page;mso-position-vertical-relative:paragraph;z-index:-15719936;mso-wrap-distance-left:0;mso-wrap-distance-right:0" id="docshape73" filled="true" fillcolor="#000000" stroked="false">
                <v:fill type="solid"/>
                <w10:wrap type="topAndBottom"/>
              </v:rect>
            </w:pict>
          </mc:Fallback>
        </mc:AlternateContent>
      </w:r>
    </w:p>
    <w:p>
      <w:pPr>
        <w:pStyle w:val="BodyText"/>
        <w:spacing w:after="0"/>
        <w:rPr>
          <w:b/>
        </w:rPr>
        <w:sectPr>
          <w:headerReference w:type="default" r:id="rId38"/>
          <w:footerReference w:type="default" r:id="rId39"/>
          <w:pgSz w:w="11910" w:h="16850"/>
          <w:pgMar w:header="0" w:footer="705" w:top="360" w:bottom="900" w:left="566" w:right="708"/>
        </w:sectPr>
      </w:pPr>
    </w:p>
    <w:p>
      <w:pPr>
        <w:pStyle w:val="BodyText"/>
        <w:rPr>
          <w:b/>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numPr>
          <w:ilvl w:val="0"/>
          <w:numId w:val="13"/>
        </w:numPr>
        <w:tabs>
          <w:tab w:pos="852" w:val="left" w:leader="none"/>
        </w:tabs>
        <w:spacing w:line="240" w:lineRule="auto" w:before="0" w:after="0"/>
        <w:ind w:left="852" w:right="0" w:hanging="427"/>
        <w:jc w:val="left"/>
      </w:pPr>
      <w:r>
        <w:rPr/>
        <w:t>Other</w:t>
      </w:r>
      <w:r>
        <w:rPr>
          <w:spacing w:val="-4"/>
        </w:rPr>
        <w:t> </w:t>
      </w:r>
      <w:r>
        <w:rPr>
          <w:spacing w:val="-2"/>
        </w:rPr>
        <w:t>income</w:t>
      </w:r>
    </w:p>
    <w:p>
      <w:pPr>
        <w:tabs>
          <w:tab w:pos="8417" w:val="left" w:leader="none"/>
        </w:tabs>
        <w:spacing w:before="20"/>
        <w:ind w:left="5652"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p>
      <w:pPr>
        <w:pStyle w:val="BodyText"/>
        <w:spacing w:before="1"/>
        <w:rPr>
          <w:b/>
          <w:sz w:val="6"/>
        </w:rPr>
      </w:pPr>
    </w:p>
    <w:tbl>
      <w:tblPr>
        <w:tblW w:w="0" w:type="auto"/>
        <w:jc w:val="left"/>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6"/>
        <w:gridCol w:w="1142"/>
        <w:gridCol w:w="276"/>
        <w:gridCol w:w="998"/>
        <w:gridCol w:w="420"/>
        <w:gridCol w:w="998"/>
        <w:gridCol w:w="276"/>
        <w:gridCol w:w="1001"/>
      </w:tblGrid>
      <w:tr>
        <w:trPr>
          <w:trHeight w:val="921" w:hRule="atLeast"/>
        </w:trPr>
        <w:tc>
          <w:tcPr>
            <w:tcW w:w="4046" w:type="dxa"/>
          </w:tcPr>
          <w:p>
            <w:pPr>
              <w:pStyle w:val="TableParagraph"/>
              <w:rPr>
                <w:rFonts w:ascii="Times New Roman"/>
                <w:sz w:val="20"/>
              </w:rPr>
            </w:pPr>
          </w:p>
        </w:tc>
        <w:tc>
          <w:tcPr>
            <w:tcW w:w="1142" w:type="dxa"/>
          </w:tcPr>
          <w:p>
            <w:pPr>
              <w:pStyle w:val="TableParagraph"/>
              <w:spacing w:line="223" w:lineRule="exact"/>
              <w:ind w:right="110"/>
              <w:jc w:val="right"/>
              <w:rPr>
                <w:b/>
                <w:sz w:val="20"/>
              </w:rPr>
            </w:pPr>
            <w:r>
              <w:rPr>
                <w:b/>
                <w:spacing w:val="-4"/>
                <w:sz w:val="20"/>
              </w:rPr>
              <w:t>2023</w:t>
            </w:r>
          </w:p>
          <w:p>
            <w:pPr>
              <w:pStyle w:val="TableParagraph"/>
              <w:spacing w:before="39"/>
              <w:ind w:right="108"/>
              <w:jc w:val="right"/>
              <w:rPr>
                <w:b/>
                <w:sz w:val="20"/>
              </w:rPr>
            </w:pPr>
            <w:r>
              <w:rPr>
                <w:b/>
                <w:spacing w:val="-4"/>
                <w:sz w:val="20"/>
              </w:rPr>
              <w:t>Group</w:t>
            </w:r>
          </w:p>
          <w:p>
            <w:pPr>
              <w:pStyle w:val="TableParagraph"/>
              <w:spacing w:before="41"/>
              <w:ind w:right="110"/>
              <w:jc w:val="right"/>
              <w:rPr>
                <w:b/>
                <w:sz w:val="20"/>
              </w:rPr>
            </w:pPr>
            <w:r>
              <w:rPr>
                <w:b/>
                <w:spacing w:val="-2"/>
                <w:sz w:val="20"/>
              </w:rPr>
              <w:t>£’000</w:t>
            </w:r>
          </w:p>
        </w:tc>
        <w:tc>
          <w:tcPr>
            <w:tcW w:w="276" w:type="dxa"/>
          </w:tcPr>
          <w:p>
            <w:pPr>
              <w:pStyle w:val="TableParagraph"/>
              <w:rPr>
                <w:rFonts w:ascii="Times New Roman"/>
                <w:sz w:val="20"/>
              </w:rPr>
            </w:pPr>
          </w:p>
        </w:tc>
        <w:tc>
          <w:tcPr>
            <w:tcW w:w="998" w:type="dxa"/>
          </w:tcPr>
          <w:p>
            <w:pPr>
              <w:pStyle w:val="TableParagraph"/>
              <w:spacing w:line="223" w:lineRule="exact"/>
              <w:ind w:right="109"/>
              <w:jc w:val="right"/>
              <w:rPr>
                <w:b/>
                <w:sz w:val="20"/>
              </w:rPr>
            </w:pPr>
            <w:r>
              <w:rPr>
                <w:b/>
                <w:spacing w:val="-4"/>
                <w:sz w:val="20"/>
              </w:rPr>
              <w:t>2023</w:t>
            </w:r>
          </w:p>
          <w:p>
            <w:pPr>
              <w:pStyle w:val="TableParagraph"/>
              <w:spacing w:before="39"/>
              <w:ind w:right="109"/>
              <w:jc w:val="right"/>
              <w:rPr>
                <w:b/>
                <w:sz w:val="20"/>
              </w:rPr>
            </w:pPr>
            <w:r>
              <w:rPr>
                <w:b/>
                <w:spacing w:val="-2"/>
                <w:sz w:val="20"/>
              </w:rPr>
              <w:t>College</w:t>
            </w:r>
          </w:p>
          <w:p>
            <w:pPr>
              <w:pStyle w:val="TableParagraph"/>
              <w:spacing w:before="41"/>
              <w:ind w:right="109"/>
              <w:jc w:val="right"/>
              <w:rPr>
                <w:b/>
                <w:sz w:val="20"/>
              </w:rPr>
            </w:pPr>
            <w:r>
              <w:rPr>
                <w:b/>
                <w:spacing w:val="-2"/>
                <w:sz w:val="20"/>
              </w:rPr>
              <w:t>£’000</w:t>
            </w:r>
          </w:p>
        </w:tc>
        <w:tc>
          <w:tcPr>
            <w:tcW w:w="420" w:type="dxa"/>
          </w:tcPr>
          <w:p>
            <w:pPr>
              <w:pStyle w:val="TableParagraph"/>
              <w:rPr>
                <w:rFonts w:ascii="Times New Roman"/>
                <w:sz w:val="20"/>
              </w:rPr>
            </w:pPr>
          </w:p>
        </w:tc>
        <w:tc>
          <w:tcPr>
            <w:tcW w:w="998" w:type="dxa"/>
          </w:tcPr>
          <w:p>
            <w:pPr>
              <w:pStyle w:val="TableParagraph"/>
              <w:spacing w:line="223" w:lineRule="exact"/>
              <w:ind w:right="109"/>
              <w:jc w:val="right"/>
              <w:rPr>
                <w:b/>
                <w:sz w:val="20"/>
              </w:rPr>
            </w:pPr>
            <w:r>
              <w:rPr>
                <w:b/>
                <w:spacing w:val="-4"/>
                <w:sz w:val="20"/>
              </w:rPr>
              <w:t>2022</w:t>
            </w:r>
          </w:p>
          <w:p>
            <w:pPr>
              <w:pStyle w:val="TableParagraph"/>
              <w:spacing w:before="39"/>
              <w:ind w:right="107"/>
              <w:jc w:val="right"/>
              <w:rPr>
                <w:b/>
                <w:sz w:val="20"/>
              </w:rPr>
            </w:pPr>
            <w:r>
              <w:rPr>
                <w:b/>
                <w:spacing w:val="-4"/>
                <w:sz w:val="20"/>
              </w:rPr>
              <w:t>Group</w:t>
            </w:r>
          </w:p>
          <w:p>
            <w:pPr>
              <w:pStyle w:val="TableParagraph"/>
              <w:spacing w:before="41"/>
              <w:ind w:right="109"/>
              <w:jc w:val="right"/>
              <w:rPr>
                <w:b/>
                <w:sz w:val="20"/>
              </w:rPr>
            </w:pPr>
            <w:r>
              <w:rPr>
                <w:b/>
                <w:spacing w:val="-2"/>
                <w:sz w:val="20"/>
              </w:rPr>
              <w:t>£’000</w:t>
            </w:r>
          </w:p>
        </w:tc>
        <w:tc>
          <w:tcPr>
            <w:tcW w:w="276" w:type="dxa"/>
          </w:tcPr>
          <w:p>
            <w:pPr>
              <w:pStyle w:val="TableParagraph"/>
              <w:rPr>
                <w:rFonts w:ascii="Times New Roman"/>
                <w:sz w:val="20"/>
              </w:rPr>
            </w:pPr>
          </w:p>
        </w:tc>
        <w:tc>
          <w:tcPr>
            <w:tcW w:w="1001" w:type="dxa"/>
          </w:tcPr>
          <w:p>
            <w:pPr>
              <w:pStyle w:val="TableParagraph"/>
              <w:spacing w:line="223" w:lineRule="exact"/>
              <w:ind w:right="107"/>
              <w:jc w:val="right"/>
              <w:rPr>
                <w:b/>
                <w:sz w:val="20"/>
              </w:rPr>
            </w:pPr>
            <w:r>
              <w:rPr>
                <w:b/>
                <w:spacing w:val="-4"/>
                <w:sz w:val="20"/>
              </w:rPr>
              <w:t>2022</w:t>
            </w:r>
          </w:p>
          <w:p>
            <w:pPr>
              <w:pStyle w:val="TableParagraph"/>
              <w:spacing w:before="39"/>
              <w:ind w:right="107"/>
              <w:jc w:val="right"/>
              <w:rPr>
                <w:b/>
                <w:sz w:val="20"/>
              </w:rPr>
            </w:pPr>
            <w:r>
              <w:rPr>
                <w:b/>
                <w:spacing w:val="-2"/>
                <w:sz w:val="20"/>
              </w:rPr>
              <w:t>College</w:t>
            </w:r>
          </w:p>
          <w:p>
            <w:pPr>
              <w:pStyle w:val="TableParagraph"/>
              <w:spacing w:before="41"/>
              <w:ind w:right="107"/>
              <w:jc w:val="right"/>
              <w:rPr>
                <w:b/>
                <w:sz w:val="20"/>
              </w:rPr>
            </w:pPr>
            <w:r>
              <w:rPr>
                <w:b/>
                <w:spacing w:val="-2"/>
                <w:sz w:val="20"/>
              </w:rPr>
              <w:t>£’000</w:t>
            </w:r>
          </w:p>
        </w:tc>
      </w:tr>
      <w:tr>
        <w:trPr>
          <w:trHeight w:val="404" w:hRule="atLeast"/>
        </w:trPr>
        <w:tc>
          <w:tcPr>
            <w:tcW w:w="4046" w:type="dxa"/>
          </w:tcPr>
          <w:p>
            <w:pPr>
              <w:pStyle w:val="TableParagraph"/>
              <w:spacing w:before="151"/>
              <w:ind w:left="50"/>
              <w:rPr>
                <w:sz w:val="20"/>
              </w:rPr>
            </w:pPr>
            <w:r>
              <w:rPr>
                <w:spacing w:val="-2"/>
                <w:sz w:val="20"/>
              </w:rPr>
              <w:t>Catering</w:t>
            </w:r>
          </w:p>
        </w:tc>
        <w:tc>
          <w:tcPr>
            <w:tcW w:w="1142" w:type="dxa"/>
          </w:tcPr>
          <w:p>
            <w:pPr>
              <w:pStyle w:val="TableParagraph"/>
              <w:spacing w:before="151"/>
              <w:ind w:right="110"/>
              <w:jc w:val="right"/>
              <w:rPr>
                <w:sz w:val="20"/>
              </w:rPr>
            </w:pPr>
            <w:r>
              <w:rPr>
                <w:spacing w:val="-5"/>
                <w:sz w:val="20"/>
              </w:rPr>
              <w:t>106</w:t>
            </w:r>
          </w:p>
        </w:tc>
        <w:tc>
          <w:tcPr>
            <w:tcW w:w="276" w:type="dxa"/>
          </w:tcPr>
          <w:p>
            <w:pPr>
              <w:pStyle w:val="TableParagraph"/>
              <w:rPr>
                <w:rFonts w:ascii="Times New Roman"/>
                <w:sz w:val="20"/>
              </w:rPr>
            </w:pPr>
          </w:p>
        </w:tc>
        <w:tc>
          <w:tcPr>
            <w:tcW w:w="998" w:type="dxa"/>
          </w:tcPr>
          <w:p>
            <w:pPr>
              <w:pStyle w:val="TableParagraph"/>
              <w:spacing w:before="151"/>
              <w:ind w:right="110"/>
              <w:jc w:val="right"/>
              <w:rPr>
                <w:sz w:val="20"/>
              </w:rPr>
            </w:pPr>
            <w:r>
              <w:rPr>
                <w:spacing w:val="-5"/>
                <w:sz w:val="20"/>
              </w:rPr>
              <w:t>106</w:t>
            </w:r>
          </w:p>
        </w:tc>
        <w:tc>
          <w:tcPr>
            <w:tcW w:w="420" w:type="dxa"/>
          </w:tcPr>
          <w:p>
            <w:pPr>
              <w:pStyle w:val="TableParagraph"/>
              <w:rPr>
                <w:rFonts w:ascii="Times New Roman"/>
                <w:sz w:val="20"/>
              </w:rPr>
            </w:pPr>
          </w:p>
        </w:tc>
        <w:tc>
          <w:tcPr>
            <w:tcW w:w="998" w:type="dxa"/>
          </w:tcPr>
          <w:p>
            <w:pPr>
              <w:pStyle w:val="TableParagraph"/>
              <w:spacing w:before="151"/>
              <w:ind w:right="109"/>
              <w:jc w:val="right"/>
              <w:rPr>
                <w:sz w:val="20"/>
              </w:rPr>
            </w:pPr>
            <w:r>
              <w:rPr>
                <w:spacing w:val="-5"/>
                <w:sz w:val="20"/>
              </w:rPr>
              <w:t>150</w:t>
            </w:r>
          </w:p>
        </w:tc>
        <w:tc>
          <w:tcPr>
            <w:tcW w:w="276" w:type="dxa"/>
          </w:tcPr>
          <w:p>
            <w:pPr>
              <w:pStyle w:val="TableParagraph"/>
              <w:rPr>
                <w:rFonts w:ascii="Times New Roman"/>
                <w:sz w:val="20"/>
              </w:rPr>
            </w:pPr>
          </w:p>
        </w:tc>
        <w:tc>
          <w:tcPr>
            <w:tcW w:w="1001" w:type="dxa"/>
          </w:tcPr>
          <w:p>
            <w:pPr>
              <w:pStyle w:val="TableParagraph"/>
              <w:spacing w:before="151"/>
              <w:ind w:right="107"/>
              <w:jc w:val="right"/>
              <w:rPr>
                <w:sz w:val="20"/>
              </w:rPr>
            </w:pPr>
            <w:r>
              <w:rPr>
                <w:spacing w:val="-5"/>
                <w:sz w:val="20"/>
              </w:rPr>
              <w:t>150</w:t>
            </w:r>
          </w:p>
        </w:tc>
      </w:tr>
      <w:tr>
        <w:trPr>
          <w:trHeight w:val="270" w:hRule="atLeast"/>
        </w:trPr>
        <w:tc>
          <w:tcPr>
            <w:tcW w:w="4046" w:type="dxa"/>
          </w:tcPr>
          <w:p>
            <w:pPr>
              <w:pStyle w:val="TableParagraph"/>
              <w:spacing w:before="16"/>
              <w:ind w:left="50"/>
              <w:rPr>
                <w:sz w:val="20"/>
              </w:rPr>
            </w:pPr>
            <w:r>
              <w:rPr>
                <w:sz w:val="20"/>
              </w:rPr>
              <w:t>Other</w:t>
            </w:r>
            <w:r>
              <w:rPr>
                <w:spacing w:val="-9"/>
                <w:sz w:val="20"/>
              </w:rPr>
              <w:t> </w:t>
            </w:r>
            <w:r>
              <w:rPr>
                <w:sz w:val="20"/>
              </w:rPr>
              <w:t>income</w:t>
            </w:r>
            <w:r>
              <w:rPr>
                <w:spacing w:val="-8"/>
                <w:sz w:val="20"/>
              </w:rPr>
              <w:t> </w:t>
            </w:r>
            <w:r>
              <w:rPr>
                <w:sz w:val="20"/>
              </w:rPr>
              <w:t>generating</w:t>
            </w:r>
            <w:r>
              <w:rPr>
                <w:spacing w:val="-8"/>
                <w:sz w:val="20"/>
              </w:rPr>
              <w:t> </w:t>
            </w:r>
            <w:r>
              <w:rPr>
                <w:spacing w:val="-2"/>
                <w:sz w:val="20"/>
              </w:rPr>
              <w:t>activities</w:t>
            </w:r>
          </w:p>
        </w:tc>
        <w:tc>
          <w:tcPr>
            <w:tcW w:w="1142" w:type="dxa"/>
          </w:tcPr>
          <w:p>
            <w:pPr>
              <w:pStyle w:val="TableParagraph"/>
              <w:spacing w:before="16"/>
              <w:ind w:right="110"/>
              <w:jc w:val="right"/>
              <w:rPr>
                <w:sz w:val="20"/>
              </w:rPr>
            </w:pPr>
            <w:r>
              <w:rPr>
                <w:spacing w:val="-5"/>
                <w:sz w:val="20"/>
              </w:rPr>
              <w:t>10</w:t>
            </w:r>
          </w:p>
        </w:tc>
        <w:tc>
          <w:tcPr>
            <w:tcW w:w="276" w:type="dxa"/>
          </w:tcPr>
          <w:p>
            <w:pPr>
              <w:pStyle w:val="TableParagraph"/>
              <w:rPr>
                <w:rFonts w:ascii="Times New Roman"/>
                <w:sz w:val="20"/>
              </w:rPr>
            </w:pPr>
          </w:p>
        </w:tc>
        <w:tc>
          <w:tcPr>
            <w:tcW w:w="998" w:type="dxa"/>
          </w:tcPr>
          <w:p>
            <w:pPr>
              <w:pStyle w:val="TableParagraph"/>
              <w:spacing w:before="16"/>
              <w:ind w:right="110"/>
              <w:jc w:val="right"/>
              <w:rPr>
                <w:sz w:val="20"/>
              </w:rPr>
            </w:pPr>
            <w:r>
              <w:rPr>
                <w:spacing w:val="-5"/>
                <w:sz w:val="20"/>
              </w:rPr>
              <w:t>10</w:t>
            </w:r>
          </w:p>
        </w:tc>
        <w:tc>
          <w:tcPr>
            <w:tcW w:w="420" w:type="dxa"/>
          </w:tcPr>
          <w:p>
            <w:pPr>
              <w:pStyle w:val="TableParagraph"/>
              <w:rPr>
                <w:rFonts w:ascii="Times New Roman"/>
                <w:sz w:val="20"/>
              </w:rPr>
            </w:pPr>
          </w:p>
        </w:tc>
        <w:tc>
          <w:tcPr>
            <w:tcW w:w="998" w:type="dxa"/>
          </w:tcPr>
          <w:p>
            <w:pPr>
              <w:pStyle w:val="TableParagraph"/>
              <w:spacing w:before="16"/>
              <w:ind w:right="109"/>
              <w:jc w:val="right"/>
              <w:rPr>
                <w:sz w:val="20"/>
              </w:rPr>
            </w:pPr>
            <w:r>
              <w:rPr>
                <w:spacing w:val="-5"/>
                <w:sz w:val="20"/>
              </w:rPr>
              <w:t>19</w:t>
            </w:r>
          </w:p>
        </w:tc>
        <w:tc>
          <w:tcPr>
            <w:tcW w:w="276" w:type="dxa"/>
          </w:tcPr>
          <w:p>
            <w:pPr>
              <w:pStyle w:val="TableParagraph"/>
              <w:rPr>
                <w:rFonts w:ascii="Times New Roman"/>
                <w:sz w:val="20"/>
              </w:rPr>
            </w:pPr>
          </w:p>
        </w:tc>
        <w:tc>
          <w:tcPr>
            <w:tcW w:w="1001" w:type="dxa"/>
          </w:tcPr>
          <w:p>
            <w:pPr>
              <w:pStyle w:val="TableParagraph"/>
              <w:spacing w:before="16"/>
              <w:ind w:right="107"/>
              <w:jc w:val="right"/>
              <w:rPr>
                <w:sz w:val="20"/>
              </w:rPr>
            </w:pPr>
            <w:r>
              <w:rPr>
                <w:spacing w:val="-5"/>
                <w:sz w:val="20"/>
              </w:rPr>
              <w:t>19</w:t>
            </w:r>
          </w:p>
        </w:tc>
      </w:tr>
      <w:tr>
        <w:trPr>
          <w:trHeight w:val="270" w:hRule="atLeast"/>
        </w:trPr>
        <w:tc>
          <w:tcPr>
            <w:tcW w:w="4046" w:type="dxa"/>
          </w:tcPr>
          <w:p>
            <w:pPr>
              <w:pStyle w:val="TableParagraph"/>
              <w:spacing w:before="17"/>
              <w:ind w:left="50"/>
              <w:rPr>
                <w:sz w:val="20"/>
              </w:rPr>
            </w:pPr>
            <w:r>
              <w:rPr>
                <w:sz w:val="20"/>
              </w:rPr>
              <w:t>Examination</w:t>
            </w:r>
            <w:r>
              <w:rPr>
                <w:spacing w:val="-9"/>
                <w:sz w:val="20"/>
              </w:rPr>
              <w:t> </w:t>
            </w:r>
            <w:r>
              <w:rPr>
                <w:sz w:val="20"/>
              </w:rPr>
              <w:t>fees</w:t>
            </w:r>
            <w:r>
              <w:rPr>
                <w:spacing w:val="-8"/>
                <w:sz w:val="20"/>
              </w:rPr>
              <w:t> </w:t>
            </w:r>
            <w:r>
              <w:rPr>
                <w:spacing w:val="-2"/>
                <w:sz w:val="20"/>
              </w:rPr>
              <w:t>income</w:t>
            </w:r>
          </w:p>
        </w:tc>
        <w:tc>
          <w:tcPr>
            <w:tcW w:w="1142" w:type="dxa"/>
          </w:tcPr>
          <w:p>
            <w:pPr>
              <w:pStyle w:val="TableParagraph"/>
              <w:spacing w:before="17"/>
              <w:ind w:right="110"/>
              <w:jc w:val="right"/>
              <w:rPr>
                <w:sz w:val="20"/>
              </w:rPr>
            </w:pPr>
            <w:r>
              <w:rPr>
                <w:spacing w:val="-5"/>
                <w:sz w:val="20"/>
              </w:rPr>
              <w:t>11</w:t>
            </w:r>
          </w:p>
        </w:tc>
        <w:tc>
          <w:tcPr>
            <w:tcW w:w="276" w:type="dxa"/>
          </w:tcPr>
          <w:p>
            <w:pPr>
              <w:pStyle w:val="TableParagraph"/>
              <w:rPr>
                <w:rFonts w:ascii="Times New Roman"/>
                <w:sz w:val="20"/>
              </w:rPr>
            </w:pPr>
          </w:p>
        </w:tc>
        <w:tc>
          <w:tcPr>
            <w:tcW w:w="998" w:type="dxa"/>
          </w:tcPr>
          <w:p>
            <w:pPr>
              <w:pStyle w:val="TableParagraph"/>
              <w:spacing w:before="17"/>
              <w:ind w:right="110"/>
              <w:jc w:val="right"/>
              <w:rPr>
                <w:sz w:val="20"/>
              </w:rPr>
            </w:pPr>
            <w:r>
              <w:rPr>
                <w:spacing w:val="-5"/>
                <w:sz w:val="20"/>
              </w:rPr>
              <w:t>11</w:t>
            </w:r>
          </w:p>
        </w:tc>
        <w:tc>
          <w:tcPr>
            <w:tcW w:w="420" w:type="dxa"/>
          </w:tcPr>
          <w:p>
            <w:pPr>
              <w:pStyle w:val="TableParagraph"/>
              <w:rPr>
                <w:rFonts w:ascii="Times New Roman"/>
                <w:sz w:val="20"/>
              </w:rPr>
            </w:pPr>
          </w:p>
        </w:tc>
        <w:tc>
          <w:tcPr>
            <w:tcW w:w="998" w:type="dxa"/>
          </w:tcPr>
          <w:p>
            <w:pPr>
              <w:pStyle w:val="TableParagraph"/>
              <w:spacing w:before="17"/>
              <w:ind w:right="109"/>
              <w:jc w:val="right"/>
              <w:rPr>
                <w:sz w:val="20"/>
              </w:rPr>
            </w:pPr>
            <w:r>
              <w:rPr>
                <w:spacing w:val="-5"/>
                <w:sz w:val="20"/>
              </w:rPr>
              <w:t>13</w:t>
            </w:r>
          </w:p>
        </w:tc>
        <w:tc>
          <w:tcPr>
            <w:tcW w:w="276" w:type="dxa"/>
          </w:tcPr>
          <w:p>
            <w:pPr>
              <w:pStyle w:val="TableParagraph"/>
              <w:rPr>
                <w:rFonts w:ascii="Times New Roman"/>
                <w:sz w:val="20"/>
              </w:rPr>
            </w:pPr>
          </w:p>
        </w:tc>
        <w:tc>
          <w:tcPr>
            <w:tcW w:w="1001" w:type="dxa"/>
          </w:tcPr>
          <w:p>
            <w:pPr>
              <w:pStyle w:val="TableParagraph"/>
              <w:spacing w:before="17"/>
              <w:ind w:right="107"/>
              <w:jc w:val="right"/>
              <w:rPr>
                <w:sz w:val="20"/>
              </w:rPr>
            </w:pPr>
            <w:r>
              <w:rPr>
                <w:spacing w:val="-5"/>
                <w:sz w:val="20"/>
              </w:rPr>
              <w:t>13</w:t>
            </w:r>
          </w:p>
        </w:tc>
      </w:tr>
      <w:tr>
        <w:trPr>
          <w:trHeight w:val="268" w:hRule="atLeast"/>
        </w:trPr>
        <w:tc>
          <w:tcPr>
            <w:tcW w:w="4046" w:type="dxa"/>
          </w:tcPr>
          <w:p>
            <w:pPr>
              <w:pStyle w:val="TableParagraph"/>
              <w:spacing w:before="16"/>
              <w:ind w:left="50"/>
              <w:rPr>
                <w:sz w:val="20"/>
              </w:rPr>
            </w:pPr>
            <w:r>
              <w:rPr>
                <w:spacing w:val="-2"/>
                <w:sz w:val="20"/>
              </w:rPr>
              <w:t>Miscellaneous</w:t>
            </w:r>
            <w:r>
              <w:rPr>
                <w:spacing w:val="11"/>
                <w:sz w:val="20"/>
              </w:rPr>
              <w:t> </w:t>
            </w:r>
            <w:r>
              <w:rPr>
                <w:spacing w:val="-2"/>
                <w:sz w:val="20"/>
              </w:rPr>
              <w:t>income</w:t>
            </w:r>
          </w:p>
        </w:tc>
        <w:tc>
          <w:tcPr>
            <w:tcW w:w="1142" w:type="dxa"/>
            <w:tcBorders>
              <w:bottom w:val="single" w:sz="4" w:space="0" w:color="000000"/>
            </w:tcBorders>
          </w:tcPr>
          <w:p>
            <w:pPr>
              <w:pStyle w:val="TableParagraph"/>
              <w:spacing w:before="16"/>
              <w:ind w:right="110"/>
              <w:jc w:val="right"/>
              <w:rPr>
                <w:sz w:val="20"/>
              </w:rPr>
            </w:pPr>
            <w:r>
              <w:rPr>
                <w:spacing w:val="-5"/>
                <w:sz w:val="20"/>
              </w:rPr>
              <w:t>490</w:t>
            </w:r>
          </w:p>
        </w:tc>
        <w:tc>
          <w:tcPr>
            <w:tcW w:w="276" w:type="dxa"/>
          </w:tcPr>
          <w:p>
            <w:pPr>
              <w:pStyle w:val="TableParagraph"/>
              <w:rPr>
                <w:rFonts w:ascii="Times New Roman"/>
                <w:sz w:val="18"/>
              </w:rPr>
            </w:pPr>
          </w:p>
        </w:tc>
        <w:tc>
          <w:tcPr>
            <w:tcW w:w="998" w:type="dxa"/>
            <w:tcBorders>
              <w:bottom w:val="single" w:sz="4" w:space="0" w:color="000000"/>
            </w:tcBorders>
          </w:tcPr>
          <w:p>
            <w:pPr>
              <w:pStyle w:val="TableParagraph"/>
              <w:spacing w:before="16"/>
              <w:ind w:right="110"/>
              <w:jc w:val="right"/>
              <w:rPr>
                <w:sz w:val="20"/>
              </w:rPr>
            </w:pPr>
            <w:r>
              <w:rPr>
                <w:spacing w:val="-5"/>
                <w:sz w:val="20"/>
              </w:rPr>
              <w:t>280</w:t>
            </w:r>
          </w:p>
        </w:tc>
        <w:tc>
          <w:tcPr>
            <w:tcW w:w="420" w:type="dxa"/>
          </w:tcPr>
          <w:p>
            <w:pPr>
              <w:pStyle w:val="TableParagraph"/>
              <w:rPr>
                <w:rFonts w:ascii="Times New Roman"/>
                <w:sz w:val="18"/>
              </w:rPr>
            </w:pPr>
          </w:p>
        </w:tc>
        <w:tc>
          <w:tcPr>
            <w:tcW w:w="998" w:type="dxa"/>
            <w:tcBorders>
              <w:bottom w:val="single" w:sz="4" w:space="0" w:color="000000"/>
            </w:tcBorders>
          </w:tcPr>
          <w:p>
            <w:pPr>
              <w:pStyle w:val="TableParagraph"/>
              <w:spacing w:before="16"/>
              <w:ind w:right="109"/>
              <w:jc w:val="right"/>
              <w:rPr>
                <w:sz w:val="20"/>
              </w:rPr>
            </w:pPr>
            <w:r>
              <w:rPr>
                <w:spacing w:val="-2"/>
                <w:sz w:val="20"/>
              </w:rPr>
              <w:t>1,224</w:t>
            </w:r>
          </w:p>
        </w:tc>
        <w:tc>
          <w:tcPr>
            <w:tcW w:w="276" w:type="dxa"/>
          </w:tcPr>
          <w:p>
            <w:pPr>
              <w:pStyle w:val="TableParagraph"/>
              <w:rPr>
                <w:rFonts w:ascii="Times New Roman"/>
                <w:sz w:val="18"/>
              </w:rPr>
            </w:pPr>
          </w:p>
        </w:tc>
        <w:tc>
          <w:tcPr>
            <w:tcW w:w="1001" w:type="dxa"/>
            <w:tcBorders>
              <w:bottom w:val="single" w:sz="4" w:space="0" w:color="000000"/>
            </w:tcBorders>
          </w:tcPr>
          <w:p>
            <w:pPr>
              <w:pStyle w:val="TableParagraph"/>
              <w:spacing w:before="16"/>
              <w:ind w:right="107"/>
              <w:jc w:val="right"/>
              <w:rPr>
                <w:sz w:val="20"/>
              </w:rPr>
            </w:pPr>
            <w:r>
              <w:rPr>
                <w:spacing w:val="-5"/>
                <w:sz w:val="20"/>
              </w:rPr>
              <w:t>998</w:t>
            </w:r>
          </w:p>
        </w:tc>
      </w:tr>
      <w:tr>
        <w:trPr>
          <w:trHeight w:val="270" w:hRule="atLeast"/>
        </w:trPr>
        <w:tc>
          <w:tcPr>
            <w:tcW w:w="4046" w:type="dxa"/>
          </w:tcPr>
          <w:p>
            <w:pPr>
              <w:pStyle w:val="TableParagraph"/>
              <w:spacing w:before="18"/>
              <w:ind w:left="50"/>
              <w:rPr>
                <w:b/>
                <w:sz w:val="20"/>
              </w:rPr>
            </w:pPr>
            <w:r>
              <w:rPr>
                <w:b/>
                <w:spacing w:val="-2"/>
                <w:sz w:val="20"/>
              </w:rPr>
              <w:t>Total</w:t>
            </w:r>
          </w:p>
        </w:tc>
        <w:tc>
          <w:tcPr>
            <w:tcW w:w="1142" w:type="dxa"/>
            <w:tcBorders>
              <w:top w:val="single" w:sz="4" w:space="0" w:color="000000"/>
              <w:bottom w:val="double" w:sz="4" w:space="0" w:color="000000"/>
            </w:tcBorders>
          </w:tcPr>
          <w:p>
            <w:pPr>
              <w:pStyle w:val="TableParagraph"/>
              <w:spacing w:before="18"/>
              <w:ind w:right="110"/>
              <w:jc w:val="right"/>
              <w:rPr>
                <w:sz w:val="20"/>
              </w:rPr>
            </w:pPr>
            <w:r>
              <w:rPr>
                <w:spacing w:val="-5"/>
                <w:sz w:val="20"/>
              </w:rPr>
              <w:t>617</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10"/>
              <w:jc w:val="right"/>
              <w:rPr>
                <w:sz w:val="20"/>
              </w:rPr>
            </w:pPr>
            <w:r>
              <w:rPr>
                <w:spacing w:val="-5"/>
                <w:sz w:val="20"/>
              </w:rPr>
              <w:t>407</w:t>
            </w:r>
          </w:p>
        </w:tc>
        <w:tc>
          <w:tcPr>
            <w:tcW w:w="420"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9"/>
              <w:jc w:val="right"/>
              <w:rPr>
                <w:sz w:val="20"/>
              </w:rPr>
            </w:pPr>
            <w:r>
              <w:rPr>
                <w:spacing w:val="-2"/>
                <w:sz w:val="20"/>
              </w:rPr>
              <w:t>1,406</w:t>
            </w:r>
          </w:p>
        </w:tc>
        <w:tc>
          <w:tcPr>
            <w:tcW w:w="276"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07"/>
              <w:jc w:val="right"/>
              <w:rPr>
                <w:sz w:val="20"/>
              </w:rPr>
            </w:pPr>
            <w:r>
              <w:rPr>
                <w:spacing w:val="-2"/>
                <w:sz w:val="20"/>
              </w:rPr>
              <w:t>1,180</w:t>
            </w:r>
          </w:p>
        </w:tc>
      </w:tr>
    </w:tbl>
    <w:p>
      <w:pPr>
        <w:pStyle w:val="BodyText"/>
        <w:spacing w:before="23"/>
        <w:rPr>
          <w:b/>
          <w:sz w:val="22"/>
        </w:rPr>
      </w:pPr>
    </w:p>
    <w:p>
      <w:pPr>
        <w:pStyle w:val="Heading5"/>
        <w:numPr>
          <w:ilvl w:val="0"/>
          <w:numId w:val="13"/>
        </w:numPr>
        <w:tabs>
          <w:tab w:pos="852" w:val="left" w:leader="none"/>
        </w:tabs>
        <w:spacing w:line="240" w:lineRule="auto" w:before="1" w:after="0"/>
        <w:ind w:left="852" w:right="0" w:hanging="427"/>
        <w:jc w:val="left"/>
      </w:pPr>
      <w:r>
        <w:rPr/>
        <w:t>Investment</w:t>
      </w:r>
      <w:r>
        <w:rPr>
          <w:spacing w:val="-8"/>
        </w:rPr>
        <w:t> </w:t>
      </w:r>
      <w:r>
        <w:rPr>
          <w:spacing w:val="-2"/>
        </w:rPr>
        <w:t>income</w:t>
      </w:r>
    </w:p>
    <w:p>
      <w:pPr>
        <w:pStyle w:val="BodyText"/>
        <w:spacing w:before="42"/>
        <w:rPr>
          <w:b/>
        </w:rPr>
      </w:pPr>
    </w:p>
    <w:p>
      <w:pPr>
        <w:tabs>
          <w:tab w:pos="8450" w:val="left" w:leader="none"/>
        </w:tabs>
        <w:spacing w:before="0" w:after="46"/>
        <w:ind w:left="5686"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0"/>
        <w:gridCol w:w="1143"/>
        <w:gridCol w:w="277"/>
        <w:gridCol w:w="999"/>
        <w:gridCol w:w="418"/>
        <w:gridCol w:w="1001"/>
        <w:gridCol w:w="276"/>
        <w:gridCol w:w="998"/>
      </w:tblGrid>
      <w:tr>
        <w:trPr>
          <w:trHeight w:val="786" w:hRule="atLeast"/>
        </w:trPr>
        <w:tc>
          <w:tcPr>
            <w:tcW w:w="4080" w:type="dxa"/>
          </w:tcPr>
          <w:p>
            <w:pPr>
              <w:pStyle w:val="TableParagraph"/>
              <w:rPr>
                <w:rFonts w:ascii="Times New Roman"/>
                <w:sz w:val="20"/>
              </w:rPr>
            </w:pPr>
          </w:p>
        </w:tc>
        <w:tc>
          <w:tcPr>
            <w:tcW w:w="1143" w:type="dxa"/>
          </w:tcPr>
          <w:p>
            <w:pPr>
              <w:pStyle w:val="TableParagraph"/>
              <w:spacing w:line="223" w:lineRule="exact"/>
              <w:ind w:right="111"/>
              <w:jc w:val="right"/>
              <w:rPr>
                <w:b/>
                <w:sz w:val="20"/>
              </w:rPr>
            </w:pPr>
            <w:r>
              <w:rPr>
                <w:b/>
                <w:spacing w:val="-4"/>
                <w:sz w:val="20"/>
              </w:rPr>
              <w:t>2023</w:t>
            </w:r>
          </w:p>
          <w:p>
            <w:pPr>
              <w:pStyle w:val="TableParagraph"/>
              <w:spacing w:before="41"/>
              <w:ind w:right="110"/>
              <w:jc w:val="right"/>
              <w:rPr>
                <w:b/>
                <w:sz w:val="20"/>
              </w:rPr>
            </w:pPr>
            <w:r>
              <w:rPr>
                <w:b/>
                <w:spacing w:val="-4"/>
                <w:sz w:val="20"/>
              </w:rPr>
              <w:t>Group</w:t>
            </w:r>
          </w:p>
          <w:p>
            <w:pPr>
              <w:pStyle w:val="TableParagraph"/>
              <w:spacing w:before="39"/>
              <w:ind w:right="111"/>
              <w:jc w:val="right"/>
              <w:rPr>
                <w:b/>
                <w:sz w:val="20"/>
              </w:rPr>
            </w:pPr>
            <w:r>
              <w:rPr>
                <w:b/>
                <w:spacing w:val="-2"/>
                <w:sz w:val="20"/>
              </w:rPr>
              <w:t>£’000</w:t>
            </w:r>
          </w:p>
        </w:tc>
        <w:tc>
          <w:tcPr>
            <w:tcW w:w="277" w:type="dxa"/>
          </w:tcPr>
          <w:p>
            <w:pPr>
              <w:pStyle w:val="TableParagraph"/>
              <w:rPr>
                <w:rFonts w:ascii="Times New Roman"/>
                <w:sz w:val="20"/>
              </w:rPr>
            </w:pPr>
          </w:p>
        </w:tc>
        <w:tc>
          <w:tcPr>
            <w:tcW w:w="999" w:type="dxa"/>
          </w:tcPr>
          <w:p>
            <w:pPr>
              <w:pStyle w:val="TableParagraph"/>
              <w:spacing w:line="223" w:lineRule="exact"/>
              <w:ind w:right="110"/>
              <w:jc w:val="right"/>
              <w:rPr>
                <w:b/>
                <w:sz w:val="20"/>
              </w:rPr>
            </w:pPr>
            <w:r>
              <w:rPr>
                <w:b/>
                <w:spacing w:val="-4"/>
                <w:sz w:val="20"/>
              </w:rPr>
              <w:t>2023</w:t>
            </w:r>
          </w:p>
          <w:p>
            <w:pPr>
              <w:pStyle w:val="TableParagraph"/>
              <w:spacing w:before="41"/>
              <w:ind w:right="110"/>
              <w:jc w:val="right"/>
              <w:rPr>
                <w:b/>
                <w:sz w:val="20"/>
              </w:rPr>
            </w:pPr>
            <w:r>
              <w:rPr>
                <w:b/>
                <w:spacing w:val="-2"/>
                <w:sz w:val="20"/>
              </w:rPr>
              <w:t>College</w:t>
            </w:r>
          </w:p>
          <w:p>
            <w:pPr>
              <w:pStyle w:val="TableParagraph"/>
              <w:spacing w:before="39"/>
              <w:ind w:right="110"/>
              <w:jc w:val="right"/>
              <w:rPr>
                <w:b/>
                <w:sz w:val="20"/>
              </w:rPr>
            </w:pPr>
            <w:r>
              <w:rPr>
                <w:b/>
                <w:spacing w:val="-2"/>
                <w:sz w:val="20"/>
              </w:rPr>
              <w:t>£’000</w:t>
            </w:r>
          </w:p>
        </w:tc>
        <w:tc>
          <w:tcPr>
            <w:tcW w:w="418" w:type="dxa"/>
          </w:tcPr>
          <w:p>
            <w:pPr>
              <w:pStyle w:val="TableParagraph"/>
              <w:rPr>
                <w:rFonts w:ascii="Times New Roman"/>
                <w:sz w:val="20"/>
              </w:rPr>
            </w:pPr>
          </w:p>
        </w:tc>
        <w:tc>
          <w:tcPr>
            <w:tcW w:w="1001" w:type="dxa"/>
          </w:tcPr>
          <w:p>
            <w:pPr>
              <w:pStyle w:val="TableParagraph"/>
              <w:spacing w:line="223" w:lineRule="exact"/>
              <w:ind w:right="111"/>
              <w:jc w:val="right"/>
              <w:rPr>
                <w:b/>
                <w:sz w:val="20"/>
              </w:rPr>
            </w:pPr>
            <w:r>
              <w:rPr>
                <w:b/>
                <w:spacing w:val="-4"/>
                <w:sz w:val="20"/>
              </w:rPr>
              <w:t>2022</w:t>
            </w:r>
          </w:p>
          <w:p>
            <w:pPr>
              <w:pStyle w:val="TableParagraph"/>
              <w:spacing w:before="41"/>
              <w:ind w:right="109"/>
              <w:jc w:val="right"/>
              <w:rPr>
                <w:b/>
                <w:sz w:val="20"/>
              </w:rPr>
            </w:pPr>
            <w:r>
              <w:rPr>
                <w:b/>
                <w:spacing w:val="-4"/>
                <w:sz w:val="20"/>
              </w:rPr>
              <w:t>Group</w:t>
            </w:r>
          </w:p>
          <w:p>
            <w:pPr>
              <w:pStyle w:val="TableParagraph"/>
              <w:spacing w:before="39"/>
              <w:ind w:right="111"/>
              <w:jc w:val="right"/>
              <w:rPr>
                <w:b/>
                <w:sz w:val="20"/>
              </w:rPr>
            </w:pPr>
            <w:r>
              <w:rPr>
                <w:b/>
                <w:spacing w:val="-2"/>
                <w:sz w:val="20"/>
              </w:rPr>
              <w:t>£’000</w:t>
            </w:r>
          </w:p>
        </w:tc>
        <w:tc>
          <w:tcPr>
            <w:tcW w:w="276" w:type="dxa"/>
          </w:tcPr>
          <w:p>
            <w:pPr>
              <w:pStyle w:val="TableParagraph"/>
              <w:rPr>
                <w:rFonts w:ascii="Times New Roman"/>
                <w:sz w:val="20"/>
              </w:rPr>
            </w:pPr>
          </w:p>
        </w:tc>
        <w:tc>
          <w:tcPr>
            <w:tcW w:w="998" w:type="dxa"/>
          </w:tcPr>
          <w:p>
            <w:pPr>
              <w:pStyle w:val="TableParagraph"/>
              <w:spacing w:line="223" w:lineRule="exact"/>
              <w:ind w:right="110"/>
              <w:jc w:val="right"/>
              <w:rPr>
                <w:b/>
                <w:sz w:val="20"/>
              </w:rPr>
            </w:pPr>
            <w:r>
              <w:rPr>
                <w:b/>
                <w:spacing w:val="-4"/>
                <w:sz w:val="20"/>
              </w:rPr>
              <w:t>2022</w:t>
            </w:r>
          </w:p>
          <w:p>
            <w:pPr>
              <w:pStyle w:val="TableParagraph"/>
              <w:spacing w:before="41"/>
              <w:ind w:right="110"/>
              <w:jc w:val="right"/>
              <w:rPr>
                <w:b/>
                <w:sz w:val="20"/>
              </w:rPr>
            </w:pPr>
            <w:r>
              <w:rPr>
                <w:b/>
                <w:spacing w:val="-2"/>
                <w:sz w:val="20"/>
              </w:rPr>
              <w:t>College</w:t>
            </w:r>
          </w:p>
          <w:p>
            <w:pPr>
              <w:pStyle w:val="TableParagraph"/>
              <w:spacing w:before="39"/>
              <w:ind w:right="110"/>
              <w:jc w:val="right"/>
              <w:rPr>
                <w:b/>
                <w:sz w:val="20"/>
              </w:rPr>
            </w:pPr>
            <w:r>
              <w:rPr>
                <w:b/>
                <w:spacing w:val="-2"/>
                <w:sz w:val="20"/>
              </w:rPr>
              <w:t>£’000</w:t>
            </w:r>
          </w:p>
        </w:tc>
      </w:tr>
      <w:tr>
        <w:trPr>
          <w:trHeight w:val="270" w:hRule="atLeast"/>
        </w:trPr>
        <w:tc>
          <w:tcPr>
            <w:tcW w:w="4080" w:type="dxa"/>
          </w:tcPr>
          <w:p>
            <w:pPr>
              <w:pStyle w:val="TableParagraph"/>
              <w:spacing w:before="17"/>
              <w:ind w:left="50"/>
              <w:rPr>
                <w:sz w:val="20"/>
              </w:rPr>
            </w:pPr>
            <w:r>
              <w:rPr>
                <w:sz w:val="20"/>
              </w:rPr>
              <w:t>Gift</w:t>
            </w:r>
            <w:r>
              <w:rPr>
                <w:spacing w:val="-5"/>
                <w:sz w:val="20"/>
              </w:rPr>
              <w:t> </w:t>
            </w:r>
            <w:r>
              <w:rPr>
                <w:sz w:val="20"/>
              </w:rPr>
              <w:t>aid</w:t>
            </w:r>
            <w:r>
              <w:rPr>
                <w:spacing w:val="-5"/>
                <w:sz w:val="20"/>
              </w:rPr>
              <w:t> </w:t>
            </w:r>
            <w:r>
              <w:rPr>
                <w:sz w:val="20"/>
              </w:rPr>
              <w:t>from</w:t>
            </w:r>
            <w:r>
              <w:rPr>
                <w:spacing w:val="-4"/>
                <w:sz w:val="20"/>
              </w:rPr>
              <w:t> </w:t>
            </w:r>
            <w:r>
              <w:rPr>
                <w:spacing w:val="-2"/>
                <w:sz w:val="20"/>
              </w:rPr>
              <w:t>subsidiaries</w:t>
            </w:r>
          </w:p>
        </w:tc>
        <w:tc>
          <w:tcPr>
            <w:tcW w:w="1143" w:type="dxa"/>
          </w:tcPr>
          <w:p>
            <w:pPr>
              <w:pStyle w:val="TableParagraph"/>
              <w:spacing w:before="17"/>
              <w:ind w:right="110"/>
              <w:jc w:val="right"/>
              <w:rPr>
                <w:sz w:val="20"/>
              </w:rPr>
            </w:pPr>
            <w:r>
              <w:rPr>
                <w:spacing w:val="-10"/>
                <w:sz w:val="20"/>
              </w:rPr>
              <w:t>-</w:t>
            </w:r>
          </w:p>
        </w:tc>
        <w:tc>
          <w:tcPr>
            <w:tcW w:w="277" w:type="dxa"/>
          </w:tcPr>
          <w:p>
            <w:pPr>
              <w:pStyle w:val="TableParagraph"/>
              <w:rPr>
                <w:rFonts w:ascii="Times New Roman"/>
                <w:sz w:val="20"/>
              </w:rPr>
            </w:pPr>
          </w:p>
        </w:tc>
        <w:tc>
          <w:tcPr>
            <w:tcW w:w="999" w:type="dxa"/>
          </w:tcPr>
          <w:p>
            <w:pPr>
              <w:pStyle w:val="TableParagraph"/>
              <w:spacing w:before="17"/>
              <w:ind w:right="159"/>
              <w:jc w:val="right"/>
              <w:rPr>
                <w:sz w:val="20"/>
              </w:rPr>
            </w:pPr>
            <w:r>
              <w:rPr>
                <w:spacing w:val="-5"/>
                <w:sz w:val="20"/>
              </w:rPr>
              <w:t>77</w:t>
            </w:r>
          </w:p>
        </w:tc>
        <w:tc>
          <w:tcPr>
            <w:tcW w:w="418" w:type="dxa"/>
          </w:tcPr>
          <w:p>
            <w:pPr>
              <w:pStyle w:val="TableParagraph"/>
              <w:rPr>
                <w:rFonts w:ascii="Times New Roman"/>
                <w:sz w:val="20"/>
              </w:rPr>
            </w:pPr>
          </w:p>
        </w:tc>
        <w:tc>
          <w:tcPr>
            <w:tcW w:w="1001" w:type="dxa"/>
          </w:tcPr>
          <w:p>
            <w:pPr>
              <w:pStyle w:val="TableParagraph"/>
              <w:spacing w:before="17"/>
              <w:ind w:right="110"/>
              <w:jc w:val="right"/>
              <w:rPr>
                <w:sz w:val="20"/>
              </w:rPr>
            </w:pPr>
            <w:r>
              <w:rPr>
                <w:spacing w:val="-10"/>
                <w:sz w:val="20"/>
              </w:rPr>
              <w:t>-</w:t>
            </w:r>
          </w:p>
        </w:tc>
        <w:tc>
          <w:tcPr>
            <w:tcW w:w="276" w:type="dxa"/>
          </w:tcPr>
          <w:p>
            <w:pPr>
              <w:pStyle w:val="TableParagraph"/>
              <w:rPr>
                <w:rFonts w:ascii="Times New Roman"/>
                <w:sz w:val="20"/>
              </w:rPr>
            </w:pPr>
          </w:p>
        </w:tc>
        <w:tc>
          <w:tcPr>
            <w:tcW w:w="998" w:type="dxa"/>
          </w:tcPr>
          <w:p>
            <w:pPr>
              <w:pStyle w:val="TableParagraph"/>
              <w:spacing w:before="17"/>
              <w:ind w:right="159"/>
              <w:jc w:val="right"/>
              <w:rPr>
                <w:sz w:val="20"/>
              </w:rPr>
            </w:pPr>
            <w:r>
              <w:rPr>
                <w:spacing w:val="-5"/>
                <w:sz w:val="20"/>
              </w:rPr>
              <w:t>29</w:t>
            </w:r>
          </w:p>
        </w:tc>
      </w:tr>
      <w:tr>
        <w:trPr>
          <w:trHeight w:val="268" w:hRule="atLeast"/>
        </w:trPr>
        <w:tc>
          <w:tcPr>
            <w:tcW w:w="4080" w:type="dxa"/>
          </w:tcPr>
          <w:p>
            <w:pPr>
              <w:pStyle w:val="TableParagraph"/>
              <w:spacing w:before="16"/>
              <w:ind w:left="50"/>
              <w:rPr>
                <w:sz w:val="20"/>
              </w:rPr>
            </w:pPr>
            <w:r>
              <w:rPr>
                <w:sz w:val="20"/>
              </w:rPr>
              <w:t>Net</w:t>
            </w:r>
            <w:r>
              <w:rPr>
                <w:spacing w:val="-7"/>
                <w:sz w:val="20"/>
              </w:rPr>
              <w:t> </w:t>
            </w:r>
            <w:r>
              <w:rPr>
                <w:sz w:val="20"/>
              </w:rPr>
              <w:t>interest</w:t>
            </w:r>
            <w:r>
              <w:rPr>
                <w:spacing w:val="-4"/>
                <w:sz w:val="20"/>
              </w:rPr>
              <w:t> </w:t>
            </w:r>
            <w:r>
              <w:rPr>
                <w:sz w:val="20"/>
              </w:rPr>
              <w:t>on</w:t>
            </w:r>
            <w:r>
              <w:rPr>
                <w:spacing w:val="-6"/>
                <w:sz w:val="20"/>
              </w:rPr>
              <w:t> </w:t>
            </w:r>
            <w:r>
              <w:rPr>
                <w:sz w:val="20"/>
              </w:rPr>
              <w:t>defined</w:t>
            </w:r>
            <w:r>
              <w:rPr>
                <w:spacing w:val="-6"/>
                <w:sz w:val="20"/>
              </w:rPr>
              <w:t> </w:t>
            </w:r>
            <w:r>
              <w:rPr>
                <w:spacing w:val="-2"/>
                <w:sz w:val="20"/>
              </w:rPr>
              <w:t>pension</w:t>
            </w:r>
          </w:p>
        </w:tc>
        <w:tc>
          <w:tcPr>
            <w:tcW w:w="1143" w:type="dxa"/>
            <w:tcBorders>
              <w:bottom w:val="single" w:sz="4" w:space="0" w:color="000000"/>
            </w:tcBorders>
          </w:tcPr>
          <w:p>
            <w:pPr>
              <w:pStyle w:val="TableParagraph"/>
              <w:spacing w:before="16"/>
              <w:ind w:right="111"/>
              <w:jc w:val="right"/>
              <w:rPr>
                <w:sz w:val="20"/>
              </w:rPr>
            </w:pPr>
            <w:r>
              <w:rPr>
                <w:spacing w:val="-5"/>
                <w:sz w:val="20"/>
              </w:rPr>
              <w:t>313</w:t>
            </w:r>
          </w:p>
        </w:tc>
        <w:tc>
          <w:tcPr>
            <w:tcW w:w="277" w:type="dxa"/>
          </w:tcPr>
          <w:p>
            <w:pPr>
              <w:pStyle w:val="TableParagraph"/>
              <w:rPr>
                <w:rFonts w:ascii="Times New Roman"/>
                <w:sz w:val="18"/>
              </w:rPr>
            </w:pPr>
          </w:p>
        </w:tc>
        <w:tc>
          <w:tcPr>
            <w:tcW w:w="999" w:type="dxa"/>
            <w:tcBorders>
              <w:bottom w:val="single" w:sz="4" w:space="0" w:color="000000"/>
            </w:tcBorders>
          </w:tcPr>
          <w:p>
            <w:pPr>
              <w:pStyle w:val="TableParagraph"/>
              <w:spacing w:before="16"/>
              <w:ind w:right="159"/>
              <w:jc w:val="right"/>
              <w:rPr>
                <w:sz w:val="20"/>
              </w:rPr>
            </w:pPr>
            <w:r>
              <w:rPr>
                <w:spacing w:val="-5"/>
                <w:sz w:val="20"/>
              </w:rPr>
              <w:t>313</w:t>
            </w:r>
          </w:p>
        </w:tc>
        <w:tc>
          <w:tcPr>
            <w:tcW w:w="418" w:type="dxa"/>
          </w:tcPr>
          <w:p>
            <w:pPr>
              <w:pStyle w:val="TableParagraph"/>
              <w:rPr>
                <w:rFonts w:ascii="Times New Roman"/>
                <w:sz w:val="18"/>
              </w:rPr>
            </w:pPr>
          </w:p>
        </w:tc>
        <w:tc>
          <w:tcPr>
            <w:tcW w:w="1001" w:type="dxa"/>
            <w:tcBorders>
              <w:bottom w:val="single" w:sz="4" w:space="0" w:color="000000"/>
            </w:tcBorders>
          </w:tcPr>
          <w:p>
            <w:pPr>
              <w:pStyle w:val="TableParagraph"/>
              <w:spacing w:before="16"/>
              <w:ind w:right="110"/>
              <w:jc w:val="right"/>
              <w:rPr>
                <w:sz w:val="20"/>
              </w:rPr>
            </w:pPr>
            <w:r>
              <w:rPr>
                <w:spacing w:val="-10"/>
                <w:sz w:val="20"/>
              </w:rPr>
              <w:t>-</w:t>
            </w:r>
          </w:p>
        </w:tc>
        <w:tc>
          <w:tcPr>
            <w:tcW w:w="276" w:type="dxa"/>
          </w:tcPr>
          <w:p>
            <w:pPr>
              <w:pStyle w:val="TableParagraph"/>
              <w:rPr>
                <w:rFonts w:ascii="Times New Roman"/>
                <w:sz w:val="18"/>
              </w:rPr>
            </w:pPr>
          </w:p>
        </w:tc>
        <w:tc>
          <w:tcPr>
            <w:tcW w:w="998" w:type="dxa"/>
            <w:tcBorders>
              <w:bottom w:val="single" w:sz="4" w:space="0" w:color="000000"/>
            </w:tcBorders>
          </w:tcPr>
          <w:p>
            <w:pPr>
              <w:pStyle w:val="TableParagraph"/>
              <w:spacing w:before="16"/>
              <w:ind w:right="157"/>
              <w:jc w:val="right"/>
              <w:rPr>
                <w:sz w:val="20"/>
              </w:rPr>
            </w:pPr>
            <w:r>
              <w:rPr>
                <w:spacing w:val="-10"/>
                <w:sz w:val="20"/>
              </w:rPr>
              <w:t>-</w:t>
            </w:r>
          </w:p>
        </w:tc>
      </w:tr>
      <w:tr>
        <w:trPr>
          <w:trHeight w:val="270" w:hRule="atLeast"/>
        </w:trPr>
        <w:tc>
          <w:tcPr>
            <w:tcW w:w="4080" w:type="dxa"/>
          </w:tcPr>
          <w:p>
            <w:pPr>
              <w:pStyle w:val="TableParagraph"/>
              <w:rPr>
                <w:rFonts w:ascii="Times New Roman"/>
                <w:sz w:val="20"/>
              </w:rPr>
            </w:pPr>
          </w:p>
        </w:tc>
        <w:tc>
          <w:tcPr>
            <w:tcW w:w="1143" w:type="dxa"/>
            <w:tcBorders>
              <w:top w:val="single" w:sz="4" w:space="0" w:color="000000"/>
              <w:bottom w:val="double" w:sz="4" w:space="0" w:color="000000"/>
            </w:tcBorders>
          </w:tcPr>
          <w:p>
            <w:pPr>
              <w:pStyle w:val="TableParagraph"/>
              <w:spacing w:before="18"/>
              <w:ind w:right="111"/>
              <w:jc w:val="right"/>
              <w:rPr>
                <w:sz w:val="20"/>
              </w:rPr>
            </w:pPr>
            <w:r>
              <w:rPr>
                <w:spacing w:val="-5"/>
                <w:sz w:val="20"/>
              </w:rPr>
              <w:t>313</w:t>
            </w:r>
          </w:p>
        </w:tc>
        <w:tc>
          <w:tcPr>
            <w:tcW w:w="277" w:type="dxa"/>
          </w:tcPr>
          <w:p>
            <w:pPr>
              <w:pStyle w:val="TableParagraph"/>
              <w:rPr>
                <w:rFonts w:ascii="Times New Roman"/>
                <w:sz w:val="20"/>
              </w:rPr>
            </w:pPr>
          </w:p>
        </w:tc>
        <w:tc>
          <w:tcPr>
            <w:tcW w:w="999" w:type="dxa"/>
            <w:tcBorders>
              <w:top w:val="single" w:sz="4" w:space="0" w:color="000000"/>
              <w:bottom w:val="double" w:sz="4" w:space="0" w:color="000000"/>
            </w:tcBorders>
          </w:tcPr>
          <w:p>
            <w:pPr>
              <w:pStyle w:val="TableParagraph"/>
              <w:spacing w:before="18"/>
              <w:ind w:right="159"/>
              <w:jc w:val="right"/>
              <w:rPr>
                <w:sz w:val="20"/>
              </w:rPr>
            </w:pPr>
            <w:r>
              <w:rPr>
                <w:spacing w:val="-5"/>
                <w:sz w:val="20"/>
              </w:rPr>
              <w:t>390</w:t>
            </w:r>
          </w:p>
        </w:tc>
        <w:tc>
          <w:tcPr>
            <w:tcW w:w="418"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10"/>
              <w:jc w:val="right"/>
              <w:rPr>
                <w:sz w:val="20"/>
              </w:rPr>
            </w:pPr>
            <w:r>
              <w:rPr>
                <w:spacing w:val="-10"/>
                <w:sz w:val="20"/>
              </w:rPr>
              <w:t>-</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9"/>
              <w:jc w:val="right"/>
              <w:rPr>
                <w:sz w:val="20"/>
              </w:rPr>
            </w:pPr>
            <w:r>
              <w:rPr>
                <w:spacing w:val="-5"/>
                <w:sz w:val="20"/>
              </w:rPr>
              <w:t>29</w:t>
            </w:r>
          </w:p>
        </w:tc>
      </w:tr>
    </w:tbl>
    <w:p>
      <w:pPr>
        <w:pStyle w:val="BodyText"/>
        <w:spacing w:before="22"/>
        <w:rPr>
          <w:b/>
        </w:rPr>
      </w:pPr>
    </w:p>
    <w:p>
      <w:pPr>
        <w:pStyle w:val="Heading5"/>
        <w:numPr>
          <w:ilvl w:val="0"/>
          <w:numId w:val="13"/>
        </w:numPr>
        <w:tabs>
          <w:tab w:pos="852" w:val="left" w:leader="none"/>
        </w:tabs>
        <w:spacing w:line="240" w:lineRule="auto" w:before="0" w:after="0"/>
        <w:ind w:left="852" w:right="0" w:hanging="427"/>
        <w:jc w:val="left"/>
      </w:pPr>
      <w:r>
        <w:rPr/>
        <w:t>Staff</w:t>
      </w:r>
      <w:r>
        <w:rPr>
          <w:spacing w:val="-7"/>
        </w:rPr>
        <w:t> </w:t>
      </w:r>
      <w:r>
        <w:rPr/>
        <w:t>costs</w:t>
      </w:r>
      <w:r>
        <w:rPr>
          <w:spacing w:val="-6"/>
        </w:rPr>
        <w:t> </w:t>
      </w:r>
      <w:r>
        <w:rPr/>
        <w:t>and</w:t>
      </w:r>
      <w:r>
        <w:rPr>
          <w:spacing w:val="-4"/>
        </w:rPr>
        <w:t> </w:t>
      </w:r>
      <w:r>
        <w:rPr/>
        <w:t>key</w:t>
      </w:r>
      <w:r>
        <w:rPr>
          <w:spacing w:val="-6"/>
        </w:rPr>
        <w:t> </w:t>
      </w:r>
      <w:r>
        <w:rPr/>
        <w:t>management</w:t>
      </w:r>
      <w:r>
        <w:rPr>
          <w:spacing w:val="-5"/>
        </w:rPr>
        <w:t> </w:t>
      </w:r>
      <w:r>
        <w:rPr/>
        <w:t>personnel</w:t>
      </w:r>
      <w:r>
        <w:rPr>
          <w:spacing w:val="-4"/>
        </w:rPr>
        <w:t> </w:t>
      </w:r>
      <w:r>
        <w:rPr/>
        <w:t>remuneration</w:t>
      </w:r>
      <w:r>
        <w:rPr>
          <w:spacing w:val="-4"/>
        </w:rPr>
        <w:t> </w:t>
      </w:r>
      <w:r>
        <w:rPr/>
        <w:t>–</w:t>
      </w:r>
      <w:r>
        <w:rPr>
          <w:spacing w:val="-8"/>
        </w:rPr>
        <w:t> </w:t>
      </w:r>
      <w:r>
        <w:rPr/>
        <w:t>Group</w:t>
      </w:r>
      <w:r>
        <w:rPr>
          <w:spacing w:val="-4"/>
        </w:rPr>
        <w:t> </w:t>
      </w:r>
      <w:r>
        <w:rPr/>
        <w:t>and</w:t>
      </w:r>
      <w:r>
        <w:rPr>
          <w:spacing w:val="-3"/>
        </w:rPr>
        <w:t> </w:t>
      </w:r>
      <w:r>
        <w:rPr>
          <w:spacing w:val="-2"/>
        </w:rPr>
        <w:t>College</w:t>
      </w:r>
    </w:p>
    <w:p>
      <w:pPr>
        <w:pStyle w:val="BodyText"/>
        <w:rPr>
          <w:b/>
          <w:sz w:val="22"/>
        </w:rPr>
      </w:pPr>
    </w:p>
    <w:p>
      <w:pPr>
        <w:pStyle w:val="BodyText"/>
        <w:ind w:left="852"/>
      </w:pPr>
      <w:r>
        <w:rPr/>
        <w:t>The average number of persons employed by the Group (including key management personnel) during the year, expressed as average headcount and calculated on a monthly basis, was:</w:t>
      </w:r>
    </w:p>
    <w:p>
      <w:pPr>
        <w:pStyle w:val="BodyText"/>
        <w:spacing w:before="18"/>
      </w:pPr>
    </w:p>
    <w:p>
      <w:pPr>
        <w:tabs>
          <w:tab w:pos="8450" w:val="left" w:leader="none"/>
        </w:tabs>
        <w:spacing w:before="1" w:after="48"/>
        <w:ind w:left="5686"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0"/>
        <w:gridCol w:w="1143"/>
        <w:gridCol w:w="277"/>
        <w:gridCol w:w="999"/>
        <w:gridCol w:w="418"/>
        <w:gridCol w:w="1001"/>
        <w:gridCol w:w="276"/>
        <w:gridCol w:w="998"/>
      </w:tblGrid>
      <w:tr>
        <w:trPr>
          <w:trHeight w:val="776" w:hRule="atLeast"/>
        </w:trPr>
        <w:tc>
          <w:tcPr>
            <w:tcW w:w="4080" w:type="dxa"/>
          </w:tcPr>
          <w:p>
            <w:pPr>
              <w:pStyle w:val="TableParagraph"/>
              <w:rPr>
                <w:rFonts w:ascii="Times New Roman"/>
                <w:sz w:val="20"/>
              </w:rPr>
            </w:pPr>
          </w:p>
        </w:tc>
        <w:tc>
          <w:tcPr>
            <w:tcW w:w="1143" w:type="dxa"/>
          </w:tcPr>
          <w:p>
            <w:pPr>
              <w:pStyle w:val="TableParagraph"/>
              <w:spacing w:line="223" w:lineRule="exact"/>
              <w:ind w:right="111"/>
              <w:jc w:val="right"/>
              <w:rPr>
                <w:b/>
                <w:sz w:val="20"/>
              </w:rPr>
            </w:pPr>
            <w:r>
              <w:rPr>
                <w:b/>
                <w:spacing w:val="-4"/>
                <w:sz w:val="20"/>
              </w:rPr>
              <w:t>2023</w:t>
            </w:r>
          </w:p>
          <w:p>
            <w:pPr>
              <w:pStyle w:val="TableParagraph"/>
              <w:spacing w:before="39"/>
              <w:ind w:right="110"/>
              <w:jc w:val="right"/>
              <w:rPr>
                <w:b/>
                <w:sz w:val="20"/>
              </w:rPr>
            </w:pPr>
            <w:r>
              <w:rPr>
                <w:b/>
                <w:spacing w:val="-4"/>
                <w:sz w:val="20"/>
              </w:rPr>
              <w:t>Group</w:t>
            </w:r>
          </w:p>
          <w:p>
            <w:pPr>
              <w:pStyle w:val="TableParagraph"/>
              <w:spacing w:line="223" w:lineRule="exact" w:before="41"/>
              <w:ind w:left="710"/>
              <w:rPr>
                <w:b/>
                <w:sz w:val="20"/>
              </w:rPr>
            </w:pPr>
            <w:r>
              <w:rPr>
                <w:b/>
                <w:spacing w:val="-5"/>
                <w:sz w:val="20"/>
              </w:rPr>
              <w:t>No.</w:t>
            </w:r>
          </w:p>
        </w:tc>
        <w:tc>
          <w:tcPr>
            <w:tcW w:w="277" w:type="dxa"/>
          </w:tcPr>
          <w:p>
            <w:pPr>
              <w:pStyle w:val="TableParagraph"/>
              <w:rPr>
                <w:rFonts w:ascii="Times New Roman"/>
                <w:sz w:val="20"/>
              </w:rPr>
            </w:pPr>
          </w:p>
        </w:tc>
        <w:tc>
          <w:tcPr>
            <w:tcW w:w="999" w:type="dxa"/>
          </w:tcPr>
          <w:p>
            <w:pPr>
              <w:pStyle w:val="TableParagraph"/>
              <w:spacing w:line="223" w:lineRule="exact"/>
              <w:ind w:right="110"/>
              <w:jc w:val="right"/>
              <w:rPr>
                <w:b/>
                <w:sz w:val="20"/>
              </w:rPr>
            </w:pPr>
            <w:r>
              <w:rPr>
                <w:b/>
                <w:spacing w:val="-4"/>
                <w:sz w:val="20"/>
              </w:rPr>
              <w:t>2023</w:t>
            </w:r>
          </w:p>
          <w:p>
            <w:pPr>
              <w:pStyle w:val="TableParagraph"/>
              <w:spacing w:before="39"/>
              <w:ind w:right="110"/>
              <w:jc w:val="right"/>
              <w:rPr>
                <w:b/>
                <w:sz w:val="20"/>
              </w:rPr>
            </w:pPr>
            <w:r>
              <w:rPr>
                <w:b/>
                <w:spacing w:val="-2"/>
                <w:sz w:val="20"/>
              </w:rPr>
              <w:t>College</w:t>
            </w:r>
          </w:p>
          <w:p>
            <w:pPr>
              <w:pStyle w:val="TableParagraph"/>
              <w:spacing w:line="223" w:lineRule="exact" w:before="41"/>
              <w:ind w:left="566"/>
              <w:rPr>
                <w:b/>
                <w:sz w:val="20"/>
              </w:rPr>
            </w:pPr>
            <w:r>
              <w:rPr>
                <w:b/>
                <w:spacing w:val="-5"/>
                <w:sz w:val="20"/>
              </w:rPr>
              <w:t>No.</w:t>
            </w:r>
          </w:p>
        </w:tc>
        <w:tc>
          <w:tcPr>
            <w:tcW w:w="418" w:type="dxa"/>
          </w:tcPr>
          <w:p>
            <w:pPr>
              <w:pStyle w:val="TableParagraph"/>
              <w:rPr>
                <w:rFonts w:ascii="Times New Roman"/>
                <w:sz w:val="20"/>
              </w:rPr>
            </w:pPr>
          </w:p>
        </w:tc>
        <w:tc>
          <w:tcPr>
            <w:tcW w:w="1001" w:type="dxa"/>
          </w:tcPr>
          <w:p>
            <w:pPr>
              <w:pStyle w:val="TableParagraph"/>
              <w:spacing w:line="223" w:lineRule="exact"/>
              <w:ind w:right="111"/>
              <w:jc w:val="right"/>
              <w:rPr>
                <w:b/>
                <w:sz w:val="20"/>
              </w:rPr>
            </w:pPr>
            <w:r>
              <w:rPr>
                <w:b/>
                <w:spacing w:val="-4"/>
                <w:sz w:val="20"/>
              </w:rPr>
              <w:t>2022</w:t>
            </w:r>
          </w:p>
          <w:p>
            <w:pPr>
              <w:pStyle w:val="TableParagraph"/>
              <w:spacing w:before="39"/>
              <w:ind w:right="109"/>
              <w:jc w:val="right"/>
              <w:rPr>
                <w:b/>
                <w:sz w:val="20"/>
              </w:rPr>
            </w:pPr>
            <w:r>
              <w:rPr>
                <w:b/>
                <w:spacing w:val="-4"/>
                <w:sz w:val="20"/>
              </w:rPr>
              <w:t>Group</w:t>
            </w:r>
          </w:p>
          <w:p>
            <w:pPr>
              <w:pStyle w:val="TableParagraph"/>
              <w:spacing w:line="223" w:lineRule="exact" w:before="41"/>
              <w:ind w:left="568"/>
              <w:rPr>
                <w:b/>
                <w:sz w:val="20"/>
              </w:rPr>
            </w:pPr>
            <w:r>
              <w:rPr>
                <w:b/>
                <w:spacing w:val="-5"/>
                <w:sz w:val="20"/>
              </w:rPr>
              <w:t>No.</w:t>
            </w:r>
          </w:p>
        </w:tc>
        <w:tc>
          <w:tcPr>
            <w:tcW w:w="276" w:type="dxa"/>
          </w:tcPr>
          <w:p>
            <w:pPr>
              <w:pStyle w:val="TableParagraph"/>
              <w:rPr>
                <w:rFonts w:ascii="Times New Roman"/>
                <w:sz w:val="20"/>
              </w:rPr>
            </w:pPr>
          </w:p>
        </w:tc>
        <w:tc>
          <w:tcPr>
            <w:tcW w:w="998" w:type="dxa"/>
          </w:tcPr>
          <w:p>
            <w:pPr>
              <w:pStyle w:val="TableParagraph"/>
              <w:spacing w:line="223" w:lineRule="exact"/>
              <w:ind w:right="110"/>
              <w:jc w:val="right"/>
              <w:rPr>
                <w:b/>
                <w:sz w:val="20"/>
              </w:rPr>
            </w:pPr>
            <w:r>
              <w:rPr>
                <w:b/>
                <w:spacing w:val="-4"/>
                <w:sz w:val="20"/>
              </w:rPr>
              <w:t>2022</w:t>
            </w:r>
          </w:p>
          <w:p>
            <w:pPr>
              <w:pStyle w:val="TableParagraph"/>
              <w:spacing w:before="39"/>
              <w:ind w:right="110"/>
              <w:jc w:val="right"/>
              <w:rPr>
                <w:b/>
                <w:sz w:val="20"/>
              </w:rPr>
            </w:pPr>
            <w:r>
              <w:rPr>
                <w:b/>
                <w:spacing w:val="-2"/>
                <w:sz w:val="20"/>
              </w:rPr>
              <w:t>College</w:t>
            </w:r>
          </w:p>
          <w:p>
            <w:pPr>
              <w:pStyle w:val="TableParagraph"/>
              <w:spacing w:line="223" w:lineRule="exact" w:before="41"/>
              <w:ind w:left="565"/>
              <w:rPr>
                <w:b/>
                <w:sz w:val="20"/>
              </w:rPr>
            </w:pPr>
            <w:r>
              <w:rPr>
                <w:b/>
                <w:spacing w:val="-5"/>
                <w:sz w:val="20"/>
              </w:rPr>
              <w:t>No.</w:t>
            </w:r>
          </w:p>
        </w:tc>
      </w:tr>
      <w:tr>
        <w:trPr>
          <w:trHeight w:val="270" w:hRule="atLeast"/>
        </w:trPr>
        <w:tc>
          <w:tcPr>
            <w:tcW w:w="4080" w:type="dxa"/>
          </w:tcPr>
          <w:p>
            <w:pPr>
              <w:pStyle w:val="TableParagraph"/>
              <w:spacing w:before="6"/>
              <w:ind w:left="50"/>
              <w:rPr>
                <w:sz w:val="20"/>
              </w:rPr>
            </w:pPr>
            <w:r>
              <w:rPr>
                <w:sz w:val="20"/>
              </w:rPr>
              <w:t>Teaching</w:t>
            </w:r>
            <w:r>
              <w:rPr>
                <w:spacing w:val="-12"/>
                <w:sz w:val="20"/>
              </w:rPr>
              <w:t> </w:t>
            </w:r>
            <w:r>
              <w:rPr>
                <w:spacing w:val="-2"/>
                <w:sz w:val="20"/>
              </w:rPr>
              <w:t>staff</w:t>
            </w:r>
          </w:p>
        </w:tc>
        <w:tc>
          <w:tcPr>
            <w:tcW w:w="1143" w:type="dxa"/>
          </w:tcPr>
          <w:p>
            <w:pPr>
              <w:pStyle w:val="TableParagraph"/>
              <w:spacing w:line="225" w:lineRule="exact" w:before="25"/>
              <w:ind w:right="111"/>
              <w:jc w:val="right"/>
              <w:rPr>
                <w:sz w:val="20"/>
              </w:rPr>
            </w:pPr>
            <w:r>
              <w:rPr>
                <w:spacing w:val="-5"/>
                <w:sz w:val="20"/>
              </w:rPr>
              <w:t>148</w:t>
            </w:r>
          </w:p>
        </w:tc>
        <w:tc>
          <w:tcPr>
            <w:tcW w:w="277" w:type="dxa"/>
          </w:tcPr>
          <w:p>
            <w:pPr>
              <w:pStyle w:val="TableParagraph"/>
              <w:rPr>
                <w:rFonts w:ascii="Times New Roman"/>
                <w:sz w:val="20"/>
              </w:rPr>
            </w:pPr>
          </w:p>
        </w:tc>
        <w:tc>
          <w:tcPr>
            <w:tcW w:w="999" w:type="dxa"/>
          </w:tcPr>
          <w:p>
            <w:pPr>
              <w:pStyle w:val="TableParagraph"/>
              <w:spacing w:line="225" w:lineRule="exact" w:before="25"/>
              <w:ind w:right="159"/>
              <w:jc w:val="right"/>
              <w:rPr>
                <w:sz w:val="20"/>
              </w:rPr>
            </w:pPr>
            <w:r>
              <w:rPr>
                <w:spacing w:val="-5"/>
                <w:sz w:val="20"/>
              </w:rPr>
              <w:t>148</w:t>
            </w:r>
          </w:p>
        </w:tc>
        <w:tc>
          <w:tcPr>
            <w:tcW w:w="418" w:type="dxa"/>
          </w:tcPr>
          <w:p>
            <w:pPr>
              <w:pStyle w:val="TableParagraph"/>
              <w:rPr>
                <w:rFonts w:ascii="Times New Roman"/>
                <w:sz w:val="20"/>
              </w:rPr>
            </w:pPr>
          </w:p>
        </w:tc>
        <w:tc>
          <w:tcPr>
            <w:tcW w:w="1001" w:type="dxa"/>
          </w:tcPr>
          <w:p>
            <w:pPr>
              <w:pStyle w:val="TableParagraph"/>
              <w:spacing w:line="225" w:lineRule="exact" w:before="25"/>
              <w:ind w:right="111"/>
              <w:jc w:val="right"/>
              <w:rPr>
                <w:sz w:val="20"/>
              </w:rPr>
            </w:pPr>
            <w:r>
              <w:rPr>
                <w:spacing w:val="-5"/>
                <w:sz w:val="20"/>
              </w:rPr>
              <w:t>159</w:t>
            </w:r>
          </w:p>
        </w:tc>
        <w:tc>
          <w:tcPr>
            <w:tcW w:w="276" w:type="dxa"/>
          </w:tcPr>
          <w:p>
            <w:pPr>
              <w:pStyle w:val="TableParagraph"/>
              <w:rPr>
                <w:rFonts w:ascii="Times New Roman"/>
                <w:sz w:val="20"/>
              </w:rPr>
            </w:pPr>
          </w:p>
        </w:tc>
        <w:tc>
          <w:tcPr>
            <w:tcW w:w="998" w:type="dxa"/>
          </w:tcPr>
          <w:p>
            <w:pPr>
              <w:pStyle w:val="TableParagraph"/>
              <w:spacing w:line="225" w:lineRule="exact" w:before="25"/>
              <w:ind w:right="159"/>
              <w:jc w:val="right"/>
              <w:rPr>
                <w:sz w:val="20"/>
              </w:rPr>
            </w:pPr>
            <w:r>
              <w:rPr>
                <w:spacing w:val="-5"/>
                <w:sz w:val="20"/>
              </w:rPr>
              <w:t>159</w:t>
            </w:r>
          </w:p>
        </w:tc>
      </w:tr>
      <w:tr>
        <w:trPr>
          <w:trHeight w:val="276" w:hRule="atLeast"/>
        </w:trPr>
        <w:tc>
          <w:tcPr>
            <w:tcW w:w="4080" w:type="dxa"/>
          </w:tcPr>
          <w:p>
            <w:pPr>
              <w:pStyle w:val="TableParagraph"/>
              <w:spacing w:before="7"/>
              <w:ind w:left="50"/>
              <w:rPr>
                <w:sz w:val="20"/>
              </w:rPr>
            </w:pPr>
            <w:r>
              <w:rPr>
                <w:spacing w:val="-2"/>
                <w:sz w:val="20"/>
              </w:rPr>
              <w:t>Non-teaching</w:t>
            </w:r>
            <w:r>
              <w:rPr>
                <w:spacing w:val="8"/>
                <w:sz w:val="20"/>
              </w:rPr>
              <w:t> </w:t>
            </w:r>
            <w:r>
              <w:rPr>
                <w:spacing w:val="-4"/>
                <w:sz w:val="20"/>
              </w:rPr>
              <w:t>staff</w:t>
            </w:r>
          </w:p>
        </w:tc>
        <w:tc>
          <w:tcPr>
            <w:tcW w:w="1143" w:type="dxa"/>
            <w:tcBorders>
              <w:bottom w:val="single" w:sz="4" w:space="0" w:color="000000"/>
            </w:tcBorders>
          </w:tcPr>
          <w:p>
            <w:pPr>
              <w:pStyle w:val="TableParagraph"/>
              <w:spacing w:before="26"/>
              <w:ind w:right="111"/>
              <w:jc w:val="right"/>
              <w:rPr>
                <w:sz w:val="20"/>
              </w:rPr>
            </w:pPr>
            <w:r>
              <w:rPr>
                <w:spacing w:val="-5"/>
                <w:sz w:val="20"/>
              </w:rPr>
              <w:t>324</w:t>
            </w:r>
          </w:p>
        </w:tc>
        <w:tc>
          <w:tcPr>
            <w:tcW w:w="277" w:type="dxa"/>
          </w:tcPr>
          <w:p>
            <w:pPr>
              <w:pStyle w:val="TableParagraph"/>
              <w:rPr>
                <w:rFonts w:ascii="Times New Roman"/>
                <w:sz w:val="20"/>
              </w:rPr>
            </w:pPr>
          </w:p>
        </w:tc>
        <w:tc>
          <w:tcPr>
            <w:tcW w:w="999" w:type="dxa"/>
            <w:tcBorders>
              <w:bottom w:val="single" w:sz="4" w:space="0" w:color="000000"/>
            </w:tcBorders>
          </w:tcPr>
          <w:p>
            <w:pPr>
              <w:pStyle w:val="TableParagraph"/>
              <w:spacing w:before="26"/>
              <w:ind w:right="159"/>
              <w:jc w:val="right"/>
              <w:rPr>
                <w:sz w:val="20"/>
              </w:rPr>
            </w:pPr>
            <w:r>
              <w:rPr>
                <w:spacing w:val="-5"/>
                <w:sz w:val="20"/>
              </w:rPr>
              <w:t>167</w:t>
            </w:r>
          </w:p>
        </w:tc>
        <w:tc>
          <w:tcPr>
            <w:tcW w:w="418" w:type="dxa"/>
          </w:tcPr>
          <w:p>
            <w:pPr>
              <w:pStyle w:val="TableParagraph"/>
              <w:rPr>
                <w:rFonts w:ascii="Times New Roman"/>
                <w:sz w:val="20"/>
              </w:rPr>
            </w:pPr>
          </w:p>
        </w:tc>
        <w:tc>
          <w:tcPr>
            <w:tcW w:w="1001" w:type="dxa"/>
            <w:tcBorders>
              <w:bottom w:val="single" w:sz="4" w:space="0" w:color="000000"/>
            </w:tcBorders>
          </w:tcPr>
          <w:p>
            <w:pPr>
              <w:pStyle w:val="TableParagraph"/>
              <w:spacing w:before="26"/>
              <w:ind w:right="111"/>
              <w:jc w:val="right"/>
              <w:rPr>
                <w:sz w:val="20"/>
              </w:rPr>
            </w:pPr>
            <w:r>
              <w:rPr>
                <w:spacing w:val="-5"/>
                <w:sz w:val="20"/>
              </w:rPr>
              <w:t>405</w:t>
            </w:r>
          </w:p>
        </w:tc>
        <w:tc>
          <w:tcPr>
            <w:tcW w:w="276" w:type="dxa"/>
          </w:tcPr>
          <w:p>
            <w:pPr>
              <w:pStyle w:val="TableParagraph"/>
              <w:rPr>
                <w:rFonts w:ascii="Times New Roman"/>
                <w:sz w:val="20"/>
              </w:rPr>
            </w:pPr>
          </w:p>
        </w:tc>
        <w:tc>
          <w:tcPr>
            <w:tcW w:w="998" w:type="dxa"/>
            <w:tcBorders>
              <w:bottom w:val="single" w:sz="4" w:space="0" w:color="000000"/>
            </w:tcBorders>
          </w:tcPr>
          <w:p>
            <w:pPr>
              <w:pStyle w:val="TableParagraph"/>
              <w:spacing w:before="26"/>
              <w:ind w:right="159"/>
              <w:jc w:val="right"/>
              <w:rPr>
                <w:sz w:val="20"/>
              </w:rPr>
            </w:pPr>
            <w:r>
              <w:rPr>
                <w:spacing w:val="-5"/>
                <w:sz w:val="20"/>
              </w:rPr>
              <w:t>227</w:t>
            </w:r>
          </w:p>
        </w:tc>
      </w:tr>
      <w:tr>
        <w:trPr>
          <w:trHeight w:val="272" w:hRule="atLeast"/>
        </w:trPr>
        <w:tc>
          <w:tcPr>
            <w:tcW w:w="4080" w:type="dxa"/>
          </w:tcPr>
          <w:p>
            <w:pPr>
              <w:pStyle w:val="TableParagraph"/>
              <w:rPr>
                <w:rFonts w:ascii="Times New Roman"/>
                <w:sz w:val="20"/>
              </w:rPr>
            </w:pPr>
          </w:p>
        </w:tc>
        <w:tc>
          <w:tcPr>
            <w:tcW w:w="1143" w:type="dxa"/>
            <w:tcBorders>
              <w:top w:val="single" w:sz="4" w:space="0" w:color="000000"/>
              <w:bottom w:val="double" w:sz="4" w:space="0" w:color="000000"/>
            </w:tcBorders>
          </w:tcPr>
          <w:p>
            <w:pPr>
              <w:pStyle w:val="TableParagraph"/>
              <w:spacing w:before="21"/>
              <w:ind w:right="111"/>
              <w:jc w:val="right"/>
              <w:rPr>
                <w:sz w:val="20"/>
              </w:rPr>
            </w:pPr>
            <w:r>
              <w:rPr>
                <w:spacing w:val="-5"/>
                <w:sz w:val="20"/>
              </w:rPr>
              <w:t>472</w:t>
            </w:r>
          </w:p>
        </w:tc>
        <w:tc>
          <w:tcPr>
            <w:tcW w:w="277" w:type="dxa"/>
          </w:tcPr>
          <w:p>
            <w:pPr>
              <w:pStyle w:val="TableParagraph"/>
              <w:rPr>
                <w:rFonts w:ascii="Times New Roman"/>
                <w:sz w:val="20"/>
              </w:rPr>
            </w:pPr>
          </w:p>
        </w:tc>
        <w:tc>
          <w:tcPr>
            <w:tcW w:w="999" w:type="dxa"/>
            <w:tcBorders>
              <w:top w:val="single" w:sz="4" w:space="0" w:color="000000"/>
              <w:bottom w:val="double" w:sz="4" w:space="0" w:color="000000"/>
            </w:tcBorders>
          </w:tcPr>
          <w:p>
            <w:pPr>
              <w:pStyle w:val="TableParagraph"/>
              <w:spacing w:before="21"/>
              <w:ind w:right="159"/>
              <w:jc w:val="right"/>
              <w:rPr>
                <w:sz w:val="20"/>
              </w:rPr>
            </w:pPr>
            <w:r>
              <w:rPr>
                <w:spacing w:val="-5"/>
                <w:sz w:val="20"/>
              </w:rPr>
              <w:t>315</w:t>
            </w:r>
          </w:p>
        </w:tc>
        <w:tc>
          <w:tcPr>
            <w:tcW w:w="418"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21"/>
              <w:ind w:right="111"/>
              <w:jc w:val="right"/>
              <w:rPr>
                <w:sz w:val="20"/>
              </w:rPr>
            </w:pPr>
            <w:r>
              <w:rPr>
                <w:spacing w:val="-5"/>
                <w:sz w:val="20"/>
              </w:rPr>
              <w:t>564</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21"/>
              <w:ind w:right="159"/>
              <w:jc w:val="right"/>
              <w:rPr>
                <w:sz w:val="20"/>
              </w:rPr>
            </w:pPr>
            <w:r>
              <w:rPr>
                <w:spacing w:val="-5"/>
                <w:sz w:val="20"/>
              </w:rPr>
              <w:t>386</w:t>
            </w:r>
          </w:p>
        </w:tc>
      </w:tr>
    </w:tbl>
    <w:p>
      <w:pPr>
        <w:pStyle w:val="TableParagraph"/>
        <w:spacing w:after="0"/>
        <w:jc w:val="right"/>
        <w:rPr>
          <w:sz w:val="20"/>
        </w:rPr>
        <w:sectPr>
          <w:headerReference w:type="default" r:id="rId40"/>
          <w:footerReference w:type="default" r:id="rId41"/>
          <w:pgSz w:w="11910" w:h="16850"/>
          <w:pgMar w:header="727" w:footer="702" w:top="1520" w:bottom="900" w:left="566" w:right="708"/>
        </w:sectPr>
      </w:pPr>
    </w:p>
    <w:p>
      <w:pPr>
        <w:pStyle w:val="BodyText"/>
        <w:rPr>
          <w:b/>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tabs>
          <w:tab w:pos="852" w:val="left" w:leader="none"/>
        </w:tabs>
        <w:ind w:right="703" w:hanging="428"/>
      </w:pPr>
      <w:r>
        <w:rPr>
          <w:spacing w:val="-6"/>
        </w:rPr>
        <w:t>7.</w:t>
      </w:r>
      <w:r>
        <w:rPr/>
        <w:tab/>
        <w:t>Staff</w:t>
      </w:r>
      <w:r>
        <w:rPr>
          <w:spacing w:val="80"/>
        </w:rPr>
        <w:t> </w:t>
      </w:r>
      <w:r>
        <w:rPr/>
        <w:t>costs</w:t>
      </w:r>
      <w:r>
        <w:rPr>
          <w:spacing w:val="80"/>
        </w:rPr>
        <w:t> </w:t>
      </w:r>
      <w:r>
        <w:rPr/>
        <w:t>and</w:t>
      </w:r>
      <w:r>
        <w:rPr>
          <w:spacing w:val="80"/>
        </w:rPr>
        <w:t> </w:t>
      </w:r>
      <w:r>
        <w:rPr/>
        <w:t>key</w:t>
      </w:r>
      <w:r>
        <w:rPr>
          <w:spacing w:val="79"/>
        </w:rPr>
        <w:t> </w:t>
      </w:r>
      <w:r>
        <w:rPr/>
        <w:t>management</w:t>
      </w:r>
      <w:r>
        <w:rPr>
          <w:spacing w:val="80"/>
        </w:rPr>
        <w:t> </w:t>
      </w:r>
      <w:r>
        <w:rPr/>
        <w:t>personnel</w:t>
      </w:r>
      <w:r>
        <w:rPr>
          <w:spacing w:val="80"/>
        </w:rPr>
        <w:t> </w:t>
      </w:r>
      <w:r>
        <w:rPr/>
        <w:t>remuneration</w:t>
      </w:r>
      <w:r>
        <w:rPr>
          <w:spacing w:val="80"/>
        </w:rPr>
        <w:t> </w:t>
      </w:r>
      <w:r>
        <w:rPr/>
        <w:t>–</w:t>
      </w:r>
      <w:r>
        <w:rPr>
          <w:spacing w:val="79"/>
        </w:rPr>
        <w:t> </w:t>
      </w:r>
      <w:r>
        <w:rPr/>
        <w:t>Group</w:t>
      </w:r>
      <w:r>
        <w:rPr>
          <w:spacing w:val="80"/>
        </w:rPr>
        <w:t> </w:t>
      </w:r>
      <w:r>
        <w:rPr/>
        <w:t>and</w:t>
      </w:r>
      <w:r>
        <w:rPr>
          <w:spacing w:val="80"/>
        </w:rPr>
        <w:t> </w:t>
      </w:r>
      <w:r>
        <w:rPr/>
        <w:t>College </w:t>
      </w:r>
      <w:r>
        <w:rPr>
          <w:spacing w:val="-2"/>
        </w:rPr>
        <w:t>(continued)</w:t>
      </w:r>
    </w:p>
    <w:p>
      <w:pPr>
        <w:spacing w:before="230"/>
        <w:ind w:left="852" w:right="0" w:firstLine="0"/>
        <w:jc w:val="left"/>
        <w:rPr>
          <w:b/>
          <w:sz w:val="20"/>
        </w:rPr>
      </w:pPr>
      <w:r>
        <w:rPr>
          <w:b/>
          <w:sz w:val="20"/>
        </w:rPr>
        <w:t>Staff</w:t>
      </w:r>
      <w:r>
        <w:rPr>
          <w:b/>
          <w:spacing w:val="-6"/>
          <w:sz w:val="20"/>
        </w:rPr>
        <w:t> </w:t>
      </w:r>
      <w:r>
        <w:rPr>
          <w:b/>
          <w:sz w:val="20"/>
        </w:rPr>
        <w:t>costs</w:t>
      </w:r>
      <w:r>
        <w:rPr>
          <w:b/>
          <w:spacing w:val="-6"/>
          <w:sz w:val="20"/>
        </w:rPr>
        <w:t> </w:t>
      </w:r>
      <w:r>
        <w:rPr>
          <w:b/>
          <w:sz w:val="20"/>
        </w:rPr>
        <w:t>for</w:t>
      </w:r>
      <w:r>
        <w:rPr>
          <w:b/>
          <w:spacing w:val="-7"/>
          <w:sz w:val="20"/>
        </w:rPr>
        <w:t> </w:t>
      </w:r>
      <w:r>
        <w:rPr>
          <w:b/>
          <w:sz w:val="20"/>
        </w:rPr>
        <w:t>the</w:t>
      </w:r>
      <w:r>
        <w:rPr>
          <w:b/>
          <w:spacing w:val="-5"/>
          <w:sz w:val="20"/>
        </w:rPr>
        <w:t> </w:t>
      </w:r>
      <w:r>
        <w:rPr>
          <w:b/>
          <w:sz w:val="20"/>
        </w:rPr>
        <w:t>above</w:t>
      </w:r>
      <w:r>
        <w:rPr>
          <w:b/>
          <w:spacing w:val="-2"/>
          <w:sz w:val="20"/>
        </w:rPr>
        <w:t> persons:</w:t>
      </w:r>
    </w:p>
    <w:p>
      <w:pPr>
        <w:pStyle w:val="BodyText"/>
        <w:spacing w:before="20"/>
        <w:rPr>
          <w:b/>
        </w:rPr>
      </w:pPr>
    </w:p>
    <w:p>
      <w:pPr>
        <w:tabs>
          <w:tab w:pos="7884" w:val="left" w:leader="none"/>
        </w:tabs>
        <w:spacing w:before="0" w:after="47"/>
        <w:ind w:left="5119"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3"/>
        <w:gridCol w:w="1140"/>
        <w:gridCol w:w="278"/>
        <w:gridCol w:w="998"/>
        <w:gridCol w:w="417"/>
        <w:gridCol w:w="1000"/>
        <w:gridCol w:w="275"/>
        <w:gridCol w:w="997"/>
      </w:tblGrid>
      <w:tr>
        <w:trPr>
          <w:trHeight w:val="776" w:hRule="atLeast"/>
        </w:trPr>
        <w:tc>
          <w:tcPr>
            <w:tcW w:w="3513" w:type="dxa"/>
          </w:tcPr>
          <w:p>
            <w:pPr>
              <w:pStyle w:val="TableParagraph"/>
              <w:rPr>
                <w:rFonts w:ascii="Times New Roman"/>
                <w:sz w:val="20"/>
              </w:rPr>
            </w:pPr>
          </w:p>
        </w:tc>
        <w:tc>
          <w:tcPr>
            <w:tcW w:w="1140" w:type="dxa"/>
          </w:tcPr>
          <w:p>
            <w:pPr>
              <w:pStyle w:val="TableParagraph"/>
              <w:spacing w:line="223" w:lineRule="exact"/>
              <w:ind w:right="107"/>
              <w:jc w:val="right"/>
              <w:rPr>
                <w:b/>
                <w:sz w:val="20"/>
              </w:rPr>
            </w:pPr>
            <w:r>
              <w:rPr>
                <w:b/>
                <w:spacing w:val="-4"/>
                <w:sz w:val="20"/>
              </w:rPr>
              <w:t>2023</w:t>
            </w:r>
          </w:p>
          <w:p>
            <w:pPr>
              <w:pStyle w:val="TableParagraph"/>
              <w:spacing w:before="41"/>
              <w:ind w:right="106"/>
              <w:jc w:val="right"/>
              <w:rPr>
                <w:b/>
                <w:sz w:val="20"/>
              </w:rPr>
            </w:pPr>
            <w:r>
              <w:rPr>
                <w:b/>
                <w:spacing w:val="-4"/>
                <w:sz w:val="20"/>
              </w:rPr>
              <w:t>Group</w:t>
            </w:r>
          </w:p>
          <w:p>
            <w:pPr>
              <w:pStyle w:val="TableParagraph"/>
              <w:spacing w:line="223" w:lineRule="exact" w:before="39"/>
              <w:ind w:right="107"/>
              <w:jc w:val="right"/>
              <w:rPr>
                <w:b/>
                <w:sz w:val="20"/>
              </w:rPr>
            </w:pPr>
            <w:r>
              <w:rPr>
                <w:b/>
                <w:spacing w:val="-2"/>
                <w:sz w:val="20"/>
              </w:rPr>
              <w:t>£’000</w:t>
            </w:r>
          </w:p>
        </w:tc>
        <w:tc>
          <w:tcPr>
            <w:tcW w:w="278" w:type="dxa"/>
          </w:tcPr>
          <w:p>
            <w:pPr>
              <w:pStyle w:val="TableParagraph"/>
              <w:rPr>
                <w:rFonts w:ascii="Times New Roman"/>
                <w:sz w:val="20"/>
              </w:rPr>
            </w:pPr>
          </w:p>
        </w:tc>
        <w:tc>
          <w:tcPr>
            <w:tcW w:w="998" w:type="dxa"/>
          </w:tcPr>
          <w:p>
            <w:pPr>
              <w:pStyle w:val="TableParagraph"/>
              <w:spacing w:line="223" w:lineRule="exact"/>
              <w:ind w:right="109"/>
              <w:jc w:val="right"/>
              <w:rPr>
                <w:b/>
                <w:sz w:val="20"/>
              </w:rPr>
            </w:pPr>
            <w:r>
              <w:rPr>
                <w:b/>
                <w:spacing w:val="-4"/>
                <w:sz w:val="20"/>
              </w:rPr>
              <w:t>2023</w:t>
            </w:r>
          </w:p>
          <w:p>
            <w:pPr>
              <w:pStyle w:val="TableParagraph"/>
              <w:spacing w:before="41"/>
              <w:ind w:right="109"/>
              <w:jc w:val="right"/>
              <w:rPr>
                <w:b/>
                <w:sz w:val="20"/>
              </w:rPr>
            </w:pPr>
            <w:r>
              <w:rPr>
                <w:b/>
                <w:spacing w:val="-2"/>
                <w:sz w:val="20"/>
              </w:rPr>
              <w:t>College</w:t>
            </w:r>
          </w:p>
          <w:p>
            <w:pPr>
              <w:pStyle w:val="TableParagraph"/>
              <w:spacing w:line="223" w:lineRule="exact" w:before="39"/>
              <w:ind w:right="109"/>
              <w:jc w:val="right"/>
              <w:rPr>
                <w:b/>
                <w:sz w:val="20"/>
              </w:rPr>
            </w:pPr>
            <w:r>
              <w:rPr>
                <w:b/>
                <w:spacing w:val="-2"/>
                <w:sz w:val="20"/>
              </w:rPr>
              <w:t>£’000</w:t>
            </w:r>
          </w:p>
        </w:tc>
        <w:tc>
          <w:tcPr>
            <w:tcW w:w="417" w:type="dxa"/>
          </w:tcPr>
          <w:p>
            <w:pPr>
              <w:pStyle w:val="TableParagraph"/>
              <w:rPr>
                <w:rFonts w:ascii="Times New Roman"/>
                <w:sz w:val="20"/>
              </w:rPr>
            </w:pPr>
          </w:p>
        </w:tc>
        <w:tc>
          <w:tcPr>
            <w:tcW w:w="1000" w:type="dxa"/>
          </w:tcPr>
          <w:p>
            <w:pPr>
              <w:pStyle w:val="TableParagraph"/>
              <w:spacing w:line="223" w:lineRule="exact"/>
              <w:ind w:right="105"/>
              <w:jc w:val="right"/>
              <w:rPr>
                <w:b/>
                <w:sz w:val="20"/>
              </w:rPr>
            </w:pPr>
            <w:r>
              <w:rPr>
                <w:b/>
                <w:spacing w:val="-4"/>
                <w:sz w:val="20"/>
              </w:rPr>
              <w:t>2022</w:t>
            </w:r>
          </w:p>
          <w:p>
            <w:pPr>
              <w:pStyle w:val="TableParagraph"/>
              <w:spacing w:before="41"/>
              <w:ind w:right="104"/>
              <w:jc w:val="right"/>
              <w:rPr>
                <w:b/>
                <w:sz w:val="20"/>
              </w:rPr>
            </w:pPr>
            <w:r>
              <w:rPr>
                <w:b/>
                <w:spacing w:val="-4"/>
                <w:sz w:val="20"/>
              </w:rPr>
              <w:t>Group</w:t>
            </w:r>
          </w:p>
          <w:p>
            <w:pPr>
              <w:pStyle w:val="TableParagraph"/>
              <w:spacing w:line="223" w:lineRule="exact" w:before="39"/>
              <w:ind w:right="105"/>
              <w:jc w:val="right"/>
              <w:rPr>
                <w:b/>
                <w:sz w:val="20"/>
              </w:rPr>
            </w:pPr>
            <w:r>
              <w:rPr>
                <w:b/>
                <w:spacing w:val="-2"/>
                <w:sz w:val="20"/>
              </w:rPr>
              <w:t>£’000</w:t>
            </w:r>
          </w:p>
        </w:tc>
        <w:tc>
          <w:tcPr>
            <w:tcW w:w="275" w:type="dxa"/>
          </w:tcPr>
          <w:p>
            <w:pPr>
              <w:pStyle w:val="TableParagraph"/>
              <w:rPr>
                <w:rFonts w:ascii="Times New Roman"/>
                <w:sz w:val="20"/>
              </w:rPr>
            </w:pPr>
          </w:p>
        </w:tc>
        <w:tc>
          <w:tcPr>
            <w:tcW w:w="997" w:type="dxa"/>
          </w:tcPr>
          <w:p>
            <w:pPr>
              <w:pStyle w:val="TableParagraph"/>
              <w:spacing w:line="223" w:lineRule="exact"/>
              <w:ind w:right="105"/>
              <w:jc w:val="right"/>
              <w:rPr>
                <w:b/>
                <w:sz w:val="20"/>
              </w:rPr>
            </w:pPr>
            <w:r>
              <w:rPr>
                <w:b/>
                <w:spacing w:val="-4"/>
                <w:sz w:val="20"/>
              </w:rPr>
              <w:t>2022</w:t>
            </w:r>
          </w:p>
          <w:p>
            <w:pPr>
              <w:pStyle w:val="TableParagraph"/>
              <w:spacing w:before="41"/>
              <w:ind w:right="105"/>
              <w:jc w:val="right"/>
              <w:rPr>
                <w:b/>
                <w:sz w:val="20"/>
              </w:rPr>
            </w:pPr>
            <w:r>
              <w:rPr>
                <w:b/>
                <w:spacing w:val="-2"/>
                <w:sz w:val="20"/>
              </w:rPr>
              <w:t>College</w:t>
            </w:r>
          </w:p>
          <w:p>
            <w:pPr>
              <w:pStyle w:val="TableParagraph"/>
              <w:spacing w:line="223" w:lineRule="exact" w:before="39"/>
              <w:ind w:right="144"/>
              <w:jc w:val="right"/>
              <w:rPr>
                <w:b/>
                <w:sz w:val="20"/>
              </w:rPr>
            </w:pPr>
            <w:r>
              <w:rPr>
                <w:b/>
                <w:spacing w:val="-2"/>
                <w:sz w:val="20"/>
              </w:rPr>
              <w:t>£’000</w:t>
            </w:r>
          </w:p>
        </w:tc>
      </w:tr>
      <w:tr>
        <w:trPr>
          <w:trHeight w:val="278" w:hRule="atLeast"/>
        </w:trPr>
        <w:tc>
          <w:tcPr>
            <w:tcW w:w="3513" w:type="dxa"/>
          </w:tcPr>
          <w:p>
            <w:pPr>
              <w:pStyle w:val="TableParagraph"/>
              <w:spacing w:before="6"/>
              <w:ind w:left="50"/>
              <w:rPr>
                <w:sz w:val="20"/>
              </w:rPr>
            </w:pPr>
            <w:r>
              <w:rPr>
                <w:sz w:val="20"/>
              </w:rPr>
              <w:t>Wages</w:t>
            </w:r>
            <w:r>
              <w:rPr>
                <w:spacing w:val="-5"/>
                <w:sz w:val="20"/>
              </w:rPr>
              <w:t> </w:t>
            </w:r>
            <w:r>
              <w:rPr>
                <w:sz w:val="20"/>
              </w:rPr>
              <w:t>and</w:t>
            </w:r>
            <w:r>
              <w:rPr>
                <w:spacing w:val="-6"/>
                <w:sz w:val="20"/>
              </w:rPr>
              <w:t> </w:t>
            </w:r>
            <w:r>
              <w:rPr>
                <w:spacing w:val="-2"/>
                <w:sz w:val="20"/>
              </w:rPr>
              <w:t>salaries</w:t>
            </w:r>
          </w:p>
        </w:tc>
        <w:tc>
          <w:tcPr>
            <w:tcW w:w="1140" w:type="dxa"/>
          </w:tcPr>
          <w:p>
            <w:pPr>
              <w:pStyle w:val="TableParagraph"/>
              <w:spacing w:before="28"/>
              <w:ind w:right="108"/>
              <w:jc w:val="right"/>
              <w:rPr>
                <w:sz w:val="20"/>
              </w:rPr>
            </w:pPr>
            <w:r>
              <w:rPr>
                <w:spacing w:val="-2"/>
                <w:sz w:val="20"/>
              </w:rPr>
              <w:t>11,908</w:t>
            </w:r>
          </w:p>
        </w:tc>
        <w:tc>
          <w:tcPr>
            <w:tcW w:w="278" w:type="dxa"/>
          </w:tcPr>
          <w:p>
            <w:pPr>
              <w:pStyle w:val="TableParagraph"/>
              <w:rPr>
                <w:rFonts w:ascii="Times New Roman"/>
                <w:sz w:val="20"/>
              </w:rPr>
            </w:pPr>
          </w:p>
        </w:tc>
        <w:tc>
          <w:tcPr>
            <w:tcW w:w="998" w:type="dxa"/>
          </w:tcPr>
          <w:p>
            <w:pPr>
              <w:pStyle w:val="TableParagraph"/>
              <w:spacing w:before="28"/>
              <w:ind w:right="157"/>
              <w:jc w:val="right"/>
              <w:rPr>
                <w:sz w:val="20"/>
              </w:rPr>
            </w:pPr>
            <w:r>
              <w:rPr>
                <w:spacing w:val="-2"/>
                <w:sz w:val="20"/>
              </w:rPr>
              <w:t>8,053</w:t>
            </w:r>
          </w:p>
        </w:tc>
        <w:tc>
          <w:tcPr>
            <w:tcW w:w="417" w:type="dxa"/>
          </w:tcPr>
          <w:p>
            <w:pPr>
              <w:pStyle w:val="TableParagraph"/>
              <w:rPr>
                <w:rFonts w:ascii="Times New Roman"/>
                <w:sz w:val="20"/>
              </w:rPr>
            </w:pPr>
          </w:p>
        </w:tc>
        <w:tc>
          <w:tcPr>
            <w:tcW w:w="1000" w:type="dxa"/>
          </w:tcPr>
          <w:p>
            <w:pPr>
              <w:pStyle w:val="TableParagraph"/>
              <w:spacing w:before="28"/>
              <w:ind w:right="106"/>
              <w:jc w:val="right"/>
              <w:rPr>
                <w:sz w:val="20"/>
              </w:rPr>
            </w:pPr>
            <w:r>
              <w:rPr>
                <w:spacing w:val="-2"/>
                <w:sz w:val="20"/>
              </w:rPr>
              <w:t>12,891</w:t>
            </w:r>
          </w:p>
        </w:tc>
        <w:tc>
          <w:tcPr>
            <w:tcW w:w="275" w:type="dxa"/>
          </w:tcPr>
          <w:p>
            <w:pPr>
              <w:pStyle w:val="TableParagraph"/>
              <w:rPr>
                <w:rFonts w:ascii="Times New Roman"/>
                <w:sz w:val="20"/>
              </w:rPr>
            </w:pPr>
          </w:p>
        </w:tc>
        <w:tc>
          <w:tcPr>
            <w:tcW w:w="997" w:type="dxa"/>
          </w:tcPr>
          <w:p>
            <w:pPr>
              <w:pStyle w:val="TableParagraph"/>
              <w:spacing w:before="28"/>
              <w:ind w:right="153"/>
              <w:jc w:val="right"/>
              <w:rPr>
                <w:sz w:val="20"/>
              </w:rPr>
            </w:pPr>
            <w:r>
              <w:rPr>
                <w:spacing w:val="-2"/>
                <w:sz w:val="20"/>
              </w:rPr>
              <w:t>9,180</w:t>
            </w:r>
          </w:p>
        </w:tc>
      </w:tr>
      <w:tr>
        <w:trPr>
          <w:trHeight w:val="277" w:hRule="atLeast"/>
        </w:trPr>
        <w:tc>
          <w:tcPr>
            <w:tcW w:w="3513" w:type="dxa"/>
          </w:tcPr>
          <w:p>
            <w:pPr>
              <w:pStyle w:val="TableParagraph"/>
              <w:spacing w:before="13"/>
              <w:ind w:left="50"/>
              <w:rPr>
                <w:sz w:val="20"/>
              </w:rPr>
            </w:pPr>
            <w:r>
              <w:rPr>
                <w:sz w:val="20"/>
              </w:rPr>
              <w:t>Social</w:t>
            </w:r>
            <w:r>
              <w:rPr>
                <w:spacing w:val="-9"/>
                <w:sz w:val="20"/>
              </w:rPr>
              <w:t> </w:t>
            </w:r>
            <w:r>
              <w:rPr>
                <w:sz w:val="20"/>
              </w:rPr>
              <w:t>security</w:t>
            </w:r>
            <w:r>
              <w:rPr>
                <w:spacing w:val="-7"/>
                <w:sz w:val="20"/>
              </w:rPr>
              <w:t> </w:t>
            </w:r>
            <w:r>
              <w:rPr>
                <w:spacing w:val="-4"/>
                <w:sz w:val="20"/>
              </w:rPr>
              <w:t>costs</w:t>
            </w:r>
          </w:p>
        </w:tc>
        <w:tc>
          <w:tcPr>
            <w:tcW w:w="1140" w:type="dxa"/>
          </w:tcPr>
          <w:p>
            <w:pPr>
              <w:pStyle w:val="TableParagraph"/>
              <w:spacing w:line="225" w:lineRule="exact" w:before="32"/>
              <w:ind w:right="107"/>
              <w:jc w:val="right"/>
              <w:rPr>
                <w:sz w:val="20"/>
              </w:rPr>
            </w:pPr>
            <w:r>
              <w:rPr>
                <w:spacing w:val="-2"/>
                <w:sz w:val="20"/>
              </w:rPr>
              <w:t>1,085</w:t>
            </w:r>
          </w:p>
        </w:tc>
        <w:tc>
          <w:tcPr>
            <w:tcW w:w="278" w:type="dxa"/>
          </w:tcPr>
          <w:p>
            <w:pPr>
              <w:pStyle w:val="TableParagraph"/>
              <w:rPr>
                <w:rFonts w:ascii="Times New Roman"/>
                <w:sz w:val="20"/>
              </w:rPr>
            </w:pPr>
          </w:p>
        </w:tc>
        <w:tc>
          <w:tcPr>
            <w:tcW w:w="998" w:type="dxa"/>
          </w:tcPr>
          <w:p>
            <w:pPr>
              <w:pStyle w:val="TableParagraph"/>
              <w:spacing w:line="225" w:lineRule="exact" w:before="32"/>
              <w:ind w:right="157"/>
              <w:jc w:val="right"/>
              <w:rPr>
                <w:sz w:val="20"/>
              </w:rPr>
            </w:pPr>
            <w:r>
              <w:rPr>
                <w:spacing w:val="-5"/>
                <w:sz w:val="20"/>
              </w:rPr>
              <w:t>796</w:t>
            </w:r>
          </w:p>
        </w:tc>
        <w:tc>
          <w:tcPr>
            <w:tcW w:w="417" w:type="dxa"/>
          </w:tcPr>
          <w:p>
            <w:pPr>
              <w:pStyle w:val="TableParagraph"/>
              <w:rPr>
                <w:rFonts w:ascii="Times New Roman"/>
                <w:sz w:val="20"/>
              </w:rPr>
            </w:pPr>
          </w:p>
        </w:tc>
        <w:tc>
          <w:tcPr>
            <w:tcW w:w="1000" w:type="dxa"/>
          </w:tcPr>
          <w:p>
            <w:pPr>
              <w:pStyle w:val="TableParagraph"/>
              <w:spacing w:line="225" w:lineRule="exact" w:before="32"/>
              <w:ind w:right="105"/>
              <w:jc w:val="right"/>
              <w:rPr>
                <w:sz w:val="20"/>
              </w:rPr>
            </w:pPr>
            <w:r>
              <w:rPr>
                <w:spacing w:val="-2"/>
                <w:sz w:val="20"/>
              </w:rPr>
              <w:t>1,173</w:t>
            </w:r>
          </w:p>
        </w:tc>
        <w:tc>
          <w:tcPr>
            <w:tcW w:w="275" w:type="dxa"/>
          </w:tcPr>
          <w:p>
            <w:pPr>
              <w:pStyle w:val="TableParagraph"/>
              <w:rPr>
                <w:rFonts w:ascii="Times New Roman"/>
                <w:sz w:val="20"/>
              </w:rPr>
            </w:pPr>
          </w:p>
        </w:tc>
        <w:tc>
          <w:tcPr>
            <w:tcW w:w="997" w:type="dxa"/>
          </w:tcPr>
          <w:p>
            <w:pPr>
              <w:pStyle w:val="TableParagraph"/>
              <w:spacing w:line="225" w:lineRule="exact" w:before="32"/>
              <w:ind w:right="154"/>
              <w:jc w:val="right"/>
              <w:rPr>
                <w:sz w:val="20"/>
              </w:rPr>
            </w:pPr>
            <w:r>
              <w:rPr>
                <w:spacing w:val="-5"/>
                <w:sz w:val="20"/>
              </w:rPr>
              <w:t>885</w:t>
            </w:r>
          </w:p>
        </w:tc>
      </w:tr>
      <w:tr>
        <w:trPr>
          <w:trHeight w:val="276" w:hRule="atLeast"/>
        </w:trPr>
        <w:tc>
          <w:tcPr>
            <w:tcW w:w="3513" w:type="dxa"/>
          </w:tcPr>
          <w:p>
            <w:pPr>
              <w:pStyle w:val="TableParagraph"/>
              <w:spacing w:before="7"/>
              <w:ind w:left="50"/>
              <w:rPr>
                <w:sz w:val="20"/>
              </w:rPr>
            </w:pPr>
            <w:r>
              <w:rPr>
                <w:sz w:val="20"/>
              </w:rPr>
              <w:t>Other</w:t>
            </w:r>
            <w:r>
              <w:rPr>
                <w:spacing w:val="-9"/>
                <w:sz w:val="20"/>
              </w:rPr>
              <w:t> </w:t>
            </w:r>
            <w:r>
              <w:rPr>
                <w:sz w:val="20"/>
              </w:rPr>
              <w:t>pension</w:t>
            </w:r>
            <w:r>
              <w:rPr>
                <w:spacing w:val="-7"/>
                <w:sz w:val="20"/>
              </w:rPr>
              <w:t> </w:t>
            </w:r>
            <w:r>
              <w:rPr>
                <w:spacing w:val="-4"/>
                <w:sz w:val="20"/>
              </w:rPr>
              <w:t>costs</w:t>
            </w:r>
          </w:p>
        </w:tc>
        <w:tc>
          <w:tcPr>
            <w:tcW w:w="1140" w:type="dxa"/>
            <w:tcBorders>
              <w:bottom w:val="single" w:sz="4" w:space="0" w:color="000000"/>
            </w:tcBorders>
          </w:tcPr>
          <w:p>
            <w:pPr>
              <w:pStyle w:val="TableParagraph"/>
              <w:spacing w:before="26"/>
              <w:ind w:right="107"/>
              <w:jc w:val="right"/>
              <w:rPr>
                <w:sz w:val="20"/>
              </w:rPr>
            </w:pPr>
            <w:r>
              <w:rPr>
                <w:spacing w:val="-2"/>
                <w:sz w:val="20"/>
              </w:rPr>
              <w:t>2,244</w:t>
            </w:r>
          </w:p>
        </w:tc>
        <w:tc>
          <w:tcPr>
            <w:tcW w:w="278" w:type="dxa"/>
          </w:tcPr>
          <w:p>
            <w:pPr>
              <w:pStyle w:val="TableParagraph"/>
              <w:rPr>
                <w:rFonts w:ascii="Times New Roman"/>
                <w:sz w:val="20"/>
              </w:rPr>
            </w:pPr>
          </w:p>
        </w:tc>
        <w:tc>
          <w:tcPr>
            <w:tcW w:w="998" w:type="dxa"/>
            <w:tcBorders>
              <w:bottom w:val="single" w:sz="4" w:space="0" w:color="000000"/>
            </w:tcBorders>
          </w:tcPr>
          <w:p>
            <w:pPr>
              <w:pStyle w:val="TableParagraph"/>
              <w:spacing w:before="26"/>
              <w:ind w:right="157"/>
              <w:jc w:val="right"/>
              <w:rPr>
                <w:sz w:val="20"/>
              </w:rPr>
            </w:pPr>
            <w:r>
              <w:rPr>
                <w:spacing w:val="-2"/>
                <w:sz w:val="20"/>
              </w:rPr>
              <w:t>2,073</w:t>
            </w:r>
          </w:p>
        </w:tc>
        <w:tc>
          <w:tcPr>
            <w:tcW w:w="417" w:type="dxa"/>
          </w:tcPr>
          <w:p>
            <w:pPr>
              <w:pStyle w:val="TableParagraph"/>
              <w:rPr>
                <w:rFonts w:ascii="Times New Roman"/>
                <w:sz w:val="20"/>
              </w:rPr>
            </w:pPr>
          </w:p>
        </w:tc>
        <w:tc>
          <w:tcPr>
            <w:tcW w:w="1000" w:type="dxa"/>
            <w:tcBorders>
              <w:bottom w:val="single" w:sz="4" w:space="0" w:color="000000"/>
            </w:tcBorders>
          </w:tcPr>
          <w:p>
            <w:pPr>
              <w:pStyle w:val="TableParagraph"/>
              <w:spacing w:before="26"/>
              <w:ind w:right="105"/>
              <w:jc w:val="right"/>
              <w:rPr>
                <w:sz w:val="20"/>
              </w:rPr>
            </w:pPr>
            <w:r>
              <w:rPr>
                <w:spacing w:val="-2"/>
                <w:sz w:val="20"/>
              </w:rPr>
              <w:t>2,941</w:t>
            </w:r>
          </w:p>
        </w:tc>
        <w:tc>
          <w:tcPr>
            <w:tcW w:w="275" w:type="dxa"/>
          </w:tcPr>
          <w:p>
            <w:pPr>
              <w:pStyle w:val="TableParagraph"/>
              <w:rPr>
                <w:rFonts w:ascii="Times New Roman"/>
                <w:sz w:val="20"/>
              </w:rPr>
            </w:pPr>
          </w:p>
        </w:tc>
        <w:tc>
          <w:tcPr>
            <w:tcW w:w="997" w:type="dxa"/>
            <w:tcBorders>
              <w:bottom w:val="single" w:sz="4" w:space="0" w:color="000000"/>
            </w:tcBorders>
          </w:tcPr>
          <w:p>
            <w:pPr>
              <w:pStyle w:val="TableParagraph"/>
              <w:spacing w:before="26"/>
              <w:ind w:right="153"/>
              <w:jc w:val="right"/>
              <w:rPr>
                <w:sz w:val="20"/>
              </w:rPr>
            </w:pPr>
            <w:r>
              <w:rPr>
                <w:spacing w:val="-2"/>
                <w:sz w:val="20"/>
              </w:rPr>
              <w:t>2,774</w:t>
            </w:r>
          </w:p>
        </w:tc>
      </w:tr>
      <w:tr>
        <w:trPr>
          <w:trHeight w:val="263" w:hRule="atLeast"/>
        </w:trPr>
        <w:tc>
          <w:tcPr>
            <w:tcW w:w="3513" w:type="dxa"/>
          </w:tcPr>
          <w:p>
            <w:pPr>
              <w:pStyle w:val="TableParagraph"/>
              <w:spacing w:line="229" w:lineRule="exact"/>
              <w:ind w:left="50"/>
              <w:rPr>
                <w:b/>
                <w:sz w:val="20"/>
              </w:rPr>
            </w:pPr>
            <w:r>
              <w:rPr>
                <w:b/>
                <w:spacing w:val="-2"/>
                <w:sz w:val="20"/>
              </w:rPr>
              <w:t>Payroll</w:t>
            </w:r>
            <w:r>
              <w:rPr>
                <w:b/>
                <w:spacing w:val="7"/>
                <w:sz w:val="20"/>
              </w:rPr>
              <w:t> </w:t>
            </w:r>
            <w:r>
              <w:rPr>
                <w:b/>
                <w:spacing w:val="-2"/>
                <w:sz w:val="20"/>
              </w:rPr>
              <w:t>sub-total</w:t>
            </w:r>
          </w:p>
        </w:tc>
        <w:tc>
          <w:tcPr>
            <w:tcW w:w="1140" w:type="dxa"/>
            <w:tcBorders>
              <w:top w:val="single" w:sz="4" w:space="0" w:color="000000"/>
            </w:tcBorders>
          </w:tcPr>
          <w:p>
            <w:pPr>
              <w:pStyle w:val="TableParagraph"/>
              <w:spacing w:line="225" w:lineRule="exact" w:before="18"/>
              <w:ind w:right="107"/>
              <w:jc w:val="right"/>
              <w:rPr>
                <w:sz w:val="20"/>
              </w:rPr>
            </w:pPr>
            <w:r>
              <w:rPr>
                <w:spacing w:val="-2"/>
                <w:sz w:val="20"/>
              </w:rPr>
              <w:t>15,237</w:t>
            </w:r>
          </w:p>
        </w:tc>
        <w:tc>
          <w:tcPr>
            <w:tcW w:w="278" w:type="dxa"/>
          </w:tcPr>
          <w:p>
            <w:pPr>
              <w:pStyle w:val="TableParagraph"/>
              <w:rPr>
                <w:rFonts w:ascii="Times New Roman"/>
                <w:sz w:val="18"/>
              </w:rPr>
            </w:pPr>
          </w:p>
        </w:tc>
        <w:tc>
          <w:tcPr>
            <w:tcW w:w="998" w:type="dxa"/>
            <w:tcBorders>
              <w:top w:val="single" w:sz="4" w:space="0" w:color="000000"/>
            </w:tcBorders>
          </w:tcPr>
          <w:p>
            <w:pPr>
              <w:pStyle w:val="TableParagraph"/>
              <w:spacing w:line="225" w:lineRule="exact" w:before="18"/>
              <w:ind w:right="157"/>
              <w:jc w:val="right"/>
              <w:rPr>
                <w:sz w:val="20"/>
              </w:rPr>
            </w:pPr>
            <w:r>
              <w:rPr>
                <w:spacing w:val="-2"/>
                <w:sz w:val="20"/>
              </w:rPr>
              <w:t>10,922</w:t>
            </w:r>
          </w:p>
        </w:tc>
        <w:tc>
          <w:tcPr>
            <w:tcW w:w="417" w:type="dxa"/>
          </w:tcPr>
          <w:p>
            <w:pPr>
              <w:pStyle w:val="TableParagraph"/>
              <w:rPr>
                <w:rFonts w:ascii="Times New Roman"/>
                <w:sz w:val="18"/>
              </w:rPr>
            </w:pPr>
          </w:p>
        </w:tc>
        <w:tc>
          <w:tcPr>
            <w:tcW w:w="1000" w:type="dxa"/>
            <w:tcBorders>
              <w:top w:val="single" w:sz="4" w:space="0" w:color="000000"/>
            </w:tcBorders>
          </w:tcPr>
          <w:p>
            <w:pPr>
              <w:pStyle w:val="TableParagraph"/>
              <w:spacing w:line="225" w:lineRule="exact" w:before="18"/>
              <w:ind w:right="106"/>
              <w:jc w:val="right"/>
              <w:rPr>
                <w:sz w:val="20"/>
              </w:rPr>
            </w:pPr>
            <w:r>
              <w:rPr>
                <w:spacing w:val="-2"/>
                <w:sz w:val="20"/>
              </w:rPr>
              <w:t>17,005</w:t>
            </w:r>
          </w:p>
        </w:tc>
        <w:tc>
          <w:tcPr>
            <w:tcW w:w="275" w:type="dxa"/>
          </w:tcPr>
          <w:p>
            <w:pPr>
              <w:pStyle w:val="TableParagraph"/>
              <w:rPr>
                <w:rFonts w:ascii="Times New Roman"/>
                <w:sz w:val="18"/>
              </w:rPr>
            </w:pPr>
          </w:p>
        </w:tc>
        <w:tc>
          <w:tcPr>
            <w:tcW w:w="997" w:type="dxa"/>
            <w:tcBorders>
              <w:top w:val="single" w:sz="4" w:space="0" w:color="000000"/>
            </w:tcBorders>
          </w:tcPr>
          <w:p>
            <w:pPr>
              <w:pStyle w:val="TableParagraph"/>
              <w:spacing w:line="225" w:lineRule="exact" w:before="18"/>
              <w:ind w:right="154"/>
              <w:jc w:val="right"/>
              <w:rPr>
                <w:sz w:val="20"/>
              </w:rPr>
            </w:pPr>
            <w:r>
              <w:rPr>
                <w:spacing w:val="-2"/>
                <w:sz w:val="20"/>
              </w:rPr>
              <w:t>12,839</w:t>
            </w:r>
          </w:p>
        </w:tc>
      </w:tr>
      <w:tr>
        <w:trPr>
          <w:trHeight w:val="276" w:hRule="atLeast"/>
        </w:trPr>
        <w:tc>
          <w:tcPr>
            <w:tcW w:w="3513" w:type="dxa"/>
          </w:tcPr>
          <w:p>
            <w:pPr>
              <w:pStyle w:val="TableParagraph"/>
              <w:spacing w:before="7"/>
              <w:ind w:left="50"/>
              <w:rPr>
                <w:sz w:val="20"/>
              </w:rPr>
            </w:pPr>
            <w:r>
              <w:rPr>
                <w:sz w:val="20"/>
              </w:rPr>
              <w:t>Contracted</w:t>
            </w:r>
            <w:r>
              <w:rPr>
                <w:spacing w:val="-8"/>
                <w:sz w:val="20"/>
              </w:rPr>
              <w:t> </w:t>
            </w:r>
            <w:r>
              <w:rPr>
                <w:sz w:val="20"/>
              </w:rPr>
              <w:t>out</w:t>
            </w:r>
            <w:r>
              <w:rPr>
                <w:spacing w:val="-8"/>
                <w:sz w:val="20"/>
              </w:rPr>
              <w:t> </w:t>
            </w:r>
            <w:r>
              <w:rPr>
                <w:sz w:val="20"/>
              </w:rPr>
              <w:t>staffing</w:t>
            </w:r>
            <w:r>
              <w:rPr>
                <w:spacing w:val="-8"/>
                <w:sz w:val="20"/>
              </w:rPr>
              <w:t> </w:t>
            </w:r>
            <w:r>
              <w:rPr>
                <w:spacing w:val="-2"/>
                <w:sz w:val="20"/>
              </w:rPr>
              <w:t>services</w:t>
            </w:r>
          </w:p>
        </w:tc>
        <w:tc>
          <w:tcPr>
            <w:tcW w:w="1140" w:type="dxa"/>
            <w:tcBorders>
              <w:bottom w:val="single" w:sz="4" w:space="0" w:color="000000"/>
            </w:tcBorders>
          </w:tcPr>
          <w:p>
            <w:pPr>
              <w:pStyle w:val="TableParagraph"/>
              <w:spacing w:before="26"/>
              <w:ind w:right="108"/>
              <w:jc w:val="right"/>
              <w:rPr>
                <w:sz w:val="20"/>
              </w:rPr>
            </w:pPr>
            <w:r>
              <w:rPr>
                <w:spacing w:val="-5"/>
                <w:sz w:val="20"/>
              </w:rPr>
              <w:t>999</w:t>
            </w:r>
          </w:p>
        </w:tc>
        <w:tc>
          <w:tcPr>
            <w:tcW w:w="278" w:type="dxa"/>
          </w:tcPr>
          <w:p>
            <w:pPr>
              <w:pStyle w:val="TableParagraph"/>
              <w:rPr>
                <w:rFonts w:ascii="Times New Roman"/>
                <w:sz w:val="20"/>
              </w:rPr>
            </w:pPr>
          </w:p>
        </w:tc>
        <w:tc>
          <w:tcPr>
            <w:tcW w:w="998" w:type="dxa"/>
            <w:tcBorders>
              <w:bottom w:val="single" w:sz="4" w:space="0" w:color="000000"/>
            </w:tcBorders>
          </w:tcPr>
          <w:p>
            <w:pPr>
              <w:pStyle w:val="TableParagraph"/>
              <w:spacing w:before="26"/>
              <w:ind w:right="157"/>
              <w:jc w:val="right"/>
              <w:rPr>
                <w:sz w:val="20"/>
              </w:rPr>
            </w:pPr>
            <w:r>
              <w:rPr>
                <w:spacing w:val="-2"/>
                <w:sz w:val="20"/>
              </w:rPr>
              <w:t>5,299</w:t>
            </w:r>
          </w:p>
        </w:tc>
        <w:tc>
          <w:tcPr>
            <w:tcW w:w="417" w:type="dxa"/>
          </w:tcPr>
          <w:p>
            <w:pPr>
              <w:pStyle w:val="TableParagraph"/>
              <w:rPr>
                <w:rFonts w:ascii="Times New Roman"/>
                <w:sz w:val="20"/>
              </w:rPr>
            </w:pPr>
          </w:p>
        </w:tc>
        <w:tc>
          <w:tcPr>
            <w:tcW w:w="1000" w:type="dxa"/>
            <w:tcBorders>
              <w:bottom w:val="single" w:sz="4" w:space="0" w:color="000000"/>
            </w:tcBorders>
          </w:tcPr>
          <w:p>
            <w:pPr>
              <w:pStyle w:val="TableParagraph"/>
              <w:spacing w:before="26"/>
              <w:ind w:right="106"/>
              <w:jc w:val="right"/>
              <w:rPr>
                <w:sz w:val="20"/>
              </w:rPr>
            </w:pPr>
            <w:r>
              <w:rPr>
                <w:spacing w:val="-5"/>
                <w:sz w:val="20"/>
              </w:rPr>
              <w:t>884</w:t>
            </w:r>
          </w:p>
        </w:tc>
        <w:tc>
          <w:tcPr>
            <w:tcW w:w="275" w:type="dxa"/>
          </w:tcPr>
          <w:p>
            <w:pPr>
              <w:pStyle w:val="TableParagraph"/>
              <w:rPr>
                <w:rFonts w:ascii="Times New Roman"/>
                <w:sz w:val="20"/>
              </w:rPr>
            </w:pPr>
          </w:p>
        </w:tc>
        <w:tc>
          <w:tcPr>
            <w:tcW w:w="997" w:type="dxa"/>
            <w:tcBorders>
              <w:bottom w:val="single" w:sz="4" w:space="0" w:color="000000"/>
            </w:tcBorders>
          </w:tcPr>
          <w:p>
            <w:pPr>
              <w:pStyle w:val="TableParagraph"/>
              <w:spacing w:before="26"/>
              <w:ind w:right="153"/>
              <w:jc w:val="right"/>
              <w:rPr>
                <w:sz w:val="20"/>
              </w:rPr>
            </w:pPr>
            <w:r>
              <w:rPr>
                <w:spacing w:val="-2"/>
                <w:sz w:val="20"/>
              </w:rPr>
              <w:t>5,068</w:t>
            </w:r>
          </w:p>
        </w:tc>
      </w:tr>
      <w:tr>
        <w:trPr>
          <w:trHeight w:val="264" w:hRule="atLeast"/>
        </w:trPr>
        <w:tc>
          <w:tcPr>
            <w:tcW w:w="3513" w:type="dxa"/>
          </w:tcPr>
          <w:p>
            <w:pPr>
              <w:pStyle w:val="TableParagraph"/>
              <w:rPr>
                <w:rFonts w:ascii="Times New Roman"/>
                <w:sz w:val="18"/>
              </w:rPr>
            </w:pPr>
          </w:p>
        </w:tc>
        <w:tc>
          <w:tcPr>
            <w:tcW w:w="1140" w:type="dxa"/>
            <w:tcBorders>
              <w:top w:val="single" w:sz="4" w:space="0" w:color="000000"/>
            </w:tcBorders>
          </w:tcPr>
          <w:p>
            <w:pPr>
              <w:pStyle w:val="TableParagraph"/>
              <w:spacing w:line="223" w:lineRule="exact" w:before="21"/>
              <w:ind w:right="108"/>
              <w:jc w:val="right"/>
              <w:rPr>
                <w:sz w:val="20"/>
              </w:rPr>
            </w:pPr>
            <w:r>
              <w:rPr>
                <w:spacing w:val="-2"/>
                <w:sz w:val="20"/>
              </w:rPr>
              <w:t>16,236</w:t>
            </w:r>
          </w:p>
        </w:tc>
        <w:tc>
          <w:tcPr>
            <w:tcW w:w="278" w:type="dxa"/>
          </w:tcPr>
          <w:p>
            <w:pPr>
              <w:pStyle w:val="TableParagraph"/>
              <w:rPr>
                <w:rFonts w:ascii="Times New Roman"/>
                <w:sz w:val="18"/>
              </w:rPr>
            </w:pPr>
          </w:p>
        </w:tc>
        <w:tc>
          <w:tcPr>
            <w:tcW w:w="998" w:type="dxa"/>
            <w:tcBorders>
              <w:top w:val="single" w:sz="4" w:space="0" w:color="000000"/>
            </w:tcBorders>
          </w:tcPr>
          <w:p>
            <w:pPr>
              <w:pStyle w:val="TableParagraph"/>
              <w:spacing w:line="223" w:lineRule="exact" w:before="21"/>
              <w:ind w:right="157"/>
              <w:jc w:val="right"/>
              <w:rPr>
                <w:sz w:val="20"/>
              </w:rPr>
            </w:pPr>
            <w:r>
              <w:rPr>
                <w:spacing w:val="-2"/>
                <w:sz w:val="20"/>
              </w:rPr>
              <w:t>16,221</w:t>
            </w:r>
          </w:p>
        </w:tc>
        <w:tc>
          <w:tcPr>
            <w:tcW w:w="417" w:type="dxa"/>
          </w:tcPr>
          <w:p>
            <w:pPr>
              <w:pStyle w:val="TableParagraph"/>
              <w:rPr>
                <w:rFonts w:ascii="Times New Roman"/>
                <w:sz w:val="18"/>
              </w:rPr>
            </w:pPr>
          </w:p>
        </w:tc>
        <w:tc>
          <w:tcPr>
            <w:tcW w:w="1000" w:type="dxa"/>
            <w:tcBorders>
              <w:top w:val="single" w:sz="4" w:space="0" w:color="000000"/>
            </w:tcBorders>
          </w:tcPr>
          <w:p>
            <w:pPr>
              <w:pStyle w:val="TableParagraph"/>
              <w:spacing w:line="223" w:lineRule="exact" w:before="21"/>
              <w:ind w:right="106"/>
              <w:jc w:val="right"/>
              <w:rPr>
                <w:sz w:val="20"/>
              </w:rPr>
            </w:pPr>
            <w:r>
              <w:rPr>
                <w:spacing w:val="-2"/>
                <w:sz w:val="20"/>
              </w:rPr>
              <w:t>17,889</w:t>
            </w:r>
          </w:p>
        </w:tc>
        <w:tc>
          <w:tcPr>
            <w:tcW w:w="275" w:type="dxa"/>
          </w:tcPr>
          <w:p>
            <w:pPr>
              <w:pStyle w:val="TableParagraph"/>
              <w:rPr>
                <w:rFonts w:ascii="Times New Roman"/>
                <w:sz w:val="18"/>
              </w:rPr>
            </w:pPr>
          </w:p>
        </w:tc>
        <w:tc>
          <w:tcPr>
            <w:tcW w:w="997" w:type="dxa"/>
            <w:tcBorders>
              <w:top w:val="single" w:sz="4" w:space="0" w:color="000000"/>
            </w:tcBorders>
          </w:tcPr>
          <w:p>
            <w:pPr>
              <w:pStyle w:val="TableParagraph"/>
              <w:spacing w:line="223" w:lineRule="exact" w:before="21"/>
              <w:ind w:right="154"/>
              <w:jc w:val="right"/>
              <w:rPr>
                <w:sz w:val="20"/>
              </w:rPr>
            </w:pPr>
            <w:r>
              <w:rPr>
                <w:spacing w:val="-2"/>
                <w:sz w:val="20"/>
              </w:rPr>
              <w:t>17,907</w:t>
            </w:r>
          </w:p>
        </w:tc>
      </w:tr>
      <w:tr>
        <w:trPr>
          <w:trHeight w:val="268" w:hRule="atLeast"/>
        </w:trPr>
        <w:tc>
          <w:tcPr>
            <w:tcW w:w="3513" w:type="dxa"/>
          </w:tcPr>
          <w:p>
            <w:pPr>
              <w:pStyle w:val="TableParagraph"/>
              <w:spacing w:before="6"/>
              <w:ind w:left="50"/>
              <w:rPr>
                <w:sz w:val="20"/>
              </w:rPr>
            </w:pPr>
            <w:r>
              <w:rPr>
                <w:sz w:val="20"/>
              </w:rPr>
              <w:t>Restructuring</w:t>
            </w:r>
            <w:r>
              <w:rPr>
                <w:spacing w:val="-8"/>
                <w:sz w:val="20"/>
              </w:rPr>
              <w:t> </w:t>
            </w:r>
            <w:r>
              <w:rPr>
                <w:sz w:val="20"/>
              </w:rPr>
              <w:t>costs</w:t>
            </w:r>
            <w:r>
              <w:rPr>
                <w:spacing w:val="-7"/>
                <w:sz w:val="20"/>
              </w:rPr>
              <w:t> </w:t>
            </w:r>
            <w:r>
              <w:rPr>
                <w:sz w:val="20"/>
              </w:rPr>
              <w:t>–</w:t>
            </w:r>
            <w:r>
              <w:rPr>
                <w:spacing w:val="-8"/>
                <w:sz w:val="20"/>
              </w:rPr>
              <w:t> </w:t>
            </w:r>
            <w:r>
              <w:rPr>
                <w:spacing w:val="-2"/>
                <w:sz w:val="20"/>
              </w:rPr>
              <w:t>Contractual</w:t>
            </w:r>
          </w:p>
        </w:tc>
        <w:tc>
          <w:tcPr>
            <w:tcW w:w="1140" w:type="dxa"/>
          </w:tcPr>
          <w:p>
            <w:pPr>
              <w:pStyle w:val="TableParagraph"/>
              <w:spacing w:line="223" w:lineRule="exact" w:before="25"/>
              <w:ind w:right="108"/>
              <w:jc w:val="right"/>
              <w:rPr>
                <w:sz w:val="20"/>
              </w:rPr>
            </w:pPr>
            <w:r>
              <w:rPr>
                <w:spacing w:val="-5"/>
                <w:sz w:val="20"/>
              </w:rPr>
              <w:t>39</w:t>
            </w:r>
          </w:p>
        </w:tc>
        <w:tc>
          <w:tcPr>
            <w:tcW w:w="278" w:type="dxa"/>
          </w:tcPr>
          <w:p>
            <w:pPr>
              <w:pStyle w:val="TableParagraph"/>
              <w:rPr>
                <w:rFonts w:ascii="Times New Roman"/>
                <w:sz w:val="18"/>
              </w:rPr>
            </w:pPr>
          </w:p>
        </w:tc>
        <w:tc>
          <w:tcPr>
            <w:tcW w:w="998" w:type="dxa"/>
          </w:tcPr>
          <w:p>
            <w:pPr>
              <w:pStyle w:val="TableParagraph"/>
              <w:spacing w:line="223" w:lineRule="exact" w:before="25"/>
              <w:ind w:right="157"/>
              <w:jc w:val="right"/>
              <w:rPr>
                <w:sz w:val="20"/>
              </w:rPr>
            </w:pPr>
            <w:r>
              <w:rPr>
                <w:spacing w:val="-5"/>
                <w:sz w:val="20"/>
              </w:rPr>
              <w:t>39</w:t>
            </w:r>
          </w:p>
        </w:tc>
        <w:tc>
          <w:tcPr>
            <w:tcW w:w="417" w:type="dxa"/>
          </w:tcPr>
          <w:p>
            <w:pPr>
              <w:pStyle w:val="TableParagraph"/>
              <w:rPr>
                <w:rFonts w:ascii="Times New Roman"/>
                <w:sz w:val="18"/>
              </w:rPr>
            </w:pPr>
          </w:p>
        </w:tc>
        <w:tc>
          <w:tcPr>
            <w:tcW w:w="1000" w:type="dxa"/>
          </w:tcPr>
          <w:p>
            <w:pPr>
              <w:pStyle w:val="TableParagraph"/>
              <w:spacing w:line="223" w:lineRule="exact" w:before="25"/>
              <w:ind w:right="106"/>
              <w:jc w:val="right"/>
              <w:rPr>
                <w:sz w:val="20"/>
              </w:rPr>
            </w:pPr>
            <w:r>
              <w:rPr>
                <w:spacing w:val="-5"/>
                <w:sz w:val="20"/>
              </w:rPr>
              <w:t>169</w:t>
            </w:r>
          </w:p>
        </w:tc>
        <w:tc>
          <w:tcPr>
            <w:tcW w:w="275" w:type="dxa"/>
          </w:tcPr>
          <w:p>
            <w:pPr>
              <w:pStyle w:val="TableParagraph"/>
              <w:rPr>
                <w:rFonts w:ascii="Times New Roman"/>
                <w:sz w:val="18"/>
              </w:rPr>
            </w:pPr>
          </w:p>
        </w:tc>
        <w:tc>
          <w:tcPr>
            <w:tcW w:w="997" w:type="dxa"/>
          </w:tcPr>
          <w:p>
            <w:pPr>
              <w:pStyle w:val="TableParagraph"/>
              <w:spacing w:line="223" w:lineRule="exact" w:before="25"/>
              <w:ind w:right="154"/>
              <w:jc w:val="right"/>
              <w:rPr>
                <w:sz w:val="20"/>
              </w:rPr>
            </w:pPr>
            <w:r>
              <w:rPr>
                <w:spacing w:val="-5"/>
                <w:sz w:val="20"/>
              </w:rPr>
              <w:t>169</w:t>
            </w:r>
          </w:p>
        </w:tc>
      </w:tr>
      <w:tr>
        <w:trPr>
          <w:trHeight w:val="277" w:hRule="atLeast"/>
        </w:trPr>
        <w:tc>
          <w:tcPr>
            <w:tcW w:w="3513" w:type="dxa"/>
          </w:tcPr>
          <w:p>
            <w:pPr>
              <w:pStyle w:val="TableParagraph"/>
              <w:spacing w:before="6"/>
              <w:ind w:left="1826"/>
              <w:rPr>
                <w:sz w:val="20"/>
              </w:rPr>
            </w:pPr>
            <w:r>
              <w:rPr>
                <w:sz w:val="20"/>
              </w:rPr>
              <w:t>–</w:t>
            </w:r>
            <w:r>
              <w:rPr>
                <w:spacing w:val="-2"/>
                <w:sz w:val="20"/>
              </w:rPr>
              <w:t> </w:t>
            </w:r>
            <w:r>
              <w:rPr>
                <w:sz w:val="20"/>
              </w:rPr>
              <w:t>Non</w:t>
            </w:r>
            <w:r>
              <w:rPr>
                <w:spacing w:val="-2"/>
                <w:sz w:val="20"/>
              </w:rPr>
              <w:t> contractual</w:t>
            </w:r>
          </w:p>
        </w:tc>
        <w:tc>
          <w:tcPr>
            <w:tcW w:w="1140" w:type="dxa"/>
            <w:tcBorders>
              <w:bottom w:val="single" w:sz="4" w:space="0" w:color="000000"/>
            </w:tcBorders>
          </w:tcPr>
          <w:p>
            <w:pPr>
              <w:pStyle w:val="TableParagraph"/>
              <w:spacing w:before="28"/>
              <w:ind w:right="108"/>
              <w:jc w:val="right"/>
              <w:rPr>
                <w:sz w:val="20"/>
              </w:rPr>
            </w:pPr>
            <w:r>
              <w:rPr>
                <w:spacing w:val="-5"/>
                <w:sz w:val="20"/>
              </w:rPr>
              <w:t>35</w:t>
            </w:r>
          </w:p>
        </w:tc>
        <w:tc>
          <w:tcPr>
            <w:tcW w:w="278" w:type="dxa"/>
          </w:tcPr>
          <w:p>
            <w:pPr>
              <w:pStyle w:val="TableParagraph"/>
              <w:rPr>
                <w:rFonts w:ascii="Times New Roman"/>
                <w:sz w:val="20"/>
              </w:rPr>
            </w:pPr>
          </w:p>
        </w:tc>
        <w:tc>
          <w:tcPr>
            <w:tcW w:w="998" w:type="dxa"/>
            <w:tcBorders>
              <w:bottom w:val="single" w:sz="4" w:space="0" w:color="000000"/>
            </w:tcBorders>
          </w:tcPr>
          <w:p>
            <w:pPr>
              <w:pStyle w:val="TableParagraph"/>
              <w:spacing w:before="28"/>
              <w:ind w:right="157"/>
              <w:jc w:val="right"/>
              <w:rPr>
                <w:sz w:val="20"/>
              </w:rPr>
            </w:pPr>
            <w:r>
              <w:rPr>
                <w:spacing w:val="-5"/>
                <w:sz w:val="20"/>
              </w:rPr>
              <w:t>35</w:t>
            </w:r>
          </w:p>
        </w:tc>
        <w:tc>
          <w:tcPr>
            <w:tcW w:w="417" w:type="dxa"/>
          </w:tcPr>
          <w:p>
            <w:pPr>
              <w:pStyle w:val="TableParagraph"/>
              <w:rPr>
                <w:rFonts w:ascii="Times New Roman"/>
                <w:sz w:val="20"/>
              </w:rPr>
            </w:pPr>
          </w:p>
        </w:tc>
        <w:tc>
          <w:tcPr>
            <w:tcW w:w="1000" w:type="dxa"/>
            <w:tcBorders>
              <w:bottom w:val="single" w:sz="4" w:space="0" w:color="000000"/>
            </w:tcBorders>
          </w:tcPr>
          <w:p>
            <w:pPr>
              <w:pStyle w:val="TableParagraph"/>
              <w:spacing w:before="28"/>
              <w:ind w:right="106"/>
              <w:jc w:val="right"/>
              <w:rPr>
                <w:sz w:val="20"/>
              </w:rPr>
            </w:pPr>
            <w:r>
              <w:rPr>
                <w:spacing w:val="-5"/>
                <w:sz w:val="20"/>
              </w:rPr>
              <w:t>44</w:t>
            </w:r>
          </w:p>
        </w:tc>
        <w:tc>
          <w:tcPr>
            <w:tcW w:w="275" w:type="dxa"/>
          </w:tcPr>
          <w:p>
            <w:pPr>
              <w:pStyle w:val="TableParagraph"/>
              <w:rPr>
                <w:rFonts w:ascii="Times New Roman"/>
                <w:sz w:val="20"/>
              </w:rPr>
            </w:pPr>
          </w:p>
        </w:tc>
        <w:tc>
          <w:tcPr>
            <w:tcW w:w="997" w:type="dxa"/>
            <w:tcBorders>
              <w:bottom w:val="single" w:sz="4" w:space="0" w:color="000000"/>
            </w:tcBorders>
          </w:tcPr>
          <w:p>
            <w:pPr>
              <w:pStyle w:val="TableParagraph"/>
              <w:spacing w:before="28"/>
              <w:ind w:right="154"/>
              <w:jc w:val="right"/>
              <w:rPr>
                <w:sz w:val="20"/>
              </w:rPr>
            </w:pPr>
            <w:r>
              <w:rPr>
                <w:spacing w:val="-5"/>
                <w:sz w:val="20"/>
              </w:rPr>
              <w:t>44</w:t>
            </w:r>
          </w:p>
        </w:tc>
      </w:tr>
      <w:tr>
        <w:trPr>
          <w:trHeight w:val="270" w:hRule="atLeast"/>
        </w:trPr>
        <w:tc>
          <w:tcPr>
            <w:tcW w:w="3513" w:type="dxa"/>
          </w:tcPr>
          <w:p>
            <w:pPr>
              <w:pStyle w:val="TableParagraph"/>
              <w:spacing w:before="18"/>
              <w:ind w:left="50"/>
              <w:rPr>
                <w:b/>
                <w:sz w:val="20"/>
              </w:rPr>
            </w:pPr>
            <w:r>
              <w:rPr>
                <w:b/>
                <w:sz w:val="20"/>
              </w:rPr>
              <w:t>Total</w:t>
            </w:r>
            <w:r>
              <w:rPr>
                <w:b/>
                <w:spacing w:val="-9"/>
                <w:sz w:val="20"/>
              </w:rPr>
              <w:t> </w:t>
            </w:r>
            <w:r>
              <w:rPr>
                <w:b/>
                <w:sz w:val="20"/>
              </w:rPr>
              <w:t>staff</w:t>
            </w:r>
            <w:r>
              <w:rPr>
                <w:b/>
                <w:spacing w:val="-6"/>
                <w:sz w:val="20"/>
              </w:rPr>
              <w:t> </w:t>
            </w:r>
            <w:r>
              <w:rPr>
                <w:b/>
                <w:spacing w:val="-2"/>
                <w:sz w:val="20"/>
              </w:rPr>
              <w:t>costs</w:t>
            </w:r>
          </w:p>
        </w:tc>
        <w:tc>
          <w:tcPr>
            <w:tcW w:w="1140" w:type="dxa"/>
            <w:tcBorders>
              <w:top w:val="single" w:sz="4" w:space="0" w:color="000000"/>
              <w:bottom w:val="double" w:sz="4" w:space="0" w:color="000000"/>
            </w:tcBorders>
          </w:tcPr>
          <w:p>
            <w:pPr>
              <w:pStyle w:val="TableParagraph"/>
              <w:spacing w:before="18"/>
              <w:ind w:right="108"/>
              <w:jc w:val="right"/>
              <w:rPr>
                <w:sz w:val="20"/>
              </w:rPr>
            </w:pPr>
            <w:r>
              <w:rPr>
                <w:spacing w:val="-2"/>
                <w:sz w:val="20"/>
              </w:rPr>
              <w:t>16,310</w:t>
            </w:r>
          </w:p>
        </w:tc>
        <w:tc>
          <w:tcPr>
            <w:tcW w:w="278"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7"/>
              <w:jc w:val="right"/>
              <w:rPr>
                <w:sz w:val="20"/>
              </w:rPr>
            </w:pPr>
            <w:r>
              <w:rPr>
                <w:spacing w:val="-2"/>
                <w:sz w:val="20"/>
              </w:rPr>
              <w:t>16,295</w:t>
            </w:r>
          </w:p>
        </w:tc>
        <w:tc>
          <w:tcPr>
            <w:tcW w:w="417" w:type="dxa"/>
          </w:tcPr>
          <w:p>
            <w:pPr>
              <w:pStyle w:val="TableParagraph"/>
              <w:rPr>
                <w:rFonts w:ascii="Times New Roman"/>
                <w:sz w:val="20"/>
              </w:rPr>
            </w:pPr>
          </w:p>
        </w:tc>
        <w:tc>
          <w:tcPr>
            <w:tcW w:w="1000" w:type="dxa"/>
            <w:tcBorders>
              <w:top w:val="single" w:sz="4" w:space="0" w:color="000000"/>
              <w:bottom w:val="double" w:sz="4" w:space="0" w:color="000000"/>
            </w:tcBorders>
          </w:tcPr>
          <w:p>
            <w:pPr>
              <w:pStyle w:val="TableParagraph"/>
              <w:spacing w:before="18"/>
              <w:ind w:right="106"/>
              <w:jc w:val="right"/>
              <w:rPr>
                <w:sz w:val="20"/>
              </w:rPr>
            </w:pPr>
            <w:r>
              <w:rPr>
                <w:spacing w:val="-2"/>
                <w:sz w:val="20"/>
              </w:rPr>
              <w:t>18,102</w:t>
            </w:r>
          </w:p>
        </w:tc>
        <w:tc>
          <w:tcPr>
            <w:tcW w:w="275" w:type="dxa"/>
          </w:tcPr>
          <w:p>
            <w:pPr>
              <w:pStyle w:val="TableParagraph"/>
              <w:rPr>
                <w:rFonts w:ascii="Times New Roman"/>
                <w:sz w:val="20"/>
              </w:rPr>
            </w:pPr>
          </w:p>
        </w:tc>
        <w:tc>
          <w:tcPr>
            <w:tcW w:w="997" w:type="dxa"/>
            <w:tcBorders>
              <w:top w:val="single" w:sz="4" w:space="0" w:color="000000"/>
              <w:bottom w:val="double" w:sz="4" w:space="0" w:color="000000"/>
            </w:tcBorders>
          </w:tcPr>
          <w:p>
            <w:pPr>
              <w:pStyle w:val="TableParagraph"/>
              <w:spacing w:before="18"/>
              <w:ind w:right="154"/>
              <w:jc w:val="right"/>
              <w:rPr>
                <w:sz w:val="20"/>
              </w:rPr>
            </w:pPr>
            <w:r>
              <w:rPr>
                <w:spacing w:val="-2"/>
                <w:sz w:val="20"/>
              </w:rPr>
              <w:t>18,120</w:t>
            </w:r>
          </w:p>
        </w:tc>
      </w:tr>
    </w:tbl>
    <w:p>
      <w:pPr>
        <w:pStyle w:val="BodyText"/>
        <w:spacing w:before="123"/>
        <w:rPr>
          <w:b/>
        </w:rPr>
      </w:pPr>
    </w:p>
    <w:p>
      <w:pPr>
        <w:spacing w:before="0"/>
        <w:ind w:left="852" w:right="0" w:firstLine="0"/>
        <w:jc w:val="left"/>
        <w:rPr>
          <w:b/>
          <w:sz w:val="20"/>
        </w:rPr>
      </w:pPr>
      <w:r>
        <w:rPr>
          <w:b/>
          <w:sz w:val="20"/>
        </w:rPr>
        <w:t>Severance</w:t>
      </w:r>
      <w:r>
        <w:rPr>
          <w:b/>
          <w:spacing w:val="-14"/>
          <w:sz w:val="20"/>
        </w:rPr>
        <w:t> </w:t>
      </w:r>
      <w:r>
        <w:rPr>
          <w:b/>
          <w:spacing w:val="-2"/>
          <w:sz w:val="20"/>
        </w:rPr>
        <w:t>payments</w:t>
      </w:r>
    </w:p>
    <w:p>
      <w:pPr>
        <w:pStyle w:val="BodyText"/>
        <w:spacing w:before="120"/>
        <w:ind w:left="852" w:right="537"/>
      </w:pPr>
      <w:r>
        <w:rPr/>
        <w:t>The</w:t>
      </w:r>
      <w:r>
        <w:rPr>
          <w:spacing w:val="-3"/>
        </w:rPr>
        <w:t> </w:t>
      </w:r>
      <w:r>
        <w:rPr/>
        <w:t>group</w:t>
      </w:r>
      <w:r>
        <w:rPr>
          <w:spacing w:val="-3"/>
        </w:rPr>
        <w:t> </w:t>
      </w:r>
      <w:r>
        <w:rPr/>
        <w:t>paid</w:t>
      </w:r>
      <w:r>
        <w:rPr>
          <w:spacing w:val="-3"/>
        </w:rPr>
        <w:t> </w:t>
      </w:r>
      <w:r>
        <w:rPr/>
        <w:t>16</w:t>
      </w:r>
      <w:r>
        <w:rPr>
          <w:spacing w:val="-1"/>
        </w:rPr>
        <w:t> </w:t>
      </w:r>
      <w:r>
        <w:rPr/>
        <w:t>severance</w:t>
      </w:r>
      <w:r>
        <w:rPr>
          <w:spacing w:val="-3"/>
        </w:rPr>
        <w:t> </w:t>
      </w:r>
      <w:r>
        <w:rPr/>
        <w:t>payments</w:t>
      </w:r>
      <w:r>
        <w:rPr>
          <w:spacing w:val="-2"/>
        </w:rPr>
        <w:t> </w:t>
      </w:r>
      <w:r>
        <w:rPr/>
        <w:t>in</w:t>
      </w:r>
      <w:r>
        <w:rPr>
          <w:spacing w:val="-3"/>
        </w:rPr>
        <w:t> </w:t>
      </w:r>
      <w:r>
        <w:rPr/>
        <w:t>the</w:t>
      </w:r>
      <w:r>
        <w:rPr>
          <w:spacing w:val="-3"/>
        </w:rPr>
        <w:t> </w:t>
      </w:r>
      <w:r>
        <w:rPr/>
        <w:t>year</w:t>
      </w:r>
      <w:r>
        <w:rPr>
          <w:spacing w:val="-2"/>
        </w:rPr>
        <w:t> </w:t>
      </w:r>
      <w:r>
        <w:rPr/>
        <w:t>which</w:t>
      </w:r>
      <w:r>
        <w:rPr>
          <w:spacing w:val="-3"/>
        </w:rPr>
        <w:t> </w:t>
      </w:r>
      <w:r>
        <w:rPr/>
        <w:t>were</w:t>
      </w:r>
      <w:r>
        <w:rPr>
          <w:spacing w:val="-1"/>
        </w:rPr>
        <w:t> </w:t>
      </w:r>
      <w:r>
        <w:rPr/>
        <w:t>all</w:t>
      </w:r>
      <w:r>
        <w:rPr>
          <w:spacing w:val="-4"/>
        </w:rPr>
        <w:t> </w:t>
      </w:r>
      <w:r>
        <w:rPr/>
        <w:t>contractual</w:t>
      </w:r>
      <w:r>
        <w:rPr>
          <w:spacing w:val="-4"/>
        </w:rPr>
        <w:t> </w:t>
      </w:r>
      <w:r>
        <w:rPr/>
        <w:t>obligations,</w:t>
      </w:r>
      <w:r>
        <w:rPr>
          <w:spacing w:val="-3"/>
        </w:rPr>
        <w:t> </w:t>
      </w:r>
      <w:r>
        <w:rPr/>
        <w:t>disclosed</w:t>
      </w:r>
      <w:r>
        <w:rPr>
          <w:spacing w:val="-1"/>
        </w:rPr>
        <w:t> </w:t>
      </w:r>
      <w:r>
        <w:rPr/>
        <w:t>in the following bands:</w:t>
      </w:r>
    </w:p>
    <w:p>
      <w:pPr>
        <w:pStyle w:val="BodyText"/>
        <w:spacing w:before="7"/>
        <w:rPr>
          <w:sz w:val="10"/>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259"/>
      </w:tblGrid>
      <w:tr>
        <w:trPr>
          <w:trHeight w:val="230" w:hRule="atLeast"/>
        </w:trPr>
        <w:tc>
          <w:tcPr>
            <w:tcW w:w="3257" w:type="dxa"/>
          </w:tcPr>
          <w:p>
            <w:pPr>
              <w:pStyle w:val="TableParagraph"/>
              <w:spacing w:line="210" w:lineRule="exact"/>
              <w:ind w:left="107"/>
              <w:rPr>
                <w:sz w:val="20"/>
              </w:rPr>
            </w:pPr>
            <w:r>
              <w:rPr>
                <w:sz w:val="20"/>
              </w:rPr>
              <w:t>0-</w:t>
            </w:r>
            <w:r>
              <w:rPr>
                <w:spacing w:val="-3"/>
                <w:sz w:val="20"/>
              </w:rPr>
              <w:t> </w:t>
            </w:r>
            <w:r>
              <w:rPr>
                <w:spacing w:val="-2"/>
                <w:sz w:val="20"/>
              </w:rPr>
              <w:t>£25,000</w:t>
            </w:r>
          </w:p>
        </w:tc>
        <w:tc>
          <w:tcPr>
            <w:tcW w:w="3259" w:type="dxa"/>
          </w:tcPr>
          <w:p>
            <w:pPr>
              <w:pStyle w:val="TableParagraph"/>
              <w:spacing w:line="210" w:lineRule="exact"/>
              <w:ind w:left="107"/>
              <w:rPr>
                <w:sz w:val="20"/>
              </w:rPr>
            </w:pPr>
            <w:r>
              <w:rPr>
                <w:spacing w:val="-5"/>
                <w:sz w:val="20"/>
              </w:rPr>
              <w:t>16</w:t>
            </w:r>
          </w:p>
        </w:tc>
      </w:tr>
    </w:tbl>
    <w:p>
      <w:pPr>
        <w:pStyle w:val="BodyText"/>
        <w:spacing w:line="229" w:lineRule="exact" w:before="119"/>
        <w:ind w:left="852"/>
      </w:pPr>
      <w:r>
        <w:rPr/>
        <w:t>Included</w:t>
      </w:r>
      <w:r>
        <w:rPr>
          <w:spacing w:val="-7"/>
        </w:rPr>
        <w:t> </w:t>
      </w:r>
      <w:r>
        <w:rPr/>
        <w:t>in</w:t>
      </w:r>
      <w:r>
        <w:rPr>
          <w:spacing w:val="-8"/>
        </w:rPr>
        <w:t> </w:t>
      </w:r>
      <w:r>
        <w:rPr/>
        <w:t>staff</w:t>
      </w:r>
      <w:r>
        <w:rPr>
          <w:spacing w:val="-8"/>
        </w:rPr>
        <w:t> </w:t>
      </w:r>
      <w:r>
        <w:rPr/>
        <w:t>restructuring</w:t>
      </w:r>
      <w:r>
        <w:rPr>
          <w:spacing w:val="-8"/>
        </w:rPr>
        <w:t> </w:t>
      </w:r>
      <w:r>
        <w:rPr/>
        <w:t>costs</w:t>
      </w:r>
      <w:r>
        <w:rPr>
          <w:spacing w:val="-7"/>
        </w:rPr>
        <w:t> </w:t>
      </w:r>
      <w:r>
        <w:rPr/>
        <w:t>are</w:t>
      </w:r>
      <w:r>
        <w:rPr>
          <w:spacing w:val="-8"/>
        </w:rPr>
        <w:t> </w:t>
      </w:r>
      <w:r>
        <w:rPr/>
        <w:t>special</w:t>
      </w:r>
      <w:r>
        <w:rPr>
          <w:spacing w:val="-9"/>
        </w:rPr>
        <w:t> </w:t>
      </w:r>
      <w:r>
        <w:rPr/>
        <w:t>severance</w:t>
      </w:r>
      <w:r>
        <w:rPr>
          <w:spacing w:val="-8"/>
        </w:rPr>
        <w:t> </w:t>
      </w:r>
      <w:r>
        <w:rPr/>
        <w:t>payments</w:t>
      </w:r>
      <w:r>
        <w:rPr>
          <w:spacing w:val="-7"/>
        </w:rPr>
        <w:t> </w:t>
      </w:r>
      <w:r>
        <w:rPr/>
        <w:t>totalling</w:t>
      </w:r>
      <w:r>
        <w:rPr>
          <w:spacing w:val="-6"/>
        </w:rPr>
        <w:t> </w:t>
      </w:r>
      <w:r>
        <w:rPr/>
        <w:t>£35,483</w:t>
      </w:r>
      <w:r>
        <w:rPr>
          <w:spacing w:val="-7"/>
        </w:rPr>
        <w:t> </w:t>
      </w:r>
      <w:r>
        <w:rPr>
          <w:spacing w:val="-2"/>
        </w:rPr>
        <w:t>(2022-</w:t>
      </w:r>
    </w:p>
    <w:p>
      <w:pPr>
        <w:pStyle w:val="BodyText"/>
        <w:spacing w:line="229" w:lineRule="exact"/>
        <w:ind w:left="852"/>
      </w:pPr>
      <w:r>
        <w:rPr/>
        <w:t>£44,000).</w:t>
      </w:r>
      <w:r>
        <w:rPr>
          <w:spacing w:val="-9"/>
        </w:rPr>
        <w:t> </w:t>
      </w:r>
      <w:r>
        <w:rPr/>
        <w:t>Individually,</w:t>
      </w:r>
      <w:r>
        <w:rPr>
          <w:spacing w:val="-8"/>
        </w:rPr>
        <w:t> </w:t>
      </w:r>
      <w:r>
        <w:rPr/>
        <w:t>the</w:t>
      </w:r>
      <w:r>
        <w:rPr>
          <w:spacing w:val="-8"/>
        </w:rPr>
        <w:t> </w:t>
      </w:r>
      <w:r>
        <w:rPr/>
        <w:t>payments</w:t>
      </w:r>
      <w:r>
        <w:rPr>
          <w:spacing w:val="-7"/>
        </w:rPr>
        <w:t> </w:t>
      </w:r>
      <w:r>
        <w:rPr/>
        <w:t>were:</w:t>
      </w:r>
      <w:r>
        <w:rPr>
          <w:spacing w:val="-9"/>
        </w:rPr>
        <w:t> </w:t>
      </w:r>
      <w:r>
        <w:rPr/>
        <w:t>£657,</w:t>
      </w:r>
      <w:r>
        <w:rPr>
          <w:spacing w:val="-8"/>
        </w:rPr>
        <w:t> </w:t>
      </w:r>
      <w:r>
        <w:rPr/>
        <w:t>£1,281,</w:t>
      </w:r>
      <w:r>
        <w:rPr>
          <w:spacing w:val="-8"/>
        </w:rPr>
        <w:t> </w:t>
      </w:r>
      <w:r>
        <w:rPr/>
        <w:t>£1,675,</w:t>
      </w:r>
      <w:r>
        <w:rPr>
          <w:spacing w:val="-8"/>
        </w:rPr>
        <w:t> </w:t>
      </w:r>
      <w:r>
        <w:rPr/>
        <w:t>£2,451,</w:t>
      </w:r>
      <w:r>
        <w:rPr>
          <w:spacing w:val="-8"/>
        </w:rPr>
        <w:t> </w:t>
      </w:r>
      <w:r>
        <w:rPr/>
        <w:t>£2,451,</w:t>
      </w:r>
      <w:r>
        <w:rPr>
          <w:spacing w:val="-7"/>
        </w:rPr>
        <w:t> </w:t>
      </w:r>
      <w:r>
        <w:rPr/>
        <w:t>£4,086,</w:t>
      </w:r>
      <w:r>
        <w:rPr>
          <w:spacing w:val="-6"/>
        </w:rPr>
        <w:t> </w:t>
      </w:r>
      <w:r>
        <w:rPr>
          <w:spacing w:val="-2"/>
        </w:rPr>
        <w:t>£4,760,</w:t>
      </w:r>
    </w:p>
    <w:p>
      <w:pPr>
        <w:pStyle w:val="BodyText"/>
        <w:ind w:left="852"/>
      </w:pPr>
      <w:r>
        <w:rPr/>
        <w:t>£5,125,</w:t>
      </w:r>
      <w:r>
        <w:rPr>
          <w:spacing w:val="-7"/>
        </w:rPr>
        <w:t> </w:t>
      </w:r>
      <w:r>
        <w:rPr/>
        <w:t>£5,610</w:t>
      </w:r>
      <w:r>
        <w:rPr>
          <w:spacing w:val="-7"/>
        </w:rPr>
        <w:t> </w:t>
      </w:r>
      <w:r>
        <w:rPr/>
        <w:t>and</w:t>
      </w:r>
      <w:r>
        <w:rPr>
          <w:spacing w:val="-7"/>
        </w:rPr>
        <w:t> </w:t>
      </w:r>
      <w:r>
        <w:rPr>
          <w:spacing w:val="-2"/>
        </w:rPr>
        <w:t>£7,387.</w:t>
      </w:r>
    </w:p>
    <w:p>
      <w:pPr>
        <w:pStyle w:val="BodyText"/>
        <w:spacing w:before="1"/>
      </w:pPr>
    </w:p>
    <w:p>
      <w:pPr>
        <w:pStyle w:val="BodyText"/>
        <w:ind w:left="852" w:right="537"/>
      </w:pPr>
      <w:r>
        <w:rPr/>
        <w:t>The</w:t>
      </w:r>
      <w:r>
        <w:rPr>
          <w:spacing w:val="40"/>
        </w:rPr>
        <w:t> </w:t>
      </w:r>
      <w:r>
        <w:rPr/>
        <w:t>staff</w:t>
      </w:r>
      <w:r>
        <w:rPr>
          <w:spacing w:val="40"/>
        </w:rPr>
        <w:t> </w:t>
      </w:r>
      <w:r>
        <w:rPr/>
        <w:t>restructuring</w:t>
      </w:r>
      <w:r>
        <w:rPr>
          <w:spacing w:val="40"/>
        </w:rPr>
        <w:t> </w:t>
      </w:r>
      <w:r>
        <w:rPr/>
        <w:t>costs</w:t>
      </w:r>
      <w:r>
        <w:rPr>
          <w:spacing w:val="40"/>
        </w:rPr>
        <w:t> </w:t>
      </w:r>
      <w:r>
        <w:rPr/>
        <w:t>were</w:t>
      </w:r>
      <w:r>
        <w:rPr>
          <w:spacing w:val="40"/>
        </w:rPr>
        <w:t> </w:t>
      </w:r>
      <w:r>
        <w:rPr/>
        <w:t>approved</w:t>
      </w:r>
      <w:r>
        <w:rPr>
          <w:spacing w:val="40"/>
        </w:rPr>
        <w:t> </w:t>
      </w:r>
      <w:r>
        <w:rPr/>
        <w:t>by</w:t>
      </w:r>
      <w:r>
        <w:rPr>
          <w:spacing w:val="40"/>
        </w:rPr>
        <w:t> </w:t>
      </w:r>
      <w:r>
        <w:rPr/>
        <w:t>the</w:t>
      </w:r>
      <w:r>
        <w:rPr>
          <w:spacing w:val="40"/>
        </w:rPr>
        <w:t> </w:t>
      </w:r>
      <w:r>
        <w:rPr/>
        <w:t>Corporation</w:t>
      </w:r>
      <w:r>
        <w:rPr>
          <w:spacing w:val="40"/>
        </w:rPr>
        <w:t> </w:t>
      </w:r>
      <w:r>
        <w:rPr/>
        <w:t>as</w:t>
      </w:r>
      <w:r>
        <w:rPr>
          <w:spacing w:val="40"/>
        </w:rPr>
        <w:t> </w:t>
      </w:r>
      <w:r>
        <w:rPr/>
        <w:t>part</w:t>
      </w:r>
      <w:r>
        <w:rPr>
          <w:spacing w:val="40"/>
        </w:rPr>
        <w:t> </w:t>
      </w:r>
      <w:r>
        <w:rPr/>
        <w:t>of</w:t>
      </w:r>
      <w:r>
        <w:rPr>
          <w:spacing w:val="40"/>
        </w:rPr>
        <w:t> </w:t>
      </w:r>
      <w:r>
        <w:rPr/>
        <w:t>the</w:t>
      </w:r>
      <w:r>
        <w:rPr>
          <w:spacing w:val="40"/>
        </w:rPr>
        <w:t> </w:t>
      </w:r>
      <w:r>
        <w:rPr/>
        <w:t>2022/2023</w:t>
      </w:r>
      <w:r>
        <w:rPr>
          <w:spacing w:val="40"/>
        </w:rPr>
        <w:t> </w:t>
      </w:r>
      <w:r>
        <w:rPr/>
        <w:t>budget </w:t>
      </w:r>
      <w:r>
        <w:rPr>
          <w:spacing w:val="-2"/>
        </w:rPr>
        <w:t>approval.</w:t>
      </w:r>
    </w:p>
    <w:p>
      <w:pPr>
        <w:pStyle w:val="BodyText"/>
        <w:spacing w:before="18"/>
      </w:pPr>
    </w:p>
    <w:p>
      <w:pPr>
        <w:pStyle w:val="Heading6"/>
        <w:tabs>
          <w:tab w:pos="8004" w:val="left" w:leader="none"/>
        </w:tabs>
        <w:ind w:left="5321"/>
        <w:jc w:val="left"/>
      </w:pPr>
      <w:r>
        <w:rPr/>
        <mc:AlternateContent>
          <mc:Choice Requires="wps">
            <w:drawing>
              <wp:anchor distT="0" distB="0" distL="0" distR="0" allowOverlap="1" layoutInCell="1" locked="0" behindDoc="0" simplePos="0" relativeHeight="15739904">
                <wp:simplePos x="0" y="0"/>
                <wp:positionH relativeFrom="page">
                  <wp:posOffset>3364991</wp:posOffset>
                </wp:positionH>
                <wp:positionV relativeFrom="paragraph">
                  <wp:posOffset>177103</wp:posOffset>
                </wp:positionV>
                <wp:extent cx="3335020" cy="182118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3335020" cy="182118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3"/>
                              <w:gridCol w:w="322"/>
                              <w:gridCol w:w="996"/>
                              <w:gridCol w:w="415"/>
                              <w:gridCol w:w="996"/>
                              <w:gridCol w:w="276"/>
                              <w:gridCol w:w="994"/>
                            </w:tblGrid>
                            <w:tr>
                              <w:trPr>
                                <w:trHeight w:val="245" w:hRule="atLeast"/>
                              </w:trPr>
                              <w:tc>
                                <w:tcPr>
                                  <w:tcW w:w="1133" w:type="dxa"/>
                                </w:tcPr>
                                <w:p>
                                  <w:pPr>
                                    <w:pStyle w:val="TableParagraph"/>
                                    <w:spacing w:line="223" w:lineRule="exact"/>
                                    <w:ind w:right="108"/>
                                    <w:jc w:val="right"/>
                                    <w:rPr>
                                      <w:b/>
                                      <w:sz w:val="20"/>
                                    </w:rPr>
                                  </w:pPr>
                                  <w:r>
                                    <w:rPr>
                                      <w:b/>
                                      <w:spacing w:val="-4"/>
                                      <w:sz w:val="20"/>
                                    </w:rPr>
                                    <w:t>2023</w:t>
                                  </w:r>
                                </w:p>
                              </w:tc>
                              <w:tc>
                                <w:tcPr>
                                  <w:tcW w:w="322" w:type="dxa"/>
                                </w:tcPr>
                                <w:p>
                                  <w:pPr>
                                    <w:pStyle w:val="TableParagraph"/>
                                    <w:rPr>
                                      <w:rFonts w:ascii="Times New Roman"/>
                                      <w:sz w:val="16"/>
                                    </w:rPr>
                                  </w:pPr>
                                </w:p>
                              </w:tc>
                              <w:tc>
                                <w:tcPr>
                                  <w:tcW w:w="996" w:type="dxa"/>
                                </w:tcPr>
                                <w:p>
                                  <w:pPr>
                                    <w:pStyle w:val="TableParagraph"/>
                                    <w:spacing w:line="223" w:lineRule="exact"/>
                                    <w:ind w:left="-1" w:right="111"/>
                                    <w:jc w:val="right"/>
                                    <w:rPr>
                                      <w:b/>
                                      <w:sz w:val="20"/>
                                    </w:rPr>
                                  </w:pPr>
                                  <w:r>
                                    <w:rPr>
                                      <w:b/>
                                      <w:spacing w:val="-4"/>
                                      <w:sz w:val="20"/>
                                    </w:rPr>
                                    <w:t>2023</w:t>
                                  </w:r>
                                </w:p>
                              </w:tc>
                              <w:tc>
                                <w:tcPr>
                                  <w:tcW w:w="415" w:type="dxa"/>
                                </w:tcPr>
                                <w:p>
                                  <w:pPr>
                                    <w:pStyle w:val="TableParagraph"/>
                                    <w:rPr>
                                      <w:rFonts w:ascii="Times New Roman"/>
                                      <w:sz w:val="16"/>
                                    </w:rPr>
                                  </w:pPr>
                                </w:p>
                              </w:tc>
                              <w:tc>
                                <w:tcPr>
                                  <w:tcW w:w="996" w:type="dxa"/>
                                </w:tcPr>
                                <w:p>
                                  <w:pPr>
                                    <w:pStyle w:val="TableParagraph"/>
                                    <w:spacing w:line="223" w:lineRule="exact"/>
                                    <w:ind w:left="-1" w:right="110"/>
                                    <w:jc w:val="right"/>
                                    <w:rPr>
                                      <w:b/>
                                      <w:sz w:val="20"/>
                                    </w:rPr>
                                  </w:pPr>
                                  <w:r>
                                    <w:rPr>
                                      <w:b/>
                                      <w:spacing w:val="-4"/>
                                      <w:sz w:val="20"/>
                                    </w:rPr>
                                    <w:t>2022</w:t>
                                  </w:r>
                                </w:p>
                              </w:tc>
                              <w:tc>
                                <w:tcPr>
                                  <w:tcW w:w="276" w:type="dxa"/>
                                </w:tcPr>
                                <w:p>
                                  <w:pPr>
                                    <w:pStyle w:val="TableParagraph"/>
                                    <w:rPr>
                                      <w:rFonts w:ascii="Times New Roman"/>
                                      <w:sz w:val="16"/>
                                    </w:rPr>
                                  </w:pPr>
                                </w:p>
                              </w:tc>
                              <w:tc>
                                <w:tcPr>
                                  <w:tcW w:w="994" w:type="dxa"/>
                                </w:tcPr>
                                <w:p>
                                  <w:pPr>
                                    <w:pStyle w:val="TableParagraph"/>
                                    <w:spacing w:line="223" w:lineRule="exact"/>
                                    <w:ind w:right="109"/>
                                    <w:jc w:val="right"/>
                                    <w:rPr>
                                      <w:b/>
                                      <w:sz w:val="20"/>
                                    </w:rPr>
                                  </w:pPr>
                                  <w:r>
                                    <w:rPr>
                                      <w:b/>
                                      <w:spacing w:val="-4"/>
                                      <w:sz w:val="20"/>
                                    </w:rPr>
                                    <w:t>2022</w:t>
                                  </w:r>
                                </w:p>
                              </w:tc>
                            </w:tr>
                            <w:tr>
                              <w:trPr>
                                <w:trHeight w:val="270" w:hRule="atLeast"/>
                              </w:trPr>
                              <w:tc>
                                <w:tcPr>
                                  <w:tcW w:w="1133" w:type="dxa"/>
                                </w:tcPr>
                                <w:p>
                                  <w:pPr>
                                    <w:pStyle w:val="TableParagraph"/>
                                    <w:spacing w:before="16"/>
                                    <w:ind w:right="106"/>
                                    <w:jc w:val="right"/>
                                    <w:rPr>
                                      <w:b/>
                                      <w:sz w:val="20"/>
                                    </w:rPr>
                                  </w:pPr>
                                  <w:r>
                                    <w:rPr>
                                      <w:b/>
                                      <w:spacing w:val="-4"/>
                                      <w:sz w:val="20"/>
                                    </w:rPr>
                                    <w:t>Group</w:t>
                                  </w:r>
                                </w:p>
                              </w:tc>
                              <w:tc>
                                <w:tcPr>
                                  <w:tcW w:w="322" w:type="dxa"/>
                                </w:tcPr>
                                <w:p>
                                  <w:pPr>
                                    <w:pStyle w:val="TableParagraph"/>
                                    <w:rPr>
                                      <w:rFonts w:ascii="Times New Roman"/>
                                      <w:sz w:val="20"/>
                                    </w:rPr>
                                  </w:pPr>
                                </w:p>
                              </w:tc>
                              <w:tc>
                                <w:tcPr>
                                  <w:tcW w:w="996" w:type="dxa"/>
                                </w:tcPr>
                                <w:p>
                                  <w:pPr>
                                    <w:pStyle w:val="TableParagraph"/>
                                    <w:spacing w:before="16"/>
                                    <w:ind w:left="-1" w:right="111"/>
                                    <w:jc w:val="right"/>
                                    <w:rPr>
                                      <w:b/>
                                      <w:sz w:val="20"/>
                                    </w:rPr>
                                  </w:pPr>
                                  <w:r>
                                    <w:rPr>
                                      <w:b/>
                                      <w:spacing w:val="-2"/>
                                      <w:sz w:val="20"/>
                                    </w:rPr>
                                    <w:t>College</w:t>
                                  </w:r>
                                </w:p>
                              </w:tc>
                              <w:tc>
                                <w:tcPr>
                                  <w:tcW w:w="415" w:type="dxa"/>
                                </w:tcPr>
                                <w:p>
                                  <w:pPr>
                                    <w:pStyle w:val="TableParagraph"/>
                                    <w:rPr>
                                      <w:rFonts w:ascii="Times New Roman"/>
                                      <w:sz w:val="20"/>
                                    </w:rPr>
                                  </w:pPr>
                                </w:p>
                              </w:tc>
                              <w:tc>
                                <w:tcPr>
                                  <w:tcW w:w="996" w:type="dxa"/>
                                </w:tcPr>
                                <w:p>
                                  <w:pPr>
                                    <w:pStyle w:val="TableParagraph"/>
                                    <w:spacing w:before="16"/>
                                    <w:ind w:left="-1" w:right="107"/>
                                    <w:jc w:val="right"/>
                                    <w:rPr>
                                      <w:b/>
                                      <w:sz w:val="20"/>
                                    </w:rPr>
                                  </w:pPr>
                                  <w:r>
                                    <w:rPr>
                                      <w:b/>
                                      <w:spacing w:val="-4"/>
                                      <w:sz w:val="20"/>
                                    </w:rPr>
                                    <w:t>Group</w:t>
                                  </w:r>
                                </w:p>
                              </w:tc>
                              <w:tc>
                                <w:tcPr>
                                  <w:tcW w:w="276" w:type="dxa"/>
                                </w:tcPr>
                                <w:p>
                                  <w:pPr>
                                    <w:pStyle w:val="TableParagraph"/>
                                    <w:rPr>
                                      <w:rFonts w:ascii="Times New Roman"/>
                                      <w:sz w:val="20"/>
                                    </w:rPr>
                                  </w:pPr>
                                </w:p>
                              </w:tc>
                              <w:tc>
                                <w:tcPr>
                                  <w:tcW w:w="994" w:type="dxa"/>
                                </w:tcPr>
                                <w:p>
                                  <w:pPr>
                                    <w:pStyle w:val="TableParagraph"/>
                                    <w:spacing w:before="16"/>
                                    <w:ind w:right="108"/>
                                    <w:jc w:val="right"/>
                                    <w:rPr>
                                      <w:b/>
                                      <w:sz w:val="20"/>
                                    </w:rPr>
                                  </w:pPr>
                                  <w:r>
                                    <w:rPr>
                                      <w:b/>
                                      <w:spacing w:val="-2"/>
                                      <w:sz w:val="20"/>
                                    </w:rPr>
                                    <w:t>College</w:t>
                                  </w:r>
                                </w:p>
                              </w:tc>
                            </w:tr>
                            <w:tr>
                              <w:trPr>
                                <w:trHeight w:val="260" w:hRule="atLeast"/>
                              </w:trPr>
                              <w:tc>
                                <w:tcPr>
                                  <w:tcW w:w="1133" w:type="dxa"/>
                                </w:tcPr>
                                <w:p>
                                  <w:pPr>
                                    <w:pStyle w:val="TableParagraph"/>
                                    <w:spacing w:line="223" w:lineRule="exact" w:before="17"/>
                                    <w:ind w:right="108"/>
                                    <w:jc w:val="right"/>
                                    <w:rPr>
                                      <w:b/>
                                      <w:sz w:val="20"/>
                                    </w:rPr>
                                  </w:pPr>
                                  <w:r>
                                    <w:rPr>
                                      <w:b/>
                                      <w:spacing w:val="-4"/>
                                      <w:sz w:val="20"/>
                                    </w:rPr>
                                    <w:t>£000</w:t>
                                  </w:r>
                                </w:p>
                              </w:tc>
                              <w:tc>
                                <w:tcPr>
                                  <w:tcW w:w="322" w:type="dxa"/>
                                </w:tcPr>
                                <w:p>
                                  <w:pPr>
                                    <w:pStyle w:val="TableParagraph"/>
                                    <w:rPr>
                                      <w:rFonts w:ascii="Times New Roman"/>
                                      <w:sz w:val="18"/>
                                    </w:rPr>
                                  </w:pPr>
                                </w:p>
                              </w:tc>
                              <w:tc>
                                <w:tcPr>
                                  <w:tcW w:w="996" w:type="dxa"/>
                                </w:tcPr>
                                <w:p>
                                  <w:pPr>
                                    <w:pStyle w:val="TableParagraph"/>
                                    <w:spacing w:line="223" w:lineRule="exact" w:before="17"/>
                                    <w:ind w:left="-1" w:right="111"/>
                                    <w:jc w:val="right"/>
                                    <w:rPr>
                                      <w:b/>
                                      <w:sz w:val="20"/>
                                    </w:rPr>
                                  </w:pPr>
                                  <w:r>
                                    <w:rPr>
                                      <w:b/>
                                      <w:spacing w:val="-4"/>
                                      <w:sz w:val="20"/>
                                    </w:rPr>
                                    <w:t>£000</w:t>
                                  </w:r>
                                </w:p>
                              </w:tc>
                              <w:tc>
                                <w:tcPr>
                                  <w:tcW w:w="415" w:type="dxa"/>
                                </w:tcPr>
                                <w:p>
                                  <w:pPr>
                                    <w:pStyle w:val="TableParagraph"/>
                                    <w:rPr>
                                      <w:rFonts w:ascii="Times New Roman"/>
                                      <w:sz w:val="18"/>
                                    </w:rPr>
                                  </w:pPr>
                                </w:p>
                              </w:tc>
                              <w:tc>
                                <w:tcPr>
                                  <w:tcW w:w="996" w:type="dxa"/>
                                </w:tcPr>
                                <w:p>
                                  <w:pPr>
                                    <w:pStyle w:val="TableParagraph"/>
                                    <w:spacing w:line="223" w:lineRule="exact" w:before="17"/>
                                    <w:ind w:left="-1" w:right="108"/>
                                    <w:jc w:val="right"/>
                                    <w:rPr>
                                      <w:b/>
                                      <w:sz w:val="20"/>
                                    </w:rPr>
                                  </w:pPr>
                                  <w:r>
                                    <w:rPr>
                                      <w:b/>
                                      <w:spacing w:val="-4"/>
                                      <w:sz w:val="20"/>
                                    </w:rPr>
                                    <w:t>£000</w:t>
                                  </w:r>
                                </w:p>
                              </w:tc>
                              <w:tc>
                                <w:tcPr>
                                  <w:tcW w:w="276" w:type="dxa"/>
                                </w:tcPr>
                                <w:p>
                                  <w:pPr>
                                    <w:pStyle w:val="TableParagraph"/>
                                    <w:rPr>
                                      <w:rFonts w:ascii="Times New Roman"/>
                                      <w:sz w:val="18"/>
                                    </w:rPr>
                                  </w:pPr>
                                </w:p>
                              </w:tc>
                              <w:tc>
                                <w:tcPr>
                                  <w:tcW w:w="994" w:type="dxa"/>
                                </w:tcPr>
                                <w:p>
                                  <w:pPr>
                                    <w:pStyle w:val="TableParagraph"/>
                                    <w:spacing w:line="223" w:lineRule="exact" w:before="17"/>
                                    <w:ind w:right="109"/>
                                    <w:jc w:val="right"/>
                                    <w:rPr>
                                      <w:b/>
                                      <w:sz w:val="20"/>
                                    </w:rPr>
                                  </w:pPr>
                                  <w:r>
                                    <w:rPr>
                                      <w:b/>
                                      <w:spacing w:val="-4"/>
                                      <w:sz w:val="20"/>
                                    </w:rPr>
                                    <w:t>£000</w:t>
                                  </w:r>
                                </w:p>
                              </w:tc>
                            </w:tr>
                            <w:tr>
                              <w:trPr>
                                <w:trHeight w:val="1191" w:hRule="atLeast"/>
                              </w:trPr>
                              <w:tc>
                                <w:tcPr>
                                  <w:tcW w:w="1133" w:type="dxa"/>
                                </w:tcPr>
                                <w:p>
                                  <w:pPr>
                                    <w:pStyle w:val="TableParagraph"/>
                                    <w:rPr>
                                      <w:rFonts w:ascii="Times New Roman"/>
                                      <w:sz w:val="20"/>
                                    </w:rPr>
                                  </w:pPr>
                                </w:p>
                              </w:tc>
                              <w:tc>
                                <w:tcPr>
                                  <w:tcW w:w="322" w:type="dxa"/>
                                </w:tcPr>
                                <w:p>
                                  <w:pPr>
                                    <w:pStyle w:val="TableParagraph"/>
                                    <w:rPr>
                                      <w:rFonts w:ascii="Times New Roman"/>
                                      <w:sz w:val="20"/>
                                    </w:rPr>
                                  </w:pPr>
                                </w:p>
                              </w:tc>
                              <w:tc>
                                <w:tcPr>
                                  <w:tcW w:w="996" w:type="dxa"/>
                                </w:tcPr>
                                <w:p>
                                  <w:pPr>
                                    <w:pStyle w:val="TableParagraph"/>
                                    <w:rPr>
                                      <w:rFonts w:ascii="Times New Roman"/>
                                      <w:sz w:val="20"/>
                                    </w:rPr>
                                  </w:pPr>
                                </w:p>
                              </w:tc>
                              <w:tc>
                                <w:tcPr>
                                  <w:tcW w:w="415" w:type="dxa"/>
                                </w:tcPr>
                                <w:p>
                                  <w:pPr>
                                    <w:pStyle w:val="TableParagraph"/>
                                    <w:rPr>
                                      <w:rFonts w:ascii="Times New Roman"/>
                                      <w:sz w:val="20"/>
                                    </w:rPr>
                                  </w:pPr>
                                </w:p>
                              </w:tc>
                              <w:tc>
                                <w:tcPr>
                                  <w:tcW w:w="996" w:type="dxa"/>
                                </w:tcPr>
                                <w:p>
                                  <w:pPr>
                                    <w:pStyle w:val="TableParagraph"/>
                                    <w:rPr>
                                      <w:rFonts w:ascii="Times New Roman"/>
                                      <w:sz w:val="20"/>
                                    </w:rPr>
                                  </w:pPr>
                                </w:p>
                              </w:tc>
                              <w:tc>
                                <w:tcPr>
                                  <w:tcW w:w="276" w:type="dxa"/>
                                </w:tcPr>
                                <w:p>
                                  <w:pPr>
                                    <w:pStyle w:val="TableParagraph"/>
                                    <w:rPr>
                                      <w:rFonts w:ascii="Times New Roman"/>
                                      <w:sz w:val="20"/>
                                    </w:rPr>
                                  </w:pPr>
                                </w:p>
                              </w:tc>
                              <w:tc>
                                <w:tcPr>
                                  <w:tcW w:w="994" w:type="dxa"/>
                                </w:tcPr>
                                <w:p>
                                  <w:pPr>
                                    <w:pStyle w:val="TableParagraph"/>
                                    <w:rPr>
                                      <w:rFonts w:ascii="Times New Roman"/>
                                      <w:sz w:val="20"/>
                                    </w:rPr>
                                  </w:pPr>
                                </w:p>
                              </w:tc>
                            </w:tr>
                            <w:tr>
                              <w:trPr>
                                <w:trHeight w:val="279" w:hRule="atLeast"/>
                              </w:trPr>
                              <w:tc>
                                <w:tcPr>
                                  <w:tcW w:w="1133" w:type="dxa"/>
                                </w:tcPr>
                                <w:p>
                                  <w:pPr>
                                    <w:pStyle w:val="TableParagraph"/>
                                    <w:spacing w:before="26"/>
                                    <w:ind w:right="107"/>
                                    <w:jc w:val="right"/>
                                    <w:rPr>
                                      <w:sz w:val="20"/>
                                    </w:rPr>
                                  </w:pPr>
                                  <w:r>
                                    <w:rPr>
                                      <w:spacing w:val="-10"/>
                                      <w:sz w:val="20"/>
                                    </w:rPr>
                                    <w:t>-</w:t>
                                  </w:r>
                                </w:p>
                              </w:tc>
                              <w:tc>
                                <w:tcPr>
                                  <w:tcW w:w="322" w:type="dxa"/>
                                </w:tcPr>
                                <w:p>
                                  <w:pPr>
                                    <w:pStyle w:val="TableParagraph"/>
                                    <w:rPr>
                                      <w:rFonts w:ascii="Times New Roman"/>
                                      <w:sz w:val="20"/>
                                    </w:rPr>
                                  </w:pPr>
                                </w:p>
                              </w:tc>
                              <w:tc>
                                <w:tcPr>
                                  <w:tcW w:w="996" w:type="dxa"/>
                                </w:tcPr>
                                <w:p>
                                  <w:pPr>
                                    <w:pStyle w:val="TableParagraph"/>
                                    <w:spacing w:before="26"/>
                                    <w:ind w:left="-1" w:right="109"/>
                                    <w:jc w:val="right"/>
                                    <w:rPr>
                                      <w:sz w:val="20"/>
                                    </w:rPr>
                                  </w:pPr>
                                  <w:r>
                                    <w:rPr>
                                      <w:spacing w:val="-10"/>
                                      <w:sz w:val="20"/>
                                    </w:rPr>
                                    <w:t>-</w:t>
                                  </w:r>
                                </w:p>
                              </w:tc>
                              <w:tc>
                                <w:tcPr>
                                  <w:tcW w:w="415" w:type="dxa"/>
                                </w:tcPr>
                                <w:p>
                                  <w:pPr>
                                    <w:pStyle w:val="TableParagraph"/>
                                    <w:rPr>
                                      <w:rFonts w:ascii="Times New Roman"/>
                                      <w:sz w:val="20"/>
                                    </w:rPr>
                                  </w:pPr>
                                </w:p>
                              </w:tc>
                              <w:tc>
                                <w:tcPr>
                                  <w:tcW w:w="996" w:type="dxa"/>
                                </w:tcPr>
                                <w:p>
                                  <w:pPr>
                                    <w:pStyle w:val="TableParagraph"/>
                                    <w:spacing w:before="26"/>
                                    <w:ind w:left="-1" w:right="108"/>
                                    <w:jc w:val="right"/>
                                    <w:rPr>
                                      <w:sz w:val="20"/>
                                    </w:rPr>
                                  </w:pPr>
                                  <w:r>
                                    <w:rPr>
                                      <w:spacing w:val="-5"/>
                                      <w:sz w:val="20"/>
                                    </w:rPr>
                                    <w:t>38</w:t>
                                  </w:r>
                                </w:p>
                              </w:tc>
                              <w:tc>
                                <w:tcPr>
                                  <w:tcW w:w="276" w:type="dxa"/>
                                </w:tcPr>
                                <w:p>
                                  <w:pPr>
                                    <w:pStyle w:val="TableParagraph"/>
                                    <w:rPr>
                                      <w:rFonts w:ascii="Times New Roman"/>
                                      <w:sz w:val="20"/>
                                    </w:rPr>
                                  </w:pPr>
                                </w:p>
                              </w:tc>
                              <w:tc>
                                <w:tcPr>
                                  <w:tcW w:w="994" w:type="dxa"/>
                                </w:tcPr>
                                <w:p>
                                  <w:pPr>
                                    <w:pStyle w:val="TableParagraph"/>
                                    <w:spacing w:before="26"/>
                                    <w:ind w:right="109"/>
                                    <w:jc w:val="right"/>
                                    <w:rPr>
                                      <w:sz w:val="20"/>
                                    </w:rPr>
                                  </w:pPr>
                                  <w:r>
                                    <w:rPr>
                                      <w:spacing w:val="-5"/>
                                      <w:sz w:val="20"/>
                                    </w:rPr>
                                    <w:t>38</w:t>
                                  </w:r>
                                </w:p>
                              </w:tc>
                            </w:tr>
                            <w:tr>
                              <w:trPr>
                                <w:trHeight w:val="265" w:hRule="atLeast"/>
                              </w:trPr>
                              <w:tc>
                                <w:tcPr>
                                  <w:tcW w:w="1133" w:type="dxa"/>
                                  <w:tcBorders>
                                    <w:bottom w:val="single" w:sz="4" w:space="0" w:color="000000"/>
                                  </w:tcBorders>
                                </w:tcPr>
                                <w:p>
                                  <w:pPr>
                                    <w:pStyle w:val="TableParagraph"/>
                                    <w:spacing w:before="16"/>
                                    <w:ind w:right="107"/>
                                    <w:jc w:val="right"/>
                                    <w:rPr>
                                      <w:sz w:val="20"/>
                                    </w:rPr>
                                  </w:pPr>
                                  <w:r>
                                    <w:rPr>
                                      <w:spacing w:val="-10"/>
                                      <w:sz w:val="20"/>
                                    </w:rPr>
                                    <w:t>-</w:t>
                                  </w:r>
                                </w:p>
                              </w:tc>
                              <w:tc>
                                <w:tcPr>
                                  <w:tcW w:w="322" w:type="dxa"/>
                                </w:tcPr>
                                <w:p>
                                  <w:pPr>
                                    <w:pStyle w:val="TableParagraph"/>
                                    <w:rPr>
                                      <w:rFonts w:ascii="Times New Roman"/>
                                      <w:sz w:val="18"/>
                                    </w:rPr>
                                  </w:pPr>
                                </w:p>
                              </w:tc>
                              <w:tc>
                                <w:tcPr>
                                  <w:tcW w:w="996" w:type="dxa"/>
                                  <w:tcBorders>
                                    <w:bottom w:val="single" w:sz="4" w:space="0" w:color="000000"/>
                                  </w:tcBorders>
                                </w:tcPr>
                                <w:p>
                                  <w:pPr>
                                    <w:pStyle w:val="TableParagraph"/>
                                    <w:spacing w:before="16"/>
                                    <w:ind w:left="-1" w:right="109"/>
                                    <w:jc w:val="right"/>
                                    <w:rPr>
                                      <w:sz w:val="20"/>
                                    </w:rPr>
                                  </w:pPr>
                                  <w:r>
                                    <w:rPr>
                                      <w:spacing w:val="-10"/>
                                      <w:sz w:val="20"/>
                                    </w:rPr>
                                    <w:t>-</w:t>
                                  </w:r>
                                </w:p>
                              </w:tc>
                              <w:tc>
                                <w:tcPr>
                                  <w:tcW w:w="415" w:type="dxa"/>
                                </w:tcPr>
                                <w:p>
                                  <w:pPr>
                                    <w:pStyle w:val="TableParagraph"/>
                                    <w:rPr>
                                      <w:rFonts w:ascii="Times New Roman"/>
                                      <w:sz w:val="18"/>
                                    </w:rPr>
                                  </w:pPr>
                                </w:p>
                              </w:tc>
                              <w:tc>
                                <w:tcPr>
                                  <w:tcW w:w="996" w:type="dxa"/>
                                  <w:tcBorders>
                                    <w:bottom w:val="single" w:sz="4" w:space="0" w:color="000000"/>
                                  </w:tcBorders>
                                </w:tcPr>
                                <w:p>
                                  <w:pPr>
                                    <w:pStyle w:val="TableParagraph"/>
                                    <w:spacing w:before="16"/>
                                    <w:ind w:left="-1" w:right="107"/>
                                    <w:jc w:val="right"/>
                                    <w:rPr>
                                      <w:sz w:val="20"/>
                                    </w:rPr>
                                  </w:pPr>
                                  <w:r>
                                    <w:rPr>
                                      <w:spacing w:val="-10"/>
                                      <w:sz w:val="20"/>
                                    </w:rPr>
                                    <w:t>-</w:t>
                                  </w:r>
                                </w:p>
                              </w:tc>
                              <w:tc>
                                <w:tcPr>
                                  <w:tcW w:w="276" w:type="dxa"/>
                                </w:tcPr>
                                <w:p>
                                  <w:pPr>
                                    <w:pStyle w:val="TableParagraph"/>
                                    <w:rPr>
                                      <w:rFonts w:ascii="Times New Roman"/>
                                      <w:sz w:val="18"/>
                                    </w:rPr>
                                  </w:pPr>
                                </w:p>
                              </w:tc>
                              <w:tc>
                                <w:tcPr>
                                  <w:tcW w:w="994" w:type="dxa"/>
                                  <w:tcBorders>
                                    <w:bottom w:val="single" w:sz="4" w:space="0" w:color="000000"/>
                                  </w:tcBorders>
                                </w:tcPr>
                                <w:p>
                                  <w:pPr>
                                    <w:pStyle w:val="TableParagraph"/>
                                    <w:spacing w:before="16"/>
                                    <w:ind w:right="107"/>
                                    <w:jc w:val="right"/>
                                    <w:rPr>
                                      <w:sz w:val="20"/>
                                    </w:rPr>
                                  </w:pPr>
                                  <w:r>
                                    <w:rPr>
                                      <w:spacing w:val="-10"/>
                                      <w:sz w:val="20"/>
                                    </w:rPr>
                                    <w:t>-</w:t>
                                  </w:r>
                                </w:p>
                              </w:tc>
                            </w:tr>
                            <w:tr>
                              <w:trPr>
                                <w:trHeight w:val="318" w:hRule="atLeast"/>
                              </w:trPr>
                              <w:tc>
                                <w:tcPr>
                                  <w:tcW w:w="1133" w:type="dxa"/>
                                  <w:tcBorders>
                                    <w:top w:val="single" w:sz="4" w:space="0" w:color="000000"/>
                                    <w:bottom w:val="double" w:sz="4" w:space="0" w:color="000000"/>
                                  </w:tcBorders>
                                </w:tcPr>
                                <w:p>
                                  <w:pPr>
                                    <w:pStyle w:val="TableParagraph"/>
                                    <w:spacing w:before="18"/>
                                    <w:ind w:right="107"/>
                                    <w:jc w:val="right"/>
                                    <w:rPr>
                                      <w:sz w:val="20"/>
                                    </w:rPr>
                                  </w:pPr>
                                  <w:r>
                                    <w:rPr>
                                      <w:spacing w:val="-10"/>
                                      <w:sz w:val="20"/>
                                    </w:rPr>
                                    <w:t>-</w:t>
                                  </w:r>
                                </w:p>
                              </w:tc>
                              <w:tc>
                                <w:tcPr>
                                  <w:tcW w:w="322" w:type="dxa"/>
                                </w:tcPr>
                                <w:p>
                                  <w:pPr>
                                    <w:pStyle w:val="TableParagraph"/>
                                    <w:rPr>
                                      <w:rFonts w:ascii="Times New Roman"/>
                                      <w:sz w:val="20"/>
                                    </w:rPr>
                                  </w:pPr>
                                </w:p>
                              </w:tc>
                              <w:tc>
                                <w:tcPr>
                                  <w:tcW w:w="996" w:type="dxa"/>
                                  <w:tcBorders>
                                    <w:top w:val="single" w:sz="4" w:space="0" w:color="000000"/>
                                    <w:bottom w:val="double" w:sz="4" w:space="0" w:color="000000"/>
                                  </w:tcBorders>
                                </w:tcPr>
                                <w:p>
                                  <w:pPr>
                                    <w:pStyle w:val="TableParagraph"/>
                                    <w:spacing w:before="18"/>
                                    <w:ind w:left="-1" w:right="109"/>
                                    <w:jc w:val="right"/>
                                    <w:rPr>
                                      <w:sz w:val="20"/>
                                    </w:rPr>
                                  </w:pPr>
                                  <w:r>
                                    <w:rPr>
                                      <w:spacing w:val="-10"/>
                                      <w:sz w:val="20"/>
                                    </w:rPr>
                                    <w:t>-</w:t>
                                  </w:r>
                                </w:p>
                              </w:tc>
                              <w:tc>
                                <w:tcPr>
                                  <w:tcW w:w="415" w:type="dxa"/>
                                </w:tcPr>
                                <w:p>
                                  <w:pPr>
                                    <w:pStyle w:val="TableParagraph"/>
                                    <w:rPr>
                                      <w:rFonts w:ascii="Times New Roman"/>
                                      <w:sz w:val="20"/>
                                    </w:rPr>
                                  </w:pPr>
                                </w:p>
                              </w:tc>
                              <w:tc>
                                <w:tcPr>
                                  <w:tcW w:w="996" w:type="dxa"/>
                                  <w:tcBorders>
                                    <w:top w:val="single" w:sz="4" w:space="0" w:color="000000"/>
                                    <w:bottom w:val="double" w:sz="4" w:space="0" w:color="000000"/>
                                  </w:tcBorders>
                                </w:tcPr>
                                <w:p>
                                  <w:pPr>
                                    <w:pStyle w:val="TableParagraph"/>
                                    <w:spacing w:before="18"/>
                                    <w:ind w:left="-1" w:right="108"/>
                                    <w:jc w:val="right"/>
                                    <w:rPr>
                                      <w:sz w:val="20"/>
                                    </w:rPr>
                                  </w:pPr>
                                  <w:r>
                                    <w:rPr>
                                      <w:spacing w:val="-5"/>
                                      <w:sz w:val="20"/>
                                    </w:rPr>
                                    <w:t>38</w:t>
                                  </w:r>
                                </w:p>
                              </w:tc>
                              <w:tc>
                                <w:tcPr>
                                  <w:tcW w:w="276" w:type="dxa"/>
                                </w:tcPr>
                                <w:p>
                                  <w:pPr>
                                    <w:pStyle w:val="TableParagraph"/>
                                    <w:rPr>
                                      <w:rFonts w:ascii="Times New Roman"/>
                                      <w:sz w:val="20"/>
                                    </w:rPr>
                                  </w:pPr>
                                </w:p>
                              </w:tc>
                              <w:tc>
                                <w:tcPr>
                                  <w:tcW w:w="994" w:type="dxa"/>
                                  <w:tcBorders>
                                    <w:top w:val="single" w:sz="4" w:space="0" w:color="000000"/>
                                    <w:bottom w:val="double" w:sz="4" w:space="0" w:color="000000"/>
                                  </w:tcBorders>
                                </w:tcPr>
                                <w:p>
                                  <w:pPr>
                                    <w:pStyle w:val="TableParagraph"/>
                                    <w:spacing w:before="18"/>
                                    <w:ind w:right="109"/>
                                    <w:jc w:val="right"/>
                                    <w:rPr>
                                      <w:sz w:val="20"/>
                                    </w:rPr>
                                  </w:pPr>
                                  <w:r>
                                    <w:rPr>
                                      <w:spacing w:val="-5"/>
                                      <w:sz w:val="20"/>
                                    </w:rPr>
                                    <w:t>38</w:t>
                                  </w:r>
                                </w:p>
                              </w:tc>
                            </w:tr>
                          </w:tbl>
                          <w:p>
                            <w:pPr>
                              <w:pStyle w:val="BodyText"/>
                            </w:pPr>
                          </w:p>
                        </w:txbxContent>
                      </wps:txbx>
                      <wps:bodyPr wrap="square" lIns="0" tIns="0" rIns="0" bIns="0" rtlCol="0">
                        <a:noAutofit/>
                      </wps:bodyPr>
                    </wps:wsp>
                  </a:graphicData>
                </a:graphic>
              </wp:anchor>
            </w:drawing>
          </mc:Choice>
          <mc:Fallback>
            <w:pict>
              <v:shape style="position:absolute;margin-left:264.959991pt;margin-top:13.94513pt;width:262.6pt;height:143.4pt;mso-position-horizontal-relative:page;mso-position-vertical-relative:paragraph;z-index:15739904" type="#_x0000_t202" id="docshape7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3"/>
                        <w:gridCol w:w="322"/>
                        <w:gridCol w:w="996"/>
                        <w:gridCol w:w="415"/>
                        <w:gridCol w:w="996"/>
                        <w:gridCol w:w="276"/>
                        <w:gridCol w:w="994"/>
                      </w:tblGrid>
                      <w:tr>
                        <w:trPr>
                          <w:trHeight w:val="245" w:hRule="atLeast"/>
                        </w:trPr>
                        <w:tc>
                          <w:tcPr>
                            <w:tcW w:w="1133" w:type="dxa"/>
                          </w:tcPr>
                          <w:p>
                            <w:pPr>
                              <w:pStyle w:val="TableParagraph"/>
                              <w:spacing w:line="223" w:lineRule="exact"/>
                              <w:ind w:right="108"/>
                              <w:jc w:val="right"/>
                              <w:rPr>
                                <w:b/>
                                <w:sz w:val="20"/>
                              </w:rPr>
                            </w:pPr>
                            <w:r>
                              <w:rPr>
                                <w:b/>
                                <w:spacing w:val="-4"/>
                                <w:sz w:val="20"/>
                              </w:rPr>
                              <w:t>2023</w:t>
                            </w:r>
                          </w:p>
                        </w:tc>
                        <w:tc>
                          <w:tcPr>
                            <w:tcW w:w="322" w:type="dxa"/>
                          </w:tcPr>
                          <w:p>
                            <w:pPr>
                              <w:pStyle w:val="TableParagraph"/>
                              <w:rPr>
                                <w:rFonts w:ascii="Times New Roman"/>
                                <w:sz w:val="16"/>
                              </w:rPr>
                            </w:pPr>
                          </w:p>
                        </w:tc>
                        <w:tc>
                          <w:tcPr>
                            <w:tcW w:w="996" w:type="dxa"/>
                          </w:tcPr>
                          <w:p>
                            <w:pPr>
                              <w:pStyle w:val="TableParagraph"/>
                              <w:spacing w:line="223" w:lineRule="exact"/>
                              <w:ind w:left="-1" w:right="111"/>
                              <w:jc w:val="right"/>
                              <w:rPr>
                                <w:b/>
                                <w:sz w:val="20"/>
                              </w:rPr>
                            </w:pPr>
                            <w:r>
                              <w:rPr>
                                <w:b/>
                                <w:spacing w:val="-4"/>
                                <w:sz w:val="20"/>
                              </w:rPr>
                              <w:t>2023</w:t>
                            </w:r>
                          </w:p>
                        </w:tc>
                        <w:tc>
                          <w:tcPr>
                            <w:tcW w:w="415" w:type="dxa"/>
                          </w:tcPr>
                          <w:p>
                            <w:pPr>
                              <w:pStyle w:val="TableParagraph"/>
                              <w:rPr>
                                <w:rFonts w:ascii="Times New Roman"/>
                                <w:sz w:val="16"/>
                              </w:rPr>
                            </w:pPr>
                          </w:p>
                        </w:tc>
                        <w:tc>
                          <w:tcPr>
                            <w:tcW w:w="996" w:type="dxa"/>
                          </w:tcPr>
                          <w:p>
                            <w:pPr>
                              <w:pStyle w:val="TableParagraph"/>
                              <w:spacing w:line="223" w:lineRule="exact"/>
                              <w:ind w:left="-1" w:right="110"/>
                              <w:jc w:val="right"/>
                              <w:rPr>
                                <w:b/>
                                <w:sz w:val="20"/>
                              </w:rPr>
                            </w:pPr>
                            <w:r>
                              <w:rPr>
                                <w:b/>
                                <w:spacing w:val="-4"/>
                                <w:sz w:val="20"/>
                              </w:rPr>
                              <w:t>2022</w:t>
                            </w:r>
                          </w:p>
                        </w:tc>
                        <w:tc>
                          <w:tcPr>
                            <w:tcW w:w="276" w:type="dxa"/>
                          </w:tcPr>
                          <w:p>
                            <w:pPr>
                              <w:pStyle w:val="TableParagraph"/>
                              <w:rPr>
                                <w:rFonts w:ascii="Times New Roman"/>
                                <w:sz w:val="16"/>
                              </w:rPr>
                            </w:pPr>
                          </w:p>
                        </w:tc>
                        <w:tc>
                          <w:tcPr>
                            <w:tcW w:w="994" w:type="dxa"/>
                          </w:tcPr>
                          <w:p>
                            <w:pPr>
                              <w:pStyle w:val="TableParagraph"/>
                              <w:spacing w:line="223" w:lineRule="exact"/>
                              <w:ind w:right="109"/>
                              <w:jc w:val="right"/>
                              <w:rPr>
                                <w:b/>
                                <w:sz w:val="20"/>
                              </w:rPr>
                            </w:pPr>
                            <w:r>
                              <w:rPr>
                                <w:b/>
                                <w:spacing w:val="-4"/>
                                <w:sz w:val="20"/>
                              </w:rPr>
                              <w:t>2022</w:t>
                            </w:r>
                          </w:p>
                        </w:tc>
                      </w:tr>
                      <w:tr>
                        <w:trPr>
                          <w:trHeight w:val="270" w:hRule="atLeast"/>
                        </w:trPr>
                        <w:tc>
                          <w:tcPr>
                            <w:tcW w:w="1133" w:type="dxa"/>
                          </w:tcPr>
                          <w:p>
                            <w:pPr>
                              <w:pStyle w:val="TableParagraph"/>
                              <w:spacing w:before="16"/>
                              <w:ind w:right="106"/>
                              <w:jc w:val="right"/>
                              <w:rPr>
                                <w:b/>
                                <w:sz w:val="20"/>
                              </w:rPr>
                            </w:pPr>
                            <w:r>
                              <w:rPr>
                                <w:b/>
                                <w:spacing w:val="-4"/>
                                <w:sz w:val="20"/>
                              </w:rPr>
                              <w:t>Group</w:t>
                            </w:r>
                          </w:p>
                        </w:tc>
                        <w:tc>
                          <w:tcPr>
                            <w:tcW w:w="322" w:type="dxa"/>
                          </w:tcPr>
                          <w:p>
                            <w:pPr>
                              <w:pStyle w:val="TableParagraph"/>
                              <w:rPr>
                                <w:rFonts w:ascii="Times New Roman"/>
                                <w:sz w:val="20"/>
                              </w:rPr>
                            </w:pPr>
                          </w:p>
                        </w:tc>
                        <w:tc>
                          <w:tcPr>
                            <w:tcW w:w="996" w:type="dxa"/>
                          </w:tcPr>
                          <w:p>
                            <w:pPr>
                              <w:pStyle w:val="TableParagraph"/>
                              <w:spacing w:before="16"/>
                              <w:ind w:left="-1" w:right="111"/>
                              <w:jc w:val="right"/>
                              <w:rPr>
                                <w:b/>
                                <w:sz w:val="20"/>
                              </w:rPr>
                            </w:pPr>
                            <w:r>
                              <w:rPr>
                                <w:b/>
                                <w:spacing w:val="-2"/>
                                <w:sz w:val="20"/>
                              </w:rPr>
                              <w:t>College</w:t>
                            </w:r>
                          </w:p>
                        </w:tc>
                        <w:tc>
                          <w:tcPr>
                            <w:tcW w:w="415" w:type="dxa"/>
                          </w:tcPr>
                          <w:p>
                            <w:pPr>
                              <w:pStyle w:val="TableParagraph"/>
                              <w:rPr>
                                <w:rFonts w:ascii="Times New Roman"/>
                                <w:sz w:val="20"/>
                              </w:rPr>
                            </w:pPr>
                          </w:p>
                        </w:tc>
                        <w:tc>
                          <w:tcPr>
                            <w:tcW w:w="996" w:type="dxa"/>
                          </w:tcPr>
                          <w:p>
                            <w:pPr>
                              <w:pStyle w:val="TableParagraph"/>
                              <w:spacing w:before="16"/>
                              <w:ind w:left="-1" w:right="107"/>
                              <w:jc w:val="right"/>
                              <w:rPr>
                                <w:b/>
                                <w:sz w:val="20"/>
                              </w:rPr>
                            </w:pPr>
                            <w:r>
                              <w:rPr>
                                <w:b/>
                                <w:spacing w:val="-4"/>
                                <w:sz w:val="20"/>
                              </w:rPr>
                              <w:t>Group</w:t>
                            </w:r>
                          </w:p>
                        </w:tc>
                        <w:tc>
                          <w:tcPr>
                            <w:tcW w:w="276" w:type="dxa"/>
                          </w:tcPr>
                          <w:p>
                            <w:pPr>
                              <w:pStyle w:val="TableParagraph"/>
                              <w:rPr>
                                <w:rFonts w:ascii="Times New Roman"/>
                                <w:sz w:val="20"/>
                              </w:rPr>
                            </w:pPr>
                          </w:p>
                        </w:tc>
                        <w:tc>
                          <w:tcPr>
                            <w:tcW w:w="994" w:type="dxa"/>
                          </w:tcPr>
                          <w:p>
                            <w:pPr>
                              <w:pStyle w:val="TableParagraph"/>
                              <w:spacing w:before="16"/>
                              <w:ind w:right="108"/>
                              <w:jc w:val="right"/>
                              <w:rPr>
                                <w:b/>
                                <w:sz w:val="20"/>
                              </w:rPr>
                            </w:pPr>
                            <w:r>
                              <w:rPr>
                                <w:b/>
                                <w:spacing w:val="-2"/>
                                <w:sz w:val="20"/>
                              </w:rPr>
                              <w:t>College</w:t>
                            </w:r>
                          </w:p>
                        </w:tc>
                      </w:tr>
                      <w:tr>
                        <w:trPr>
                          <w:trHeight w:val="260" w:hRule="atLeast"/>
                        </w:trPr>
                        <w:tc>
                          <w:tcPr>
                            <w:tcW w:w="1133" w:type="dxa"/>
                          </w:tcPr>
                          <w:p>
                            <w:pPr>
                              <w:pStyle w:val="TableParagraph"/>
                              <w:spacing w:line="223" w:lineRule="exact" w:before="17"/>
                              <w:ind w:right="108"/>
                              <w:jc w:val="right"/>
                              <w:rPr>
                                <w:b/>
                                <w:sz w:val="20"/>
                              </w:rPr>
                            </w:pPr>
                            <w:r>
                              <w:rPr>
                                <w:b/>
                                <w:spacing w:val="-4"/>
                                <w:sz w:val="20"/>
                              </w:rPr>
                              <w:t>£000</w:t>
                            </w:r>
                          </w:p>
                        </w:tc>
                        <w:tc>
                          <w:tcPr>
                            <w:tcW w:w="322" w:type="dxa"/>
                          </w:tcPr>
                          <w:p>
                            <w:pPr>
                              <w:pStyle w:val="TableParagraph"/>
                              <w:rPr>
                                <w:rFonts w:ascii="Times New Roman"/>
                                <w:sz w:val="18"/>
                              </w:rPr>
                            </w:pPr>
                          </w:p>
                        </w:tc>
                        <w:tc>
                          <w:tcPr>
                            <w:tcW w:w="996" w:type="dxa"/>
                          </w:tcPr>
                          <w:p>
                            <w:pPr>
                              <w:pStyle w:val="TableParagraph"/>
                              <w:spacing w:line="223" w:lineRule="exact" w:before="17"/>
                              <w:ind w:left="-1" w:right="111"/>
                              <w:jc w:val="right"/>
                              <w:rPr>
                                <w:b/>
                                <w:sz w:val="20"/>
                              </w:rPr>
                            </w:pPr>
                            <w:r>
                              <w:rPr>
                                <w:b/>
                                <w:spacing w:val="-4"/>
                                <w:sz w:val="20"/>
                              </w:rPr>
                              <w:t>£000</w:t>
                            </w:r>
                          </w:p>
                        </w:tc>
                        <w:tc>
                          <w:tcPr>
                            <w:tcW w:w="415" w:type="dxa"/>
                          </w:tcPr>
                          <w:p>
                            <w:pPr>
                              <w:pStyle w:val="TableParagraph"/>
                              <w:rPr>
                                <w:rFonts w:ascii="Times New Roman"/>
                                <w:sz w:val="18"/>
                              </w:rPr>
                            </w:pPr>
                          </w:p>
                        </w:tc>
                        <w:tc>
                          <w:tcPr>
                            <w:tcW w:w="996" w:type="dxa"/>
                          </w:tcPr>
                          <w:p>
                            <w:pPr>
                              <w:pStyle w:val="TableParagraph"/>
                              <w:spacing w:line="223" w:lineRule="exact" w:before="17"/>
                              <w:ind w:left="-1" w:right="108"/>
                              <w:jc w:val="right"/>
                              <w:rPr>
                                <w:b/>
                                <w:sz w:val="20"/>
                              </w:rPr>
                            </w:pPr>
                            <w:r>
                              <w:rPr>
                                <w:b/>
                                <w:spacing w:val="-4"/>
                                <w:sz w:val="20"/>
                              </w:rPr>
                              <w:t>£000</w:t>
                            </w:r>
                          </w:p>
                        </w:tc>
                        <w:tc>
                          <w:tcPr>
                            <w:tcW w:w="276" w:type="dxa"/>
                          </w:tcPr>
                          <w:p>
                            <w:pPr>
                              <w:pStyle w:val="TableParagraph"/>
                              <w:rPr>
                                <w:rFonts w:ascii="Times New Roman"/>
                                <w:sz w:val="18"/>
                              </w:rPr>
                            </w:pPr>
                          </w:p>
                        </w:tc>
                        <w:tc>
                          <w:tcPr>
                            <w:tcW w:w="994" w:type="dxa"/>
                          </w:tcPr>
                          <w:p>
                            <w:pPr>
                              <w:pStyle w:val="TableParagraph"/>
                              <w:spacing w:line="223" w:lineRule="exact" w:before="17"/>
                              <w:ind w:right="109"/>
                              <w:jc w:val="right"/>
                              <w:rPr>
                                <w:b/>
                                <w:sz w:val="20"/>
                              </w:rPr>
                            </w:pPr>
                            <w:r>
                              <w:rPr>
                                <w:b/>
                                <w:spacing w:val="-4"/>
                                <w:sz w:val="20"/>
                              </w:rPr>
                              <w:t>£000</w:t>
                            </w:r>
                          </w:p>
                        </w:tc>
                      </w:tr>
                      <w:tr>
                        <w:trPr>
                          <w:trHeight w:val="1191" w:hRule="atLeast"/>
                        </w:trPr>
                        <w:tc>
                          <w:tcPr>
                            <w:tcW w:w="1133" w:type="dxa"/>
                          </w:tcPr>
                          <w:p>
                            <w:pPr>
                              <w:pStyle w:val="TableParagraph"/>
                              <w:rPr>
                                <w:rFonts w:ascii="Times New Roman"/>
                                <w:sz w:val="20"/>
                              </w:rPr>
                            </w:pPr>
                          </w:p>
                        </w:tc>
                        <w:tc>
                          <w:tcPr>
                            <w:tcW w:w="322" w:type="dxa"/>
                          </w:tcPr>
                          <w:p>
                            <w:pPr>
                              <w:pStyle w:val="TableParagraph"/>
                              <w:rPr>
                                <w:rFonts w:ascii="Times New Roman"/>
                                <w:sz w:val="20"/>
                              </w:rPr>
                            </w:pPr>
                          </w:p>
                        </w:tc>
                        <w:tc>
                          <w:tcPr>
                            <w:tcW w:w="996" w:type="dxa"/>
                          </w:tcPr>
                          <w:p>
                            <w:pPr>
                              <w:pStyle w:val="TableParagraph"/>
                              <w:rPr>
                                <w:rFonts w:ascii="Times New Roman"/>
                                <w:sz w:val="20"/>
                              </w:rPr>
                            </w:pPr>
                          </w:p>
                        </w:tc>
                        <w:tc>
                          <w:tcPr>
                            <w:tcW w:w="415" w:type="dxa"/>
                          </w:tcPr>
                          <w:p>
                            <w:pPr>
                              <w:pStyle w:val="TableParagraph"/>
                              <w:rPr>
                                <w:rFonts w:ascii="Times New Roman"/>
                                <w:sz w:val="20"/>
                              </w:rPr>
                            </w:pPr>
                          </w:p>
                        </w:tc>
                        <w:tc>
                          <w:tcPr>
                            <w:tcW w:w="996" w:type="dxa"/>
                          </w:tcPr>
                          <w:p>
                            <w:pPr>
                              <w:pStyle w:val="TableParagraph"/>
                              <w:rPr>
                                <w:rFonts w:ascii="Times New Roman"/>
                                <w:sz w:val="20"/>
                              </w:rPr>
                            </w:pPr>
                          </w:p>
                        </w:tc>
                        <w:tc>
                          <w:tcPr>
                            <w:tcW w:w="276" w:type="dxa"/>
                          </w:tcPr>
                          <w:p>
                            <w:pPr>
                              <w:pStyle w:val="TableParagraph"/>
                              <w:rPr>
                                <w:rFonts w:ascii="Times New Roman"/>
                                <w:sz w:val="20"/>
                              </w:rPr>
                            </w:pPr>
                          </w:p>
                        </w:tc>
                        <w:tc>
                          <w:tcPr>
                            <w:tcW w:w="994" w:type="dxa"/>
                          </w:tcPr>
                          <w:p>
                            <w:pPr>
                              <w:pStyle w:val="TableParagraph"/>
                              <w:rPr>
                                <w:rFonts w:ascii="Times New Roman"/>
                                <w:sz w:val="20"/>
                              </w:rPr>
                            </w:pPr>
                          </w:p>
                        </w:tc>
                      </w:tr>
                      <w:tr>
                        <w:trPr>
                          <w:trHeight w:val="279" w:hRule="atLeast"/>
                        </w:trPr>
                        <w:tc>
                          <w:tcPr>
                            <w:tcW w:w="1133" w:type="dxa"/>
                          </w:tcPr>
                          <w:p>
                            <w:pPr>
                              <w:pStyle w:val="TableParagraph"/>
                              <w:spacing w:before="26"/>
                              <w:ind w:right="107"/>
                              <w:jc w:val="right"/>
                              <w:rPr>
                                <w:sz w:val="20"/>
                              </w:rPr>
                            </w:pPr>
                            <w:r>
                              <w:rPr>
                                <w:spacing w:val="-10"/>
                                <w:sz w:val="20"/>
                              </w:rPr>
                              <w:t>-</w:t>
                            </w:r>
                          </w:p>
                        </w:tc>
                        <w:tc>
                          <w:tcPr>
                            <w:tcW w:w="322" w:type="dxa"/>
                          </w:tcPr>
                          <w:p>
                            <w:pPr>
                              <w:pStyle w:val="TableParagraph"/>
                              <w:rPr>
                                <w:rFonts w:ascii="Times New Roman"/>
                                <w:sz w:val="20"/>
                              </w:rPr>
                            </w:pPr>
                          </w:p>
                        </w:tc>
                        <w:tc>
                          <w:tcPr>
                            <w:tcW w:w="996" w:type="dxa"/>
                          </w:tcPr>
                          <w:p>
                            <w:pPr>
                              <w:pStyle w:val="TableParagraph"/>
                              <w:spacing w:before="26"/>
                              <w:ind w:left="-1" w:right="109"/>
                              <w:jc w:val="right"/>
                              <w:rPr>
                                <w:sz w:val="20"/>
                              </w:rPr>
                            </w:pPr>
                            <w:r>
                              <w:rPr>
                                <w:spacing w:val="-10"/>
                                <w:sz w:val="20"/>
                              </w:rPr>
                              <w:t>-</w:t>
                            </w:r>
                          </w:p>
                        </w:tc>
                        <w:tc>
                          <w:tcPr>
                            <w:tcW w:w="415" w:type="dxa"/>
                          </w:tcPr>
                          <w:p>
                            <w:pPr>
                              <w:pStyle w:val="TableParagraph"/>
                              <w:rPr>
                                <w:rFonts w:ascii="Times New Roman"/>
                                <w:sz w:val="20"/>
                              </w:rPr>
                            </w:pPr>
                          </w:p>
                        </w:tc>
                        <w:tc>
                          <w:tcPr>
                            <w:tcW w:w="996" w:type="dxa"/>
                          </w:tcPr>
                          <w:p>
                            <w:pPr>
                              <w:pStyle w:val="TableParagraph"/>
                              <w:spacing w:before="26"/>
                              <w:ind w:left="-1" w:right="108"/>
                              <w:jc w:val="right"/>
                              <w:rPr>
                                <w:sz w:val="20"/>
                              </w:rPr>
                            </w:pPr>
                            <w:r>
                              <w:rPr>
                                <w:spacing w:val="-5"/>
                                <w:sz w:val="20"/>
                              </w:rPr>
                              <w:t>38</w:t>
                            </w:r>
                          </w:p>
                        </w:tc>
                        <w:tc>
                          <w:tcPr>
                            <w:tcW w:w="276" w:type="dxa"/>
                          </w:tcPr>
                          <w:p>
                            <w:pPr>
                              <w:pStyle w:val="TableParagraph"/>
                              <w:rPr>
                                <w:rFonts w:ascii="Times New Roman"/>
                                <w:sz w:val="20"/>
                              </w:rPr>
                            </w:pPr>
                          </w:p>
                        </w:tc>
                        <w:tc>
                          <w:tcPr>
                            <w:tcW w:w="994" w:type="dxa"/>
                          </w:tcPr>
                          <w:p>
                            <w:pPr>
                              <w:pStyle w:val="TableParagraph"/>
                              <w:spacing w:before="26"/>
                              <w:ind w:right="109"/>
                              <w:jc w:val="right"/>
                              <w:rPr>
                                <w:sz w:val="20"/>
                              </w:rPr>
                            </w:pPr>
                            <w:r>
                              <w:rPr>
                                <w:spacing w:val="-5"/>
                                <w:sz w:val="20"/>
                              </w:rPr>
                              <w:t>38</w:t>
                            </w:r>
                          </w:p>
                        </w:tc>
                      </w:tr>
                      <w:tr>
                        <w:trPr>
                          <w:trHeight w:val="265" w:hRule="atLeast"/>
                        </w:trPr>
                        <w:tc>
                          <w:tcPr>
                            <w:tcW w:w="1133" w:type="dxa"/>
                            <w:tcBorders>
                              <w:bottom w:val="single" w:sz="4" w:space="0" w:color="000000"/>
                            </w:tcBorders>
                          </w:tcPr>
                          <w:p>
                            <w:pPr>
                              <w:pStyle w:val="TableParagraph"/>
                              <w:spacing w:before="16"/>
                              <w:ind w:right="107"/>
                              <w:jc w:val="right"/>
                              <w:rPr>
                                <w:sz w:val="20"/>
                              </w:rPr>
                            </w:pPr>
                            <w:r>
                              <w:rPr>
                                <w:spacing w:val="-10"/>
                                <w:sz w:val="20"/>
                              </w:rPr>
                              <w:t>-</w:t>
                            </w:r>
                          </w:p>
                        </w:tc>
                        <w:tc>
                          <w:tcPr>
                            <w:tcW w:w="322" w:type="dxa"/>
                          </w:tcPr>
                          <w:p>
                            <w:pPr>
                              <w:pStyle w:val="TableParagraph"/>
                              <w:rPr>
                                <w:rFonts w:ascii="Times New Roman"/>
                                <w:sz w:val="18"/>
                              </w:rPr>
                            </w:pPr>
                          </w:p>
                        </w:tc>
                        <w:tc>
                          <w:tcPr>
                            <w:tcW w:w="996" w:type="dxa"/>
                            <w:tcBorders>
                              <w:bottom w:val="single" w:sz="4" w:space="0" w:color="000000"/>
                            </w:tcBorders>
                          </w:tcPr>
                          <w:p>
                            <w:pPr>
                              <w:pStyle w:val="TableParagraph"/>
                              <w:spacing w:before="16"/>
                              <w:ind w:left="-1" w:right="109"/>
                              <w:jc w:val="right"/>
                              <w:rPr>
                                <w:sz w:val="20"/>
                              </w:rPr>
                            </w:pPr>
                            <w:r>
                              <w:rPr>
                                <w:spacing w:val="-10"/>
                                <w:sz w:val="20"/>
                              </w:rPr>
                              <w:t>-</w:t>
                            </w:r>
                          </w:p>
                        </w:tc>
                        <w:tc>
                          <w:tcPr>
                            <w:tcW w:w="415" w:type="dxa"/>
                          </w:tcPr>
                          <w:p>
                            <w:pPr>
                              <w:pStyle w:val="TableParagraph"/>
                              <w:rPr>
                                <w:rFonts w:ascii="Times New Roman"/>
                                <w:sz w:val="18"/>
                              </w:rPr>
                            </w:pPr>
                          </w:p>
                        </w:tc>
                        <w:tc>
                          <w:tcPr>
                            <w:tcW w:w="996" w:type="dxa"/>
                            <w:tcBorders>
                              <w:bottom w:val="single" w:sz="4" w:space="0" w:color="000000"/>
                            </w:tcBorders>
                          </w:tcPr>
                          <w:p>
                            <w:pPr>
                              <w:pStyle w:val="TableParagraph"/>
                              <w:spacing w:before="16"/>
                              <w:ind w:left="-1" w:right="107"/>
                              <w:jc w:val="right"/>
                              <w:rPr>
                                <w:sz w:val="20"/>
                              </w:rPr>
                            </w:pPr>
                            <w:r>
                              <w:rPr>
                                <w:spacing w:val="-10"/>
                                <w:sz w:val="20"/>
                              </w:rPr>
                              <w:t>-</w:t>
                            </w:r>
                          </w:p>
                        </w:tc>
                        <w:tc>
                          <w:tcPr>
                            <w:tcW w:w="276" w:type="dxa"/>
                          </w:tcPr>
                          <w:p>
                            <w:pPr>
                              <w:pStyle w:val="TableParagraph"/>
                              <w:rPr>
                                <w:rFonts w:ascii="Times New Roman"/>
                                <w:sz w:val="18"/>
                              </w:rPr>
                            </w:pPr>
                          </w:p>
                        </w:tc>
                        <w:tc>
                          <w:tcPr>
                            <w:tcW w:w="994" w:type="dxa"/>
                            <w:tcBorders>
                              <w:bottom w:val="single" w:sz="4" w:space="0" w:color="000000"/>
                            </w:tcBorders>
                          </w:tcPr>
                          <w:p>
                            <w:pPr>
                              <w:pStyle w:val="TableParagraph"/>
                              <w:spacing w:before="16"/>
                              <w:ind w:right="107"/>
                              <w:jc w:val="right"/>
                              <w:rPr>
                                <w:sz w:val="20"/>
                              </w:rPr>
                            </w:pPr>
                            <w:r>
                              <w:rPr>
                                <w:spacing w:val="-10"/>
                                <w:sz w:val="20"/>
                              </w:rPr>
                              <w:t>-</w:t>
                            </w:r>
                          </w:p>
                        </w:tc>
                      </w:tr>
                      <w:tr>
                        <w:trPr>
                          <w:trHeight w:val="318" w:hRule="atLeast"/>
                        </w:trPr>
                        <w:tc>
                          <w:tcPr>
                            <w:tcW w:w="1133" w:type="dxa"/>
                            <w:tcBorders>
                              <w:top w:val="single" w:sz="4" w:space="0" w:color="000000"/>
                              <w:bottom w:val="double" w:sz="4" w:space="0" w:color="000000"/>
                            </w:tcBorders>
                          </w:tcPr>
                          <w:p>
                            <w:pPr>
                              <w:pStyle w:val="TableParagraph"/>
                              <w:spacing w:before="18"/>
                              <w:ind w:right="107"/>
                              <w:jc w:val="right"/>
                              <w:rPr>
                                <w:sz w:val="20"/>
                              </w:rPr>
                            </w:pPr>
                            <w:r>
                              <w:rPr>
                                <w:spacing w:val="-10"/>
                                <w:sz w:val="20"/>
                              </w:rPr>
                              <w:t>-</w:t>
                            </w:r>
                          </w:p>
                        </w:tc>
                        <w:tc>
                          <w:tcPr>
                            <w:tcW w:w="322" w:type="dxa"/>
                          </w:tcPr>
                          <w:p>
                            <w:pPr>
                              <w:pStyle w:val="TableParagraph"/>
                              <w:rPr>
                                <w:rFonts w:ascii="Times New Roman"/>
                                <w:sz w:val="20"/>
                              </w:rPr>
                            </w:pPr>
                          </w:p>
                        </w:tc>
                        <w:tc>
                          <w:tcPr>
                            <w:tcW w:w="996" w:type="dxa"/>
                            <w:tcBorders>
                              <w:top w:val="single" w:sz="4" w:space="0" w:color="000000"/>
                              <w:bottom w:val="double" w:sz="4" w:space="0" w:color="000000"/>
                            </w:tcBorders>
                          </w:tcPr>
                          <w:p>
                            <w:pPr>
                              <w:pStyle w:val="TableParagraph"/>
                              <w:spacing w:before="18"/>
                              <w:ind w:left="-1" w:right="109"/>
                              <w:jc w:val="right"/>
                              <w:rPr>
                                <w:sz w:val="20"/>
                              </w:rPr>
                            </w:pPr>
                            <w:r>
                              <w:rPr>
                                <w:spacing w:val="-10"/>
                                <w:sz w:val="20"/>
                              </w:rPr>
                              <w:t>-</w:t>
                            </w:r>
                          </w:p>
                        </w:tc>
                        <w:tc>
                          <w:tcPr>
                            <w:tcW w:w="415" w:type="dxa"/>
                          </w:tcPr>
                          <w:p>
                            <w:pPr>
                              <w:pStyle w:val="TableParagraph"/>
                              <w:rPr>
                                <w:rFonts w:ascii="Times New Roman"/>
                                <w:sz w:val="20"/>
                              </w:rPr>
                            </w:pPr>
                          </w:p>
                        </w:tc>
                        <w:tc>
                          <w:tcPr>
                            <w:tcW w:w="996" w:type="dxa"/>
                            <w:tcBorders>
                              <w:top w:val="single" w:sz="4" w:space="0" w:color="000000"/>
                              <w:bottom w:val="double" w:sz="4" w:space="0" w:color="000000"/>
                            </w:tcBorders>
                          </w:tcPr>
                          <w:p>
                            <w:pPr>
                              <w:pStyle w:val="TableParagraph"/>
                              <w:spacing w:before="18"/>
                              <w:ind w:left="-1" w:right="108"/>
                              <w:jc w:val="right"/>
                              <w:rPr>
                                <w:sz w:val="20"/>
                              </w:rPr>
                            </w:pPr>
                            <w:r>
                              <w:rPr>
                                <w:spacing w:val="-5"/>
                                <w:sz w:val="20"/>
                              </w:rPr>
                              <w:t>38</w:t>
                            </w:r>
                          </w:p>
                        </w:tc>
                        <w:tc>
                          <w:tcPr>
                            <w:tcW w:w="276" w:type="dxa"/>
                          </w:tcPr>
                          <w:p>
                            <w:pPr>
                              <w:pStyle w:val="TableParagraph"/>
                              <w:rPr>
                                <w:rFonts w:ascii="Times New Roman"/>
                                <w:sz w:val="20"/>
                              </w:rPr>
                            </w:pPr>
                          </w:p>
                        </w:tc>
                        <w:tc>
                          <w:tcPr>
                            <w:tcW w:w="994" w:type="dxa"/>
                            <w:tcBorders>
                              <w:top w:val="single" w:sz="4" w:space="0" w:color="000000"/>
                              <w:bottom w:val="double" w:sz="4" w:space="0" w:color="000000"/>
                            </w:tcBorders>
                          </w:tcPr>
                          <w:p>
                            <w:pPr>
                              <w:pStyle w:val="TableParagraph"/>
                              <w:spacing w:before="18"/>
                              <w:ind w:right="109"/>
                              <w:jc w:val="right"/>
                              <w:rPr>
                                <w:sz w:val="20"/>
                              </w:rPr>
                            </w:pPr>
                            <w:r>
                              <w:rPr>
                                <w:spacing w:val="-5"/>
                                <w:sz w:val="20"/>
                              </w:rPr>
                              <w:t>38</w:t>
                            </w:r>
                          </w:p>
                        </w:tc>
                      </w:tr>
                    </w:tbl>
                    <w:p>
                      <w:pPr>
                        <w:pStyle w:val="BodyText"/>
                      </w:pPr>
                    </w:p>
                  </w:txbxContent>
                </v:textbox>
                <w10:wrap type="none"/>
              </v:shape>
            </w:pict>
          </mc:Fallback>
        </mc:AlternateContent>
      </w:r>
      <w:r>
        <w:rPr/>
        <w:t>Year</w:t>
      </w:r>
      <w:r>
        <w:rPr>
          <w:spacing w:val="-7"/>
        </w:rPr>
        <w:t> </w:t>
      </w:r>
      <w:r>
        <w:rPr/>
        <w:t>ended</w:t>
      </w:r>
      <w:r>
        <w:rPr>
          <w:spacing w:val="-4"/>
        </w:rPr>
        <w:t> </w:t>
      </w:r>
      <w:r>
        <w:rPr/>
        <w:t>31</w:t>
      </w:r>
      <w:r>
        <w:rPr>
          <w:spacing w:val="-4"/>
        </w:rPr>
        <w:t> July</w:t>
      </w:r>
      <w:r>
        <w:rPr/>
        <w:tab/>
        <w:t>Year</w:t>
      </w:r>
      <w:r>
        <w:rPr>
          <w:spacing w:val="-7"/>
        </w:rPr>
        <w:t> </w:t>
      </w:r>
      <w:r>
        <w:rPr/>
        <w:t>ended</w:t>
      </w:r>
      <w:r>
        <w:rPr>
          <w:spacing w:val="-4"/>
        </w:rPr>
        <w:t> </w:t>
      </w:r>
      <w:r>
        <w:rPr/>
        <w:t>31</w:t>
      </w:r>
      <w:r>
        <w:rPr>
          <w:spacing w:val="-4"/>
        </w:rPr>
        <w:t> July</w:t>
      </w:r>
    </w:p>
    <w:p>
      <w:pPr>
        <w:pStyle w:val="BodyText"/>
        <w:rPr>
          <w:b/>
        </w:rPr>
      </w:pPr>
    </w:p>
    <w:p>
      <w:pPr>
        <w:pStyle w:val="BodyText"/>
        <w:rPr>
          <w:b/>
        </w:rPr>
      </w:pPr>
    </w:p>
    <w:p>
      <w:pPr>
        <w:pStyle w:val="BodyText"/>
        <w:spacing w:before="141"/>
        <w:rPr>
          <w:b/>
        </w:rPr>
      </w:pPr>
    </w:p>
    <w:p>
      <w:pPr>
        <w:spacing w:before="0"/>
        <w:ind w:left="1385" w:right="5699" w:firstLine="0"/>
        <w:jc w:val="left"/>
        <w:rPr>
          <w:sz w:val="20"/>
        </w:rPr>
      </w:pPr>
      <w:r>
        <w:rPr>
          <w:b/>
          <w:sz w:val="20"/>
        </w:rPr>
        <w:t>Compensation</w:t>
      </w:r>
      <w:r>
        <w:rPr>
          <w:b/>
          <w:spacing w:val="40"/>
          <w:sz w:val="20"/>
        </w:rPr>
        <w:t> </w:t>
      </w:r>
      <w:r>
        <w:rPr>
          <w:b/>
          <w:sz w:val="20"/>
        </w:rPr>
        <w:t>for</w:t>
      </w:r>
      <w:r>
        <w:rPr>
          <w:b/>
          <w:spacing w:val="40"/>
          <w:sz w:val="20"/>
        </w:rPr>
        <w:t> </w:t>
      </w:r>
      <w:r>
        <w:rPr>
          <w:b/>
          <w:sz w:val="20"/>
        </w:rPr>
        <w:t>loss</w:t>
      </w:r>
      <w:r>
        <w:rPr>
          <w:b/>
          <w:spacing w:val="40"/>
          <w:sz w:val="20"/>
        </w:rPr>
        <w:t> </w:t>
      </w:r>
      <w:r>
        <w:rPr>
          <w:b/>
          <w:sz w:val="20"/>
        </w:rPr>
        <w:t>of</w:t>
      </w:r>
      <w:r>
        <w:rPr>
          <w:b/>
          <w:spacing w:val="40"/>
          <w:sz w:val="20"/>
        </w:rPr>
        <w:t> </w:t>
      </w:r>
      <w:r>
        <w:rPr>
          <w:b/>
          <w:sz w:val="20"/>
        </w:rPr>
        <w:t>office paid</w:t>
      </w:r>
      <w:r>
        <w:rPr>
          <w:b/>
          <w:spacing w:val="80"/>
          <w:sz w:val="20"/>
        </w:rPr>
        <w:t> </w:t>
      </w:r>
      <w:r>
        <w:rPr>
          <w:b/>
          <w:sz w:val="20"/>
        </w:rPr>
        <w:t>to</w:t>
      </w:r>
      <w:r>
        <w:rPr>
          <w:b/>
          <w:spacing w:val="80"/>
          <w:sz w:val="20"/>
        </w:rPr>
        <w:t> </w:t>
      </w:r>
      <w:r>
        <w:rPr>
          <w:b/>
          <w:sz w:val="20"/>
        </w:rPr>
        <w:t>former</w:t>
      </w:r>
      <w:r>
        <w:rPr>
          <w:b/>
          <w:spacing w:val="80"/>
          <w:sz w:val="20"/>
        </w:rPr>
        <w:t> </w:t>
      </w:r>
      <w:r>
        <w:rPr>
          <w:b/>
          <w:sz w:val="20"/>
        </w:rPr>
        <w:t>member</w:t>
      </w:r>
      <w:r>
        <w:rPr>
          <w:b/>
          <w:spacing w:val="80"/>
          <w:sz w:val="20"/>
        </w:rPr>
        <w:t> </w:t>
      </w:r>
      <w:r>
        <w:rPr>
          <w:b/>
          <w:sz w:val="20"/>
        </w:rPr>
        <w:t>of</w:t>
      </w:r>
      <w:r>
        <w:rPr>
          <w:b/>
          <w:spacing w:val="80"/>
          <w:sz w:val="20"/>
        </w:rPr>
        <w:t> </w:t>
      </w:r>
      <w:r>
        <w:rPr>
          <w:b/>
          <w:sz w:val="20"/>
        </w:rPr>
        <w:t>the senior management team </w:t>
      </w:r>
      <w:r>
        <w:rPr>
          <w:sz w:val="20"/>
        </w:rPr>
        <w:t>Compensation paid to 1 former post-</w:t>
      </w:r>
      <w:r>
        <w:rPr>
          <w:spacing w:val="-2"/>
          <w:sz w:val="20"/>
        </w:rPr>
        <w:t>holder</w:t>
      </w:r>
    </w:p>
    <w:p>
      <w:pPr>
        <w:pStyle w:val="ListParagraph"/>
        <w:numPr>
          <w:ilvl w:val="0"/>
          <w:numId w:val="14"/>
        </w:numPr>
        <w:tabs>
          <w:tab w:pos="1506" w:val="left" w:leader="none"/>
        </w:tabs>
        <w:spacing w:line="230" w:lineRule="exact" w:before="0" w:after="0"/>
        <w:ind w:left="1506" w:right="0" w:hanging="121"/>
        <w:jc w:val="left"/>
        <w:rPr>
          <w:sz w:val="20"/>
        </w:rPr>
      </w:pPr>
      <w:r>
        <w:rPr>
          <w:spacing w:val="-2"/>
          <w:sz w:val="20"/>
        </w:rPr>
        <w:t>Contractual</w:t>
      </w:r>
    </w:p>
    <w:p>
      <w:pPr>
        <w:pStyle w:val="ListParagraph"/>
        <w:numPr>
          <w:ilvl w:val="0"/>
          <w:numId w:val="14"/>
        </w:numPr>
        <w:tabs>
          <w:tab w:pos="1506" w:val="left" w:leader="none"/>
        </w:tabs>
        <w:spacing w:line="240" w:lineRule="auto" w:before="82" w:after="0"/>
        <w:ind w:left="1506" w:right="0" w:hanging="121"/>
        <w:jc w:val="left"/>
        <w:rPr>
          <w:sz w:val="20"/>
        </w:rPr>
      </w:pPr>
      <w:r>
        <w:rPr>
          <w:sz w:val="20"/>
        </w:rPr>
        <w:t>Non</w:t>
      </w:r>
      <w:r>
        <w:rPr>
          <w:spacing w:val="-6"/>
          <w:sz w:val="20"/>
        </w:rPr>
        <w:t> </w:t>
      </w:r>
      <w:r>
        <w:rPr>
          <w:spacing w:val="-2"/>
          <w:sz w:val="20"/>
        </w:rPr>
        <w:t>contractual</w:t>
      </w:r>
    </w:p>
    <w:p>
      <w:pPr>
        <w:spacing w:before="68"/>
        <w:ind w:left="1385" w:right="0" w:firstLine="0"/>
        <w:jc w:val="left"/>
        <w:rPr>
          <w:b/>
          <w:sz w:val="20"/>
        </w:rPr>
      </w:pPr>
      <w:r>
        <w:rPr>
          <w:b/>
          <w:sz w:val="20"/>
        </w:rPr>
        <w:t>Total</w:t>
      </w:r>
      <w:r>
        <w:rPr>
          <w:b/>
          <w:spacing w:val="-9"/>
          <w:sz w:val="20"/>
        </w:rPr>
        <w:t> </w:t>
      </w:r>
      <w:r>
        <w:rPr>
          <w:b/>
          <w:sz w:val="20"/>
        </w:rPr>
        <w:t>staff</w:t>
      </w:r>
      <w:r>
        <w:rPr>
          <w:b/>
          <w:spacing w:val="-6"/>
          <w:sz w:val="20"/>
        </w:rPr>
        <w:t> </w:t>
      </w:r>
      <w:r>
        <w:rPr>
          <w:b/>
          <w:spacing w:val="-2"/>
          <w:sz w:val="20"/>
        </w:rPr>
        <w:t>costs</w:t>
      </w:r>
    </w:p>
    <w:p>
      <w:pPr>
        <w:spacing w:after="0"/>
        <w:jc w:val="left"/>
        <w:rPr>
          <w:b/>
          <w:sz w:val="20"/>
        </w:rPr>
        <w:sectPr>
          <w:pgSz w:w="11910" w:h="16850"/>
          <w:pgMar w:header="727" w:footer="702" w:top="1520" w:bottom="900" w:left="566" w:right="708"/>
        </w:sectPr>
      </w:pPr>
    </w:p>
    <w:p>
      <w:pPr>
        <w:pStyle w:val="BodyText"/>
        <w:rPr>
          <w:b/>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tabs>
          <w:tab w:pos="852" w:val="left" w:leader="none"/>
        </w:tabs>
        <w:ind w:right="703" w:hanging="428"/>
      </w:pPr>
      <w:r>
        <w:rPr>
          <w:spacing w:val="-6"/>
        </w:rPr>
        <w:t>7.</w:t>
      </w:r>
      <w:r>
        <w:rPr/>
        <w:tab/>
        <w:t>Staff</w:t>
      </w:r>
      <w:r>
        <w:rPr>
          <w:spacing w:val="80"/>
        </w:rPr>
        <w:t> </w:t>
      </w:r>
      <w:r>
        <w:rPr/>
        <w:t>costs</w:t>
      </w:r>
      <w:r>
        <w:rPr>
          <w:spacing w:val="80"/>
        </w:rPr>
        <w:t> </w:t>
      </w:r>
      <w:r>
        <w:rPr/>
        <w:t>and</w:t>
      </w:r>
      <w:r>
        <w:rPr>
          <w:spacing w:val="80"/>
        </w:rPr>
        <w:t> </w:t>
      </w:r>
      <w:r>
        <w:rPr/>
        <w:t>key</w:t>
      </w:r>
      <w:r>
        <w:rPr>
          <w:spacing w:val="79"/>
        </w:rPr>
        <w:t> </w:t>
      </w:r>
      <w:r>
        <w:rPr/>
        <w:t>management</w:t>
      </w:r>
      <w:r>
        <w:rPr>
          <w:spacing w:val="80"/>
        </w:rPr>
        <w:t> </w:t>
      </w:r>
      <w:r>
        <w:rPr/>
        <w:t>personnel</w:t>
      </w:r>
      <w:r>
        <w:rPr>
          <w:spacing w:val="80"/>
        </w:rPr>
        <w:t> </w:t>
      </w:r>
      <w:r>
        <w:rPr/>
        <w:t>remuneration</w:t>
      </w:r>
      <w:r>
        <w:rPr>
          <w:spacing w:val="80"/>
        </w:rPr>
        <w:t> </w:t>
      </w:r>
      <w:r>
        <w:rPr/>
        <w:t>–</w:t>
      </w:r>
      <w:r>
        <w:rPr>
          <w:spacing w:val="79"/>
        </w:rPr>
        <w:t> </w:t>
      </w:r>
      <w:r>
        <w:rPr/>
        <w:t>Group</w:t>
      </w:r>
      <w:r>
        <w:rPr>
          <w:spacing w:val="80"/>
        </w:rPr>
        <w:t> </w:t>
      </w:r>
      <w:r>
        <w:rPr/>
        <w:t>and</w:t>
      </w:r>
      <w:r>
        <w:rPr>
          <w:spacing w:val="80"/>
        </w:rPr>
        <w:t> </w:t>
      </w:r>
      <w:r>
        <w:rPr/>
        <w:t>College </w:t>
      </w:r>
      <w:r>
        <w:rPr>
          <w:spacing w:val="-2"/>
        </w:rPr>
        <w:t>(continued)</w:t>
      </w:r>
    </w:p>
    <w:p>
      <w:pPr>
        <w:pStyle w:val="Heading6"/>
        <w:spacing w:before="252"/>
      </w:pPr>
      <w:r>
        <w:rPr/>
        <w:t>Key</w:t>
      </w:r>
      <w:r>
        <w:rPr>
          <w:spacing w:val="-10"/>
        </w:rPr>
        <w:t> </w:t>
      </w:r>
      <w:r>
        <w:rPr/>
        <w:t>management</w:t>
      </w:r>
      <w:r>
        <w:rPr>
          <w:spacing w:val="-9"/>
        </w:rPr>
        <w:t> </w:t>
      </w:r>
      <w:r>
        <w:rPr/>
        <w:t>personnel</w:t>
      </w:r>
      <w:r>
        <w:rPr>
          <w:spacing w:val="-9"/>
        </w:rPr>
        <w:t> </w:t>
      </w:r>
      <w:r>
        <w:rPr>
          <w:spacing w:val="-2"/>
        </w:rPr>
        <w:t>compensation</w:t>
      </w:r>
    </w:p>
    <w:p>
      <w:pPr>
        <w:pStyle w:val="BodyText"/>
        <w:spacing w:before="1"/>
        <w:rPr>
          <w:b/>
        </w:rPr>
      </w:pPr>
    </w:p>
    <w:p>
      <w:pPr>
        <w:pStyle w:val="BodyText"/>
        <w:ind w:left="852" w:right="708"/>
        <w:jc w:val="both"/>
      </w:pPr>
      <w:r>
        <w:rPr/>
        <w:t>Key</w:t>
      </w:r>
      <w:r>
        <w:rPr>
          <w:spacing w:val="-14"/>
        </w:rPr>
        <w:t> </w:t>
      </w:r>
      <w:r>
        <w:rPr/>
        <w:t>management</w:t>
      </w:r>
      <w:r>
        <w:rPr>
          <w:spacing w:val="-14"/>
        </w:rPr>
        <w:t> </w:t>
      </w:r>
      <w:r>
        <w:rPr/>
        <w:t>personnel</w:t>
      </w:r>
      <w:r>
        <w:rPr>
          <w:spacing w:val="-14"/>
        </w:rPr>
        <w:t> </w:t>
      </w:r>
      <w:r>
        <w:rPr/>
        <w:t>are</w:t>
      </w:r>
      <w:r>
        <w:rPr>
          <w:spacing w:val="-14"/>
        </w:rPr>
        <w:t> </w:t>
      </w:r>
      <w:r>
        <w:rPr/>
        <w:t>those</w:t>
      </w:r>
      <w:r>
        <w:rPr>
          <w:spacing w:val="-14"/>
        </w:rPr>
        <w:t> </w:t>
      </w:r>
      <w:r>
        <w:rPr/>
        <w:t>persons</w:t>
      </w:r>
      <w:r>
        <w:rPr>
          <w:spacing w:val="-12"/>
        </w:rPr>
        <w:t> </w:t>
      </w:r>
      <w:r>
        <w:rPr/>
        <w:t>having</w:t>
      </w:r>
      <w:r>
        <w:rPr>
          <w:spacing w:val="-12"/>
        </w:rPr>
        <w:t> </w:t>
      </w:r>
      <w:r>
        <w:rPr/>
        <w:t>authority</w:t>
      </w:r>
      <w:r>
        <w:rPr>
          <w:spacing w:val="-13"/>
        </w:rPr>
        <w:t> </w:t>
      </w:r>
      <w:r>
        <w:rPr/>
        <w:t>and</w:t>
      </w:r>
      <w:r>
        <w:rPr>
          <w:spacing w:val="-14"/>
        </w:rPr>
        <w:t> </w:t>
      </w:r>
      <w:r>
        <w:rPr/>
        <w:t>responsibility</w:t>
      </w:r>
      <w:r>
        <w:rPr>
          <w:spacing w:val="-12"/>
        </w:rPr>
        <w:t> </w:t>
      </w:r>
      <w:r>
        <w:rPr/>
        <w:t>for</w:t>
      </w:r>
      <w:r>
        <w:rPr>
          <w:spacing w:val="-14"/>
        </w:rPr>
        <w:t> </w:t>
      </w:r>
      <w:r>
        <w:rPr/>
        <w:t>planning,</w:t>
      </w:r>
      <w:r>
        <w:rPr>
          <w:spacing w:val="-14"/>
        </w:rPr>
        <w:t> </w:t>
      </w:r>
      <w:r>
        <w:rPr/>
        <w:t>directing and</w:t>
      </w:r>
      <w:r>
        <w:rPr>
          <w:spacing w:val="-9"/>
        </w:rPr>
        <w:t> </w:t>
      </w:r>
      <w:r>
        <w:rPr/>
        <w:t>controlling</w:t>
      </w:r>
      <w:r>
        <w:rPr>
          <w:spacing w:val="-9"/>
        </w:rPr>
        <w:t> </w:t>
      </w:r>
      <w:r>
        <w:rPr/>
        <w:t>the</w:t>
      </w:r>
      <w:r>
        <w:rPr>
          <w:spacing w:val="-9"/>
        </w:rPr>
        <w:t> </w:t>
      </w:r>
      <w:r>
        <w:rPr/>
        <w:t>activities</w:t>
      </w:r>
      <w:r>
        <w:rPr>
          <w:spacing w:val="-7"/>
        </w:rPr>
        <w:t> </w:t>
      </w:r>
      <w:r>
        <w:rPr/>
        <w:t>of</w:t>
      </w:r>
      <w:r>
        <w:rPr>
          <w:spacing w:val="-9"/>
        </w:rPr>
        <w:t> </w:t>
      </w:r>
      <w:r>
        <w:rPr/>
        <w:t>the</w:t>
      </w:r>
      <w:r>
        <w:rPr>
          <w:spacing w:val="-9"/>
        </w:rPr>
        <w:t> </w:t>
      </w:r>
      <w:r>
        <w:rPr/>
        <w:t>College</w:t>
      </w:r>
      <w:r>
        <w:rPr>
          <w:spacing w:val="-9"/>
        </w:rPr>
        <w:t> </w:t>
      </w:r>
      <w:r>
        <w:rPr/>
        <w:t>and</w:t>
      </w:r>
      <w:r>
        <w:rPr>
          <w:spacing w:val="-9"/>
        </w:rPr>
        <w:t> </w:t>
      </w:r>
      <w:r>
        <w:rPr/>
        <w:t>are</w:t>
      </w:r>
      <w:r>
        <w:rPr>
          <w:spacing w:val="-9"/>
        </w:rPr>
        <w:t> </w:t>
      </w:r>
      <w:r>
        <w:rPr/>
        <w:t>represented</w:t>
      </w:r>
      <w:r>
        <w:rPr>
          <w:spacing w:val="-9"/>
        </w:rPr>
        <w:t> </w:t>
      </w:r>
      <w:r>
        <w:rPr/>
        <w:t>by</w:t>
      </w:r>
      <w:r>
        <w:rPr>
          <w:spacing w:val="-7"/>
        </w:rPr>
        <w:t> </w:t>
      </w:r>
      <w:r>
        <w:rPr/>
        <w:t>the</w:t>
      </w:r>
      <w:r>
        <w:rPr>
          <w:spacing w:val="-6"/>
        </w:rPr>
        <w:t> </w:t>
      </w:r>
      <w:r>
        <w:rPr/>
        <w:t>Senior</w:t>
      </w:r>
      <w:r>
        <w:rPr>
          <w:spacing w:val="-5"/>
        </w:rPr>
        <w:t> </w:t>
      </w:r>
      <w:r>
        <w:rPr/>
        <w:t>Leadership</w:t>
      </w:r>
      <w:r>
        <w:rPr>
          <w:spacing w:val="-9"/>
        </w:rPr>
        <w:t> </w:t>
      </w:r>
      <w:r>
        <w:rPr/>
        <w:t>Team.</w:t>
      </w:r>
      <w:r>
        <w:rPr>
          <w:spacing w:val="-9"/>
        </w:rPr>
        <w:t> </w:t>
      </w:r>
      <w:r>
        <w:rPr/>
        <w:t>During the</w:t>
      </w:r>
      <w:r>
        <w:rPr>
          <w:spacing w:val="-8"/>
        </w:rPr>
        <w:t> </w:t>
      </w:r>
      <w:r>
        <w:rPr/>
        <w:t>year</w:t>
      </w:r>
      <w:r>
        <w:rPr>
          <w:spacing w:val="-7"/>
        </w:rPr>
        <w:t> </w:t>
      </w:r>
      <w:r>
        <w:rPr/>
        <w:t>ended</w:t>
      </w:r>
      <w:r>
        <w:rPr>
          <w:spacing w:val="-6"/>
        </w:rPr>
        <w:t> </w:t>
      </w:r>
      <w:r>
        <w:rPr/>
        <w:t>31</w:t>
      </w:r>
      <w:r>
        <w:rPr>
          <w:spacing w:val="-6"/>
        </w:rPr>
        <w:t> </w:t>
      </w:r>
      <w:r>
        <w:rPr/>
        <w:t>July</w:t>
      </w:r>
      <w:r>
        <w:rPr>
          <w:spacing w:val="-5"/>
        </w:rPr>
        <w:t> </w:t>
      </w:r>
      <w:r>
        <w:rPr/>
        <w:t>2023</w:t>
      </w:r>
      <w:r>
        <w:rPr>
          <w:spacing w:val="-8"/>
        </w:rPr>
        <w:t> </w:t>
      </w:r>
      <w:r>
        <w:rPr/>
        <w:t>the</w:t>
      </w:r>
      <w:r>
        <w:rPr>
          <w:spacing w:val="-6"/>
        </w:rPr>
        <w:t> </w:t>
      </w:r>
      <w:r>
        <w:rPr/>
        <w:t>Senior</w:t>
      </w:r>
      <w:r>
        <w:rPr>
          <w:spacing w:val="-7"/>
        </w:rPr>
        <w:t> </w:t>
      </w:r>
      <w:r>
        <w:rPr/>
        <w:t>Leadership</w:t>
      </w:r>
      <w:r>
        <w:rPr>
          <w:spacing w:val="-6"/>
        </w:rPr>
        <w:t> </w:t>
      </w:r>
      <w:r>
        <w:rPr/>
        <w:t>Team</w:t>
      </w:r>
      <w:r>
        <w:rPr>
          <w:spacing w:val="-8"/>
        </w:rPr>
        <w:t> </w:t>
      </w:r>
      <w:r>
        <w:rPr/>
        <w:t>comprised</w:t>
      </w:r>
      <w:r>
        <w:rPr>
          <w:spacing w:val="-6"/>
        </w:rPr>
        <w:t> </w:t>
      </w:r>
      <w:r>
        <w:rPr/>
        <w:t>the</w:t>
      </w:r>
      <w:r>
        <w:rPr>
          <w:spacing w:val="-6"/>
        </w:rPr>
        <w:t> </w:t>
      </w:r>
      <w:r>
        <w:rPr/>
        <w:t>Chief</w:t>
      </w:r>
      <w:r>
        <w:rPr>
          <w:spacing w:val="-4"/>
        </w:rPr>
        <w:t> </w:t>
      </w:r>
      <w:r>
        <w:rPr/>
        <w:t>Executive,</w:t>
      </w:r>
      <w:r>
        <w:rPr>
          <w:spacing w:val="-6"/>
        </w:rPr>
        <w:t> </w:t>
      </w:r>
      <w:r>
        <w:rPr/>
        <w:t>Principal</w:t>
      </w:r>
      <w:r>
        <w:rPr>
          <w:spacing w:val="-6"/>
        </w:rPr>
        <w:t> </w:t>
      </w:r>
      <w:r>
        <w:rPr/>
        <w:t>and Accounting Officer, Vice Principal of Curriculum, Director of Governance, Vice Principal of Human Resources, Vice Principal Quality and Learner Experience, and Vice Principal Finance and Corporate </w:t>
      </w:r>
      <w:r>
        <w:rPr>
          <w:spacing w:val="-2"/>
        </w:rPr>
        <w:t>Resources.</w:t>
      </w:r>
    </w:p>
    <w:p>
      <w:pPr>
        <w:pStyle w:val="BodyText"/>
        <w:spacing w:before="1"/>
      </w:pPr>
    </w:p>
    <w:p>
      <w:pPr>
        <w:pStyle w:val="Heading6"/>
      </w:pPr>
      <w:r>
        <w:rPr/>
        <w:t>Emoluments</w:t>
      </w:r>
      <w:r>
        <w:rPr>
          <w:spacing w:val="-10"/>
        </w:rPr>
        <w:t> </w:t>
      </w:r>
      <w:r>
        <w:rPr/>
        <w:t>of</w:t>
      </w:r>
      <w:r>
        <w:rPr>
          <w:spacing w:val="-8"/>
        </w:rPr>
        <w:t> </w:t>
      </w:r>
      <w:r>
        <w:rPr/>
        <w:t>key</w:t>
      </w:r>
      <w:r>
        <w:rPr>
          <w:spacing w:val="-10"/>
        </w:rPr>
        <w:t> </w:t>
      </w:r>
      <w:r>
        <w:rPr/>
        <w:t>management</w:t>
      </w:r>
      <w:r>
        <w:rPr>
          <w:spacing w:val="-8"/>
        </w:rPr>
        <w:t> </w:t>
      </w:r>
      <w:r>
        <w:rPr/>
        <w:t>personnel</w:t>
      </w:r>
      <w:r>
        <w:rPr>
          <w:spacing w:val="-9"/>
        </w:rPr>
        <w:t> </w:t>
      </w:r>
      <w:r>
        <w:rPr/>
        <w:t>and</w:t>
      </w:r>
      <w:r>
        <w:rPr>
          <w:spacing w:val="-9"/>
        </w:rPr>
        <w:t> </w:t>
      </w:r>
      <w:r>
        <w:rPr/>
        <w:t>Accounting</w:t>
      </w:r>
      <w:r>
        <w:rPr>
          <w:spacing w:val="-8"/>
        </w:rPr>
        <w:t> </w:t>
      </w:r>
      <w:r>
        <w:rPr/>
        <w:t>Officer,</w:t>
      </w:r>
      <w:r>
        <w:rPr>
          <w:spacing w:val="-10"/>
        </w:rPr>
        <w:t> </w:t>
      </w:r>
      <w:r>
        <w:rPr/>
        <w:t>including</w:t>
      </w:r>
      <w:r>
        <w:rPr>
          <w:spacing w:val="-8"/>
        </w:rPr>
        <w:t> </w:t>
      </w:r>
      <w:r>
        <w:rPr>
          <w:spacing w:val="-2"/>
        </w:rPr>
        <w:t>interims</w:t>
      </w:r>
    </w:p>
    <w:p>
      <w:pPr>
        <w:pStyle w:val="BodyText"/>
        <w:spacing w:before="5"/>
        <w:rPr>
          <w:b/>
        </w:rPr>
      </w:pPr>
    </w:p>
    <w:tbl>
      <w:tblPr>
        <w:tblW w:w="0" w:type="auto"/>
        <w:jc w:val="left"/>
        <w:tblInd w:w="1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93"/>
        <w:gridCol w:w="1673"/>
        <w:gridCol w:w="1035"/>
      </w:tblGrid>
      <w:tr>
        <w:trPr>
          <w:trHeight w:val="538" w:hRule="atLeast"/>
        </w:trPr>
        <w:tc>
          <w:tcPr>
            <w:tcW w:w="5793" w:type="dxa"/>
          </w:tcPr>
          <w:p>
            <w:pPr>
              <w:pStyle w:val="TableParagraph"/>
              <w:rPr>
                <w:rFonts w:ascii="Times New Roman"/>
                <w:sz w:val="20"/>
              </w:rPr>
            </w:pPr>
          </w:p>
        </w:tc>
        <w:tc>
          <w:tcPr>
            <w:tcW w:w="1673" w:type="dxa"/>
          </w:tcPr>
          <w:p>
            <w:pPr>
              <w:pStyle w:val="TableParagraph"/>
              <w:spacing w:line="223" w:lineRule="exact"/>
              <w:ind w:left="741"/>
              <w:rPr>
                <w:b/>
                <w:sz w:val="20"/>
              </w:rPr>
            </w:pPr>
            <w:r>
              <w:rPr>
                <w:b/>
                <w:spacing w:val="-4"/>
                <w:sz w:val="20"/>
              </w:rPr>
              <w:t>2023</w:t>
            </w:r>
          </w:p>
          <w:p>
            <w:pPr>
              <w:pStyle w:val="TableParagraph"/>
              <w:spacing w:before="55"/>
              <w:ind w:left="864"/>
              <w:rPr>
                <w:b/>
                <w:sz w:val="20"/>
              </w:rPr>
            </w:pPr>
            <w:r>
              <w:rPr>
                <w:b/>
                <w:spacing w:val="-5"/>
                <w:sz w:val="20"/>
              </w:rPr>
              <w:t>No.</w:t>
            </w:r>
          </w:p>
        </w:tc>
        <w:tc>
          <w:tcPr>
            <w:tcW w:w="1035" w:type="dxa"/>
          </w:tcPr>
          <w:p>
            <w:pPr>
              <w:pStyle w:val="TableParagraph"/>
              <w:spacing w:line="223" w:lineRule="exact"/>
              <w:ind w:left="487"/>
              <w:rPr>
                <w:b/>
                <w:sz w:val="20"/>
              </w:rPr>
            </w:pPr>
            <w:r>
              <w:rPr>
                <w:b/>
                <w:spacing w:val="-4"/>
                <w:sz w:val="20"/>
              </w:rPr>
              <w:t>2022</w:t>
            </w:r>
          </w:p>
          <w:p>
            <w:pPr>
              <w:pStyle w:val="TableParagraph"/>
              <w:spacing w:before="55"/>
              <w:ind w:left="609"/>
              <w:rPr>
                <w:b/>
                <w:sz w:val="20"/>
              </w:rPr>
            </w:pPr>
            <w:r>
              <w:rPr>
                <w:b/>
                <w:spacing w:val="-5"/>
                <w:sz w:val="20"/>
              </w:rPr>
              <w:t>No.</w:t>
            </w:r>
          </w:p>
        </w:tc>
      </w:tr>
      <w:tr>
        <w:trPr>
          <w:trHeight w:val="541" w:hRule="atLeast"/>
        </w:trPr>
        <w:tc>
          <w:tcPr>
            <w:tcW w:w="5793" w:type="dxa"/>
          </w:tcPr>
          <w:p>
            <w:pPr>
              <w:pStyle w:val="TableParagraph"/>
              <w:spacing w:before="23"/>
              <w:ind w:left="50" w:right="739"/>
              <w:rPr>
                <w:sz w:val="20"/>
              </w:rPr>
            </w:pPr>
            <w:r>
              <w:rPr>
                <w:sz w:val="20"/>
              </w:rPr>
              <w:t>The</w:t>
            </w:r>
            <w:r>
              <w:rPr>
                <w:spacing w:val="-7"/>
                <w:sz w:val="20"/>
              </w:rPr>
              <w:t> </w:t>
            </w:r>
            <w:r>
              <w:rPr>
                <w:sz w:val="20"/>
              </w:rPr>
              <w:t>number</w:t>
            </w:r>
            <w:r>
              <w:rPr>
                <w:spacing w:val="-6"/>
                <w:sz w:val="20"/>
              </w:rPr>
              <w:t> </w:t>
            </w:r>
            <w:r>
              <w:rPr>
                <w:sz w:val="20"/>
              </w:rPr>
              <w:t>of</w:t>
            </w:r>
            <w:r>
              <w:rPr>
                <w:spacing w:val="-7"/>
                <w:sz w:val="20"/>
              </w:rPr>
              <w:t> </w:t>
            </w:r>
            <w:r>
              <w:rPr>
                <w:sz w:val="20"/>
              </w:rPr>
              <w:t>key</w:t>
            </w:r>
            <w:r>
              <w:rPr>
                <w:spacing w:val="-6"/>
                <w:sz w:val="20"/>
              </w:rPr>
              <w:t> </w:t>
            </w:r>
            <w:r>
              <w:rPr>
                <w:sz w:val="20"/>
              </w:rPr>
              <w:t>management</w:t>
            </w:r>
            <w:r>
              <w:rPr>
                <w:spacing w:val="-5"/>
                <w:sz w:val="20"/>
              </w:rPr>
              <w:t> </w:t>
            </w:r>
            <w:r>
              <w:rPr>
                <w:sz w:val="20"/>
              </w:rPr>
              <w:t>personnel</w:t>
            </w:r>
            <w:r>
              <w:rPr>
                <w:spacing w:val="-6"/>
                <w:sz w:val="20"/>
              </w:rPr>
              <w:t> </w:t>
            </w:r>
            <w:r>
              <w:rPr>
                <w:sz w:val="20"/>
              </w:rPr>
              <w:t>including</w:t>
            </w:r>
            <w:r>
              <w:rPr>
                <w:spacing w:val="-7"/>
                <w:sz w:val="20"/>
              </w:rPr>
              <w:t> </w:t>
            </w:r>
            <w:r>
              <w:rPr>
                <w:sz w:val="20"/>
              </w:rPr>
              <w:t>the Accounting Officer was:</w:t>
            </w:r>
          </w:p>
        </w:tc>
        <w:tc>
          <w:tcPr>
            <w:tcW w:w="1673" w:type="dxa"/>
          </w:tcPr>
          <w:p>
            <w:pPr>
              <w:pStyle w:val="TableParagraph"/>
              <w:spacing w:before="23"/>
              <w:rPr>
                <w:b/>
                <w:sz w:val="20"/>
              </w:rPr>
            </w:pPr>
          </w:p>
          <w:p>
            <w:pPr>
              <w:pStyle w:val="TableParagraph"/>
              <w:ind w:left="1075"/>
              <w:rPr>
                <w:sz w:val="20"/>
              </w:rPr>
            </w:pPr>
            <w:r>
              <w:rPr>
                <w:sz w:val="20"/>
              </w:rPr>
              <mc:AlternateContent>
                <mc:Choice Requires="wps">
                  <w:drawing>
                    <wp:anchor distT="0" distB="0" distL="0" distR="0" allowOverlap="1" layoutInCell="1" locked="0" behindDoc="0" simplePos="0" relativeHeight="15740416">
                      <wp:simplePos x="0" y="0"/>
                      <wp:positionH relativeFrom="column">
                        <wp:posOffset>182986</wp:posOffset>
                      </wp:positionH>
                      <wp:positionV relativeFrom="paragraph">
                        <wp:posOffset>164831</wp:posOffset>
                      </wp:positionV>
                      <wp:extent cx="638810" cy="1841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638810" cy="18415"/>
                                <a:chExt cx="638810" cy="18415"/>
                              </a:xfrm>
                            </wpg:grpSpPr>
                            <wps:wsp>
                              <wps:cNvPr id="90" name="Graphic 90"/>
                              <wps:cNvSpPr/>
                              <wps:spPr>
                                <a:xfrm>
                                  <a:off x="0" y="12"/>
                                  <a:ext cx="638810" cy="18415"/>
                                </a:xfrm>
                                <a:custGeom>
                                  <a:avLst/>
                                  <a:gdLst/>
                                  <a:ahLst/>
                                  <a:cxnLst/>
                                  <a:rect l="l" t="t" r="r" b="b"/>
                                  <a:pathLst>
                                    <a:path w="638810" h="18415">
                                      <a:moveTo>
                                        <a:pt x="638543" y="12192"/>
                                      </a:moveTo>
                                      <a:lnTo>
                                        <a:pt x="0" y="12192"/>
                                      </a:lnTo>
                                      <a:lnTo>
                                        <a:pt x="0" y="18288"/>
                                      </a:lnTo>
                                      <a:lnTo>
                                        <a:pt x="638543" y="18288"/>
                                      </a:lnTo>
                                      <a:lnTo>
                                        <a:pt x="638543" y="12192"/>
                                      </a:lnTo>
                                      <a:close/>
                                    </a:path>
                                    <a:path w="638810" h="18415">
                                      <a:moveTo>
                                        <a:pt x="638543" y="0"/>
                                      </a:moveTo>
                                      <a:lnTo>
                                        <a:pt x="0" y="0"/>
                                      </a:lnTo>
                                      <a:lnTo>
                                        <a:pt x="0" y="6096"/>
                                      </a:lnTo>
                                      <a:lnTo>
                                        <a:pt x="638543" y="6096"/>
                                      </a:lnTo>
                                      <a:lnTo>
                                        <a:pt x="6385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4.40837pt;margin-top:12.978868pt;width:50.3pt;height:1.45pt;mso-position-horizontal-relative:column;mso-position-vertical-relative:paragraph;z-index:15740416" id="docshapegroup79" coordorigin="288,260" coordsize="1006,29">
                      <v:shape style="position:absolute;left:288;top:259;width:1006;height:29" id="docshape80" coordorigin="288,260" coordsize="1006,29" path="m1294,279l288,279,288,288,1294,288,1294,279xm1294,260l288,260,288,269,1294,269,1294,260xe" filled="true" fillcolor="#000000" stroked="false">
                        <v:path arrowok="t"/>
                        <v:fill type="solid"/>
                      </v:shape>
                      <w10:wrap type="none"/>
                    </v:group>
                  </w:pict>
                </mc:Fallback>
              </mc:AlternateContent>
            </w:r>
            <w:r>
              <w:rPr>
                <w:spacing w:val="-10"/>
                <w:sz w:val="20"/>
              </w:rPr>
              <w:t>6</w:t>
            </w:r>
          </w:p>
        </w:tc>
        <w:tc>
          <w:tcPr>
            <w:tcW w:w="1035" w:type="dxa"/>
          </w:tcPr>
          <w:p>
            <w:pPr>
              <w:pStyle w:val="TableParagraph"/>
              <w:spacing w:before="23"/>
              <w:rPr>
                <w:b/>
                <w:sz w:val="20"/>
              </w:rPr>
            </w:pPr>
          </w:p>
          <w:p>
            <w:pPr>
              <w:pStyle w:val="TableParagraph"/>
              <w:ind w:right="103"/>
              <w:jc w:val="right"/>
              <w:rPr>
                <w:sz w:val="20"/>
              </w:rPr>
            </w:pPr>
            <w:r>
              <w:rPr>
                <w:sz w:val="20"/>
              </w:rPr>
              <mc:AlternateContent>
                <mc:Choice Requires="wps">
                  <w:drawing>
                    <wp:anchor distT="0" distB="0" distL="0" distR="0" allowOverlap="1" layoutInCell="1" locked="0" behindDoc="0" simplePos="0" relativeHeight="15740928">
                      <wp:simplePos x="0" y="0"/>
                      <wp:positionH relativeFrom="column">
                        <wp:posOffset>21213</wp:posOffset>
                      </wp:positionH>
                      <wp:positionV relativeFrom="paragraph">
                        <wp:posOffset>164831</wp:posOffset>
                      </wp:positionV>
                      <wp:extent cx="638810" cy="1841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638810" cy="18415"/>
                                <a:chExt cx="638810" cy="18415"/>
                              </a:xfrm>
                            </wpg:grpSpPr>
                            <wps:wsp>
                              <wps:cNvPr id="92" name="Graphic 92"/>
                              <wps:cNvSpPr/>
                              <wps:spPr>
                                <a:xfrm>
                                  <a:off x="0" y="12"/>
                                  <a:ext cx="638810" cy="18415"/>
                                </a:xfrm>
                                <a:custGeom>
                                  <a:avLst/>
                                  <a:gdLst/>
                                  <a:ahLst/>
                                  <a:cxnLst/>
                                  <a:rect l="l" t="t" r="r" b="b"/>
                                  <a:pathLst>
                                    <a:path w="638810" h="18415">
                                      <a:moveTo>
                                        <a:pt x="638543" y="12192"/>
                                      </a:moveTo>
                                      <a:lnTo>
                                        <a:pt x="0" y="12192"/>
                                      </a:lnTo>
                                      <a:lnTo>
                                        <a:pt x="0" y="18288"/>
                                      </a:lnTo>
                                      <a:lnTo>
                                        <a:pt x="638543" y="18288"/>
                                      </a:lnTo>
                                      <a:lnTo>
                                        <a:pt x="638543" y="12192"/>
                                      </a:lnTo>
                                      <a:close/>
                                    </a:path>
                                    <a:path w="638810" h="18415">
                                      <a:moveTo>
                                        <a:pt x="638543" y="0"/>
                                      </a:moveTo>
                                      <a:lnTo>
                                        <a:pt x="0" y="0"/>
                                      </a:lnTo>
                                      <a:lnTo>
                                        <a:pt x="0" y="6096"/>
                                      </a:lnTo>
                                      <a:lnTo>
                                        <a:pt x="638543" y="6096"/>
                                      </a:lnTo>
                                      <a:lnTo>
                                        <a:pt x="6385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670361pt;margin-top:12.978868pt;width:50.3pt;height:1.45pt;mso-position-horizontal-relative:column;mso-position-vertical-relative:paragraph;z-index:15740928" id="docshapegroup81" coordorigin="33,260" coordsize="1006,29">
                      <v:shape style="position:absolute;left:33;top:259;width:1006;height:29" id="docshape82" coordorigin="33,260" coordsize="1006,29" path="m1039,279l33,279,33,288,1039,288,1039,279xm1039,260l33,260,33,269,1039,269,1039,260xe" filled="true" fillcolor="#000000" stroked="false">
                        <v:path arrowok="t"/>
                        <v:fill type="solid"/>
                      </v:shape>
                      <w10:wrap type="none"/>
                    </v:group>
                  </w:pict>
                </mc:Fallback>
              </mc:AlternateContent>
            </w:r>
            <w:r>
              <w:rPr>
                <w:spacing w:val="-5"/>
                <w:sz w:val="20"/>
              </w:rPr>
              <w:t>10</w:t>
            </w:r>
          </w:p>
        </w:tc>
      </w:tr>
    </w:tbl>
    <w:p>
      <w:pPr>
        <w:pStyle w:val="BodyText"/>
        <w:spacing w:before="137"/>
        <w:ind w:left="852" w:right="752"/>
      </w:pPr>
      <w:r>
        <w:rPr/>
        <w:t>The</w:t>
      </w:r>
      <w:r>
        <w:rPr>
          <w:spacing w:val="-4"/>
        </w:rPr>
        <w:t> </w:t>
      </w:r>
      <w:r>
        <w:rPr/>
        <w:t>number</w:t>
      </w:r>
      <w:r>
        <w:rPr>
          <w:spacing w:val="-3"/>
        </w:rPr>
        <w:t> </w:t>
      </w:r>
      <w:r>
        <w:rPr/>
        <w:t>of</w:t>
      </w:r>
      <w:r>
        <w:rPr>
          <w:spacing w:val="-4"/>
        </w:rPr>
        <w:t> </w:t>
      </w:r>
      <w:r>
        <w:rPr/>
        <w:t>staff</w:t>
      </w:r>
      <w:r>
        <w:rPr>
          <w:spacing w:val="-4"/>
        </w:rPr>
        <w:t> </w:t>
      </w:r>
      <w:r>
        <w:rPr/>
        <w:t>who</w:t>
      </w:r>
      <w:r>
        <w:rPr>
          <w:spacing w:val="-4"/>
        </w:rPr>
        <w:t> </w:t>
      </w:r>
      <w:r>
        <w:rPr/>
        <w:t>received</w:t>
      </w:r>
      <w:r>
        <w:rPr>
          <w:spacing w:val="-4"/>
        </w:rPr>
        <w:t> </w:t>
      </w:r>
      <w:r>
        <w:rPr/>
        <w:t>annual</w:t>
      </w:r>
      <w:r>
        <w:rPr>
          <w:spacing w:val="-3"/>
        </w:rPr>
        <w:t> </w:t>
      </w:r>
      <w:r>
        <w:rPr/>
        <w:t>emoluments,</w:t>
      </w:r>
      <w:r>
        <w:rPr>
          <w:spacing w:val="-2"/>
        </w:rPr>
        <w:t> </w:t>
      </w:r>
      <w:r>
        <w:rPr/>
        <w:t>excluding</w:t>
      </w:r>
      <w:r>
        <w:rPr>
          <w:spacing w:val="-2"/>
        </w:rPr>
        <w:t> </w:t>
      </w:r>
      <w:r>
        <w:rPr/>
        <w:t>pension</w:t>
      </w:r>
      <w:r>
        <w:rPr>
          <w:spacing w:val="-2"/>
        </w:rPr>
        <w:t> </w:t>
      </w:r>
      <w:r>
        <w:rPr/>
        <w:t>costs</w:t>
      </w:r>
      <w:r>
        <w:rPr>
          <w:spacing w:val="-3"/>
        </w:rPr>
        <w:t> </w:t>
      </w:r>
      <w:r>
        <w:rPr/>
        <w:t>but</w:t>
      </w:r>
      <w:r>
        <w:rPr>
          <w:spacing w:val="-4"/>
        </w:rPr>
        <w:t> </w:t>
      </w:r>
      <w:r>
        <w:rPr/>
        <w:t>including</w:t>
      </w:r>
      <w:r>
        <w:rPr>
          <w:spacing w:val="-4"/>
        </w:rPr>
        <w:t> </w:t>
      </w:r>
      <w:r>
        <w:rPr/>
        <w:t>benefits in kind, in the following ranges was:</w:t>
      </w:r>
    </w:p>
    <w:p>
      <w:pPr>
        <w:pStyle w:val="BodyText"/>
      </w:pPr>
    </w:p>
    <w:p>
      <w:pPr>
        <w:pStyle w:val="BodyText"/>
        <w:spacing w:before="110"/>
      </w:pPr>
    </w:p>
    <w:tbl>
      <w:tblPr>
        <w:tblW w:w="0" w:type="auto"/>
        <w:jc w:val="left"/>
        <w:tblInd w:w="1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22"/>
        <w:gridCol w:w="1001"/>
        <w:gridCol w:w="418"/>
        <w:gridCol w:w="999"/>
      </w:tblGrid>
      <w:tr>
        <w:trPr>
          <w:trHeight w:val="536" w:hRule="atLeast"/>
        </w:trPr>
        <w:tc>
          <w:tcPr>
            <w:tcW w:w="6122" w:type="dxa"/>
          </w:tcPr>
          <w:p>
            <w:pPr>
              <w:pStyle w:val="TableParagraph"/>
              <w:rPr>
                <w:rFonts w:ascii="Times New Roman"/>
                <w:sz w:val="20"/>
              </w:rPr>
            </w:pPr>
          </w:p>
        </w:tc>
        <w:tc>
          <w:tcPr>
            <w:tcW w:w="1001" w:type="dxa"/>
          </w:tcPr>
          <w:p>
            <w:pPr>
              <w:pStyle w:val="TableParagraph"/>
              <w:spacing w:line="223" w:lineRule="exact"/>
              <w:ind w:left="446"/>
              <w:rPr>
                <w:b/>
                <w:sz w:val="20"/>
              </w:rPr>
            </w:pPr>
            <w:r>
              <w:rPr>
                <w:b/>
                <w:spacing w:val="-4"/>
                <w:sz w:val="20"/>
              </w:rPr>
              <w:t>2023</w:t>
            </w:r>
          </w:p>
          <w:p>
            <w:pPr>
              <w:pStyle w:val="TableParagraph"/>
              <w:spacing w:before="53"/>
              <w:ind w:left="568"/>
              <w:rPr>
                <w:b/>
                <w:sz w:val="20"/>
              </w:rPr>
            </w:pPr>
            <w:r>
              <w:rPr>
                <w:b/>
                <w:spacing w:val="-5"/>
                <w:sz w:val="20"/>
              </w:rPr>
              <w:t>No.</w:t>
            </w:r>
          </w:p>
        </w:tc>
        <w:tc>
          <w:tcPr>
            <w:tcW w:w="418" w:type="dxa"/>
          </w:tcPr>
          <w:p>
            <w:pPr>
              <w:pStyle w:val="TableParagraph"/>
              <w:rPr>
                <w:rFonts w:ascii="Times New Roman"/>
                <w:sz w:val="20"/>
              </w:rPr>
            </w:pPr>
          </w:p>
        </w:tc>
        <w:tc>
          <w:tcPr>
            <w:tcW w:w="999" w:type="dxa"/>
          </w:tcPr>
          <w:p>
            <w:pPr>
              <w:pStyle w:val="TableParagraph"/>
              <w:spacing w:line="223" w:lineRule="exact"/>
              <w:ind w:left="443"/>
              <w:rPr>
                <w:b/>
                <w:sz w:val="20"/>
              </w:rPr>
            </w:pPr>
            <w:r>
              <w:rPr>
                <w:b/>
                <w:spacing w:val="-4"/>
                <w:sz w:val="20"/>
              </w:rPr>
              <w:t>2022</w:t>
            </w:r>
          </w:p>
          <w:p>
            <w:pPr>
              <w:pStyle w:val="TableParagraph"/>
              <w:spacing w:before="53"/>
              <w:ind w:left="565"/>
              <w:rPr>
                <w:b/>
                <w:sz w:val="20"/>
              </w:rPr>
            </w:pPr>
            <w:r>
              <w:rPr>
                <w:b/>
                <w:spacing w:val="-5"/>
                <w:sz w:val="20"/>
              </w:rPr>
              <w:t>No.</w:t>
            </w:r>
          </w:p>
        </w:tc>
      </w:tr>
      <w:tr>
        <w:trPr>
          <w:trHeight w:val="284" w:hRule="atLeast"/>
        </w:trPr>
        <w:tc>
          <w:tcPr>
            <w:tcW w:w="6122" w:type="dxa"/>
          </w:tcPr>
          <w:p>
            <w:pPr>
              <w:pStyle w:val="TableParagraph"/>
              <w:spacing w:before="23"/>
              <w:ind w:left="50"/>
              <w:rPr>
                <w:sz w:val="20"/>
              </w:rPr>
            </w:pPr>
            <w:r>
              <w:rPr>
                <w:sz w:val="20"/>
              </w:rPr>
              <w:t>£60,001</w:t>
            </w:r>
            <w:r>
              <w:rPr>
                <w:spacing w:val="-6"/>
                <w:sz w:val="20"/>
              </w:rPr>
              <w:t> </w:t>
            </w:r>
            <w:r>
              <w:rPr>
                <w:sz w:val="20"/>
              </w:rPr>
              <w:t>to</w:t>
            </w:r>
            <w:r>
              <w:rPr>
                <w:spacing w:val="-7"/>
                <w:sz w:val="20"/>
              </w:rPr>
              <w:t> </w:t>
            </w:r>
            <w:r>
              <w:rPr>
                <w:spacing w:val="-2"/>
                <w:sz w:val="20"/>
              </w:rPr>
              <w:t>£65,000</w:t>
            </w:r>
          </w:p>
        </w:tc>
        <w:tc>
          <w:tcPr>
            <w:tcW w:w="1001" w:type="dxa"/>
          </w:tcPr>
          <w:p>
            <w:pPr>
              <w:pStyle w:val="TableParagraph"/>
              <w:spacing w:before="23"/>
              <w:ind w:right="108"/>
              <w:jc w:val="right"/>
              <w:rPr>
                <w:sz w:val="20"/>
              </w:rPr>
            </w:pPr>
            <w:r>
              <w:rPr>
                <w:spacing w:val="-10"/>
                <w:sz w:val="20"/>
              </w:rPr>
              <w:t>1</w:t>
            </w:r>
          </w:p>
        </w:tc>
        <w:tc>
          <w:tcPr>
            <w:tcW w:w="418" w:type="dxa"/>
          </w:tcPr>
          <w:p>
            <w:pPr>
              <w:pStyle w:val="TableParagraph"/>
              <w:rPr>
                <w:rFonts w:ascii="Times New Roman"/>
                <w:sz w:val="20"/>
              </w:rPr>
            </w:pPr>
          </w:p>
        </w:tc>
        <w:tc>
          <w:tcPr>
            <w:tcW w:w="999" w:type="dxa"/>
          </w:tcPr>
          <w:p>
            <w:pPr>
              <w:pStyle w:val="TableParagraph"/>
              <w:spacing w:before="23"/>
              <w:ind w:right="109"/>
              <w:jc w:val="right"/>
              <w:rPr>
                <w:sz w:val="20"/>
              </w:rPr>
            </w:pPr>
            <w:r>
              <w:rPr>
                <w:spacing w:val="-10"/>
                <w:sz w:val="20"/>
              </w:rPr>
              <w:t>2</w:t>
            </w:r>
          </w:p>
        </w:tc>
      </w:tr>
      <w:tr>
        <w:trPr>
          <w:trHeight w:val="284" w:hRule="atLeast"/>
        </w:trPr>
        <w:tc>
          <w:tcPr>
            <w:tcW w:w="6122" w:type="dxa"/>
          </w:tcPr>
          <w:p>
            <w:pPr>
              <w:pStyle w:val="TableParagraph"/>
              <w:spacing w:before="24"/>
              <w:ind w:left="50"/>
              <w:rPr>
                <w:sz w:val="20"/>
              </w:rPr>
            </w:pPr>
            <w:r>
              <w:rPr>
                <w:sz w:val="20"/>
              </w:rPr>
              <w:t>£65,001</w:t>
            </w:r>
            <w:r>
              <w:rPr>
                <w:spacing w:val="-6"/>
                <w:sz w:val="20"/>
              </w:rPr>
              <w:t> </w:t>
            </w:r>
            <w:r>
              <w:rPr>
                <w:sz w:val="20"/>
              </w:rPr>
              <w:t>to</w:t>
            </w:r>
            <w:r>
              <w:rPr>
                <w:spacing w:val="-7"/>
                <w:sz w:val="20"/>
              </w:rPr>
              <w:t> </w:t>
            </w:r>
            <w:r>
              <w:rPr>
                <w:spacing w:val="-2"/>
                <w:sz w:val="20"/>
              </w:rPr>
              <w:t>£70,000</w:t>
            </w:r>
          </w:p>
        </w:tc>
        <w:tc>
          <w:tcPr>
            <w:tcW w:w="1001" w:type="dxa"/>
          </w:tcPr>
          <w:p>
            <w:pPr>
              <w:pStyle w:val="TableParagraph"/>
              <w:spacing w:before="24"/>
              <w:ind w:right="108"/>
              <w:jc w:val="right"/>
              <w:rPr>
                <w:sz w:val="20"/>
              </w:rPr>
            </w:pPr>
            <w:r>
              <w:rPr>
                <w:spacing w:val="-10"/>
                <w:sz w:val="20"/>
              </w:rPr>
              <w:t>1</w:t>
            </w:r>
          </w:p>
        </w:tc>
        <w:tc>
          <w:tcPr>
            <w:tcW w:w="418" w:type="dxa"/>
          </w:tcPr>
          <w:p>
            <w:pPr>
              <w:pStyle w:val="TableParagraph"/>
              <w:rPr>
                <w:rFonts w:ascii="Times New Roman"/>
                <w:sz w:val="20"/>
              </w:rPr>
            </w:pPr>
          </w:p>
        </w:tc>
        <w:tc>
          <w:tcPr>
            <w:tcW w:w="999" w:type="dxa"/>
          </w:tcPr>
          <w:p>
            <w:pPr>
              <w:pStyle w:val="TableParagraph"/>
              <w:spacing w:before="24"/>
              <w:ind w:right="110"/>
              <w:jc w:val="right"/>
              <w:rPr>
                <w:sz w:val="20"/>
              </w:rPr>
            </w:pPr>
            <w:r>
              <w:rPr>
                <w:spacing w:val="-10"/>
                <w:sz w:val="20"/>
              </w:rPr>
              <w:t>-</w:t>
            </w:r>
          </w:p>
        </w:tc>
      </w:tr>
      <w:tr>
        <w:trPr>
          <w:trHeight w:val="283" w:hRule="atLeast"/>
        </w:trPr>
        <w:tc>
          <w:tcPr>
            <w:tcW w:w="6122" w:type="dxa"/>
          </w:tcPr>
          <w:p>
            <w:pPr>
              <w:pStyle w:val="TableParagraph"/>
              <w:spacing w:before="23"/>
              <w:ind w:left="50"/>
              <w:rPr>
                <w:sz w:val="20"/>
              </w:rPr>
            </w:pPr>
            <w:r>
              <w:rPr>
                <w:sz w:val="20"/>
              </w:rPr>
              <w:t>£70,001</w:t>
            </w:r>
            <w:r>
              <w:rPr>
                <w:spacing w:val="-6"/>
                <w:sz w:val="20"/>
              </w:rPr>
              <w:t> </w:t>
            </w:r>
            <w:r>
              <w:rPr>
                <w:sz w:val="20"/>
              </w:rPr>
              <w:t>to</w:t>
            </w:r>
            <w:r>
              <w:rPr>
                <w:spacing w:val="-7"/>
                <w:sz w:val="20"/>
              </w:rPr>
              <w:t> </w:t>
            </w:r>
            <w:r>
              <w:rPr>
                <w:spacing w:val="-2"/>
                <w:sz w:val="20"/>
              </w:rPr>
              <w:t>£75,000</w:t>
            </w:r>
          </w:p>
        </w:tc>
        <w:tc>
          <w:tcPr>
            <w:tcW w:w="1001" w:type="dxa"/>
          </w:tcPr>
          <w:p>
            <w:pPr>
              <w:pStyle w:val="TableParagraph"/>
              <w:spacing w:before="23"/>
              <w:ind w:right="108"/>
              <w:jc w:val="right"/>
              <w:rPr>
                <w:sz w:val="20"/>
              </w:rPr>
            </w:pPr>
            <w:r>
              <w:rPr>
                <w:spacing w:val="-10"/>
                <w:sz w:val="20"/>
              </w:rPr>
              <w:t>4</w:t>
            </w:r>
          </w:p>
        </w:tc>
        <w:tc>
          <w:tcPr>
            <w:tcW w:w="418" w:type="dxa"/>
          </w:tcPr>
          <w:p>
            <w:pPr>
              <w:pStyle w:val="TableParagraph"/>
              <w:rPr>
                <w:rFonts w:ascii="Times New Roman"/>
                <w:sz w:val="20"/>
              </w:rPr>
            </w:pPr>
          </w:p>
        </w:tc>
        <w:tc>
          <w:tcPr>
            <w:tcW w:w="999" w:type="dxa"/>
          </w:tcPr>
          <w:p>
            <w:pPr>
              <w:pStyle w:val="TableParagraph"/>
              <w:spacing w:before="23"/>
              <w:ind w:right="109"/>
              <w:jc w:val="right"/>
              <w:rPr>
                <w:sz w:val="20"/>
              </w:rPr>
            </w:pPr>
            <w:r>
              <w:rPr>
                <w:spacing w:val="-10"/>
                <w:sz w:val="20"/>
              </w:rPr>
              <w:t>2</w:t>
            </w:r>
          </w:p>
        </w:tc>
      </w:tr>
      <w:tr>
        <w:trPr>
          <w:trHeight w:val="284" w:hRule="atLeast"/>
        </w:trPr>
        <w:tc>
          <w:tcPr>
            <w:tcW w:w="6122" w:type="dxa"/>
          </w:tcPr>
          <w:p>
            <w:pPr>
              <w:pStyle w:val="TableParagraph"/>
              <w:spacing w:before="23"/>
              <w:ind w:left="50"/>
              <w:rPr>
                <w:sz w:val="20"/>
              </w:rPr>
            </w:pPr>
            <w:r>
              <w:rPr>
                <w:sz w:val="20"/>
              </w:rPr>
              <w:t>£75,001</w:t>
            </w:r>
            <w:r>
              <w:rPr>
                <w:spacing w:val="-6"/>
                <w:sz w:val="20"/>
              </w:rPr>
              <w:t> </w:t>
            </w:r>
            <w:r>
              <w:rPr>
                <w:sz w:val="20"/>
              </w:rPr>
              <w:t>to</w:t>
            </w:r>
            <w:r>
              <w:rPr>
                <w:spacing w:val="-7"/>
                <w:sz w:val="20"/>
              </w:rPr>
              <w:t> </w:t>
            </w:r>
            <w:r>
              <w:rPr>
                <w:spacing w:val="-2"/>
                <w:sz w:val="20"/>
              </w:rPr>
              <w:t>£80,000</w:t>
            </w:r>
          </w:p>
        </w:tc>
        <w:tc>
          <w:tcPr>
            <w:tcW w:w="1001" w:type="dxa"/>
          </w:tcPr>
          <w:p>
            <w:pPr>
              <w:pStyle w:val="TableParagraph"/>
              <w:spacing w:before="23"/>
              <w:ind w:right="108"/>
              <w:jc w:val="right"/>
              <w:rPr>
                <w:sz w:val="20"/>
              </w:rPr>
            </w:pPr>
            <w:r>
              <w:rPr>
                <w:spacing w:val="-10"/>
                <w:sz w:val="20"/>
              </w:rPr>
              <w:t>1</w:t>
            </w:r>
          </w:p>
        </w:tc>
        <w:tc>
          <w:tcPr>
            <w:tcW w:w="418" w:type="dxa"/>
          </w:tcPr>
          <w:p>
            <w:pPr>
              <w:pStyle w:val="TableParagraph"/>
              <w:rPr>
                <w:rFonts w:ascii="Times New Roman"/>
                <w:sz w:val="20"/>
              </w:rPr>
            </w:pPr>
          </w:p>
        </w:tc>
        <w:tc>
          <w:tcPr>
            <w:tcW w:w="999" w:type="dxa"/>
          </w:tcPr>
          <w:p>
            <w:pPr>
              <w:pStyle w:val="TableParagraph"/>
              <w:spacing w:before="23"/>
              <w:ind w:right="110"/>
              <w:jc w:val="right"/>
              <w:rPr>
                <w:sz w:val="20"/>
              </w:rPr>
            </w:pPr>
            <w:r>
              <w:rPr>
                <w:spacing w:val="-10"/>
                <w:sz w:val="20"/>
              </w:rPr>
              <w:t>-</w:t>
            </w:r>
          </w:p>
        </w:tc>
      </w:tr>
      <w:tr>
        <w:trPr>
          <w:trHeight w:val="284" w:hRule="atLeast"/>
        </w:trPr>
        <w:tc>
          <w:tcPr>
            <w:tcW w:w="6122" w:type="dxa"/>
          </w:tcPr>
          <w:p>
            <w:pPr>
              <w:pStyle w:val="TableParagraph"/>
              <w:spacing w:before="24"/>
              <w:ind w:left="50"/>
              <w:rPr>
                <w:sz w:val="20"/>
              </w:rPr>
            </w:pPr>
            <w:r>
              <w:rPr>
                <w:sz w:val="20"/>
              </w:rPr>
              <w:t>£80,001</w:t>
            </w:r>
            <w:r>
              <w:rPr>
                <w:spacing w:val="-6"/>
                <w:sz w:val="20"/>
              </w:rPr>
              <w:t> </w:t>
            </w:r>
            <w:r>
              <w:rPr>
                <w:sz w:val="20"/>
              </w:rPr>
              <w:t>to</w:t>
            </w:r>
            <w:r>
              <w:rPr>
                <w:spacing w:val="-7"/>
                <w:sz w:val="20"/>
              </w:rPr>
              <w:t> </w:t>
            </w:r>
            <w:r>
              <w:rPr>
                <w:spacing w:val="-2"/>
                <w:sz w:val="20"/>
              </w:rPr>
              <w:t>£85,000</w:t>
            </w:r>
          </w:p>
        </w:tc>
        <w:tc>
          <w:tcPr>
            <w:tcW w:w="1001" w:type="dxa"/>
          </w:tcPr>
          <w:p>
            <w:pPr>
              <w:pStyle w:val="TableParagraph"/>
              <w:spacing w:before="24"/>
              <w:ind w:right="109"/>
              <w:jc w:val="right"/>
              <w:rPr>
                <w:sz w:val="20"/>
              </w:rPr>
            </w:pPr>
            <w:r>
              <w:rPr>
                <w:spacing w:val="-10"/>
                <w:sz w:val="20"/>
              </w:rPr>
              <w:t>-</w:t>
            </w:r>
          </w:p>
        </w:tc>
        <w:tc>
          <w:tcPr>
            <w:tcW w:w="418" w:type="dxa"/>
          </w:tcPr>
          <w:p>
            <w:pPr>
              <w:pStyle w:val="TableParagraph"/>
              <w:rPr>
                <w:rFonts w:ascii="Times New Roman"/>
                <w:sz w:val="20"/>
              </w:rPr>
            </w:pPr>
          </w:p>
        </w:tc>
        <w:tc>
          <w:tcPr>
            <w:tcW w:w="999" w:type="dxa"/>
          </w:tcPr>
          <w:p>
            <w:pPr>
              <w:pStyle w:val="TableParagraph"/>
              <w:spacing w:before="24"/>
              <w:ind w:right="109"/>
              <w:jc w:val="right"/>
              <w:rPr>
                <w:sz w:val="20"/>
              </w:rPr>
            </w:pPr>
            <w:r>
              <w:rPr>
                <w:spacing w:val="-10"/>
                <w:sz w:val="20"/>
              </w:rPr>
              <w:t>1</w:t>
            </w:r>
          </w:p>
        </w:tc>
      </w:tr>
      <w:tr>
        <w:trPr>
          <w:trHeight w:val="283" w:hRule="atLeast"/>
        </w:trPr>
        <w:tc>
          <w:tcPr>
            <w:tcW w:w="6122" w:type="dxa"/>
          </w:tcPr>
          <w:p>
            <w:pPr>
              <w:pStyle w:val="TableParagraph"/>
              <w:spacing w:before="23"/>
              <w:ind w:left="50"/>
              <w:rPr>
                <w:sz w:val="20"/>
              </w:rPr>
            </w:pPr>
            <w:r>
              <w:rPr>
                <w:sz w:val="20"/>
              </w:rPr>
              <w:t>£90,001</w:t>
            </w:r>
            <w:r>
              <w:rPr>
                <w:spacing w:val="-6"/>
                <w:sz w:val="20"/>
              </w:rPr>
              <w:t> </w:t>
            </w:r>
            <w:r>
              <w:rPr>
                <w:sz w:val="20"/>
              </w:rPr>
              <w:t>to</w:t>
            </w:r>
            <w:r>
              <w:rPr>
                <w:spacing w:val="-7"/>
                <w:sz w:val="20"/>
              </w:rPr>
              <w:t> </w:t>
            </w:r>
            <w:r>
              <w:rPr>
                <w:spacing w:val="-2"/>
                <w:sz w:val="20"/>
              </w:rPr>
              <w:t>£95,000</w:t>
            </w:r>
          </w:p>
        </w:tc>
        <w:tc>
          <w:tcPr>
            <w:tcW w:w="1001" w:type="dxa"/>
          </w:tcPr>
          <w:p>
            <w:pPr>
              <w:pStyle w:val="TableParagraph"/>
              <w:spacing w:before="23"/>
              <w:ind w:right="109"/>
              <w:jc w:val="right"/>
              <w:rPr>
                <w:sz w:val="20"/>
              </w:rPr>
            </w:pPr>
            <w:r>
              <w:rPr>
                <w:spacing w:val="-10"/>
                <w:sz w:val="20"/>
              </w:rPr>
              <w:t>-</w:t>
            </w:r>
          </w:p>
        </w:tc>
        <w:tc>
          <w:tcPr>
            <w:tcW w:w="418" w:type="dxa"/>
          </w:tcPr>
          <w:p>
            <w:pPr>
              <w:pStyle w:val="TableParagraph"/>
              <w:rPr>
                <w:rFonts w:ascii="Times New Roman"/>
                <w:sz w:val="20"/>
              </w:rPr>
            </w:pPr>
          </w:p>
        </w:tc>
        <w:tc>
          <w:tcPr>
            <w:tcW w:w="999" w:type="dxa"/>
          </w:tcPr>
          <w:p>
            <w:pPr>
              <w:pStyle w:val="TableParagraph"/>
              <w:spacing w:before="23"/>
              <w:ind w:right="109"/>
              <w:jc w:val="right"/>
              <w:rPr>
                <w:sz w:val="20"/>
              </w:rPr>
            </w:pPr>
            <w:r>
              <w:rPr>
                <w:spacing w:val="-10"/>
                <w:sz w:val="20"/>
              </w:rPr>
              <w:t>2</w:t>
            </w:r>
          </w:p>
        </w:tc>
      </w:tr>
      <w:tr>
        <w:trPr>
          <w:trHeight w:val="284" w:hRule="atLeast"/>
        </w:trPr>
        <w:tc>
          <w:tcPr>
            <w:tcW w:w="6122" w:type="dxa"/>
          </w:tcPr>
          <w:p>
            <w:pPr>
              <w:pStyle w:val="TableParagraph"/>
              <w:spacing w:before="23"/>
              <w:ind w:left="50"/>
              <w:rPr>
                <w:sz w:val="20"/>
              </w:rPr>
            </w:pPr>
            <w:r>
              <w:rPr>
                <w:sz w:val="20"/>
              </w:rPr>
              <w:t>£95,001</w:t>
            </w:r>
            <w:r>
              <w:rPr>
                <w:spacing w:val="-6"/>
                <w:sz w:val="20"/>
              </w:rPr>
              <w:t> </w:t>
            </w:r>
            <w:r>
              <w:rPr>
                <w:sz w:val="20"/>
              </w:rPr>
              <w:t>to</w:t>
            </w:r>
            <w:r>
              <w:rPr>
                <w:spacing w:val="-7"/>
                <w:sz w:val="20"/>
              </w:rPr>
              <w:t> </w:t>
            </w:r>
            <w:r>
              <w:rPr>
                <w:spacing w:val="-2"/>
                <w:sz w:val="20"/>
              </w:rPr>
              <w:t>£100,000</w:t>
            </w:r>
          </w:p>
        </w:tc>
        <w:tc>
          <w:tcPr>
            <w:tcW w:w="1001" w:type="dxa"/>
          </w:tcPr>
          <w:p>
            <w:pPr>
              <w:pStyle w:val="TableParagraph"/>
              <w:spacing w:before="23"/>
              <w:ind w:right="108"/>
              <w:jc w:val="right"/>
              <w:rPr>
                <w:sz w:val="20"/>
              </w:rPr>
            </w:pPr>
            <w:r>
              <w:rPr>
                <w:spacing w:val="-10"/>
                <w:sz w:val="20"/>
              </w:rPr>
              <w:t>1</w:t>
            </w:r>
          </w:p>
        </w:tc>
        <w:tc>
          <w:tcPr>
            <w:tcW w:w="418" w:type="dxa"/>
          </w:tcPr>
          <w:p>
            <w:pPr>
              <w:pStyle w:val="TableParagraph"/>
              <w:rPr>
                <w:rFonts w:ascii="Times New Roman"/>
                <w:sz w:val="20"/>
              </w:rPr>
            </w:pPr>
          </w:p>
        </w:tc>
        <w:tc>
          <w:tcPr>
            <w:tcW w:w="999" w:type="dxa"/>
          </w:tcPr>
          <w:p>
            <w:pPr>
              <w:pStyle w:val="TableParagraph"/>
              <w:rPr>
                <w:rFonts w:ascii="Times New Roman"/>
                <w:sz w:val="20"/>
              </w:rPr>
            </w:pPr>
          </w:p>
        </w:tc>
      </w:tr>
      <w:tr>
        <w:trPr>
          <w:trHeight w:val="284" w:hRule="atLeast"/>
        </w:trPr>
        <w:tc>
          <w:tcPr>
            <w:tcW w:w="6122" w:type="dxa"/>
          </w:tcPr>
          <w:p>
            <w:pPr>
              <w:pStyle w:val="TableParagraph"/>
              <w:spacing w:before="24"/>
              <w:ind w:left="50"/>
              <w:rPr>
                <w:sz w:val="20"/>
              </w:rPr>
            </w:pPr>
            <w:r>
              <w:rPr>
                <w:sz w:val="20"/>
              </w:rPr>
              <w:t>£105,001</w:t>
            </w:r>
            <w:r>
              <w:rPr>
                <w:spacing w:val="-9"/>
                <w:sz w:val="20"/>
              </w:rPr>
              <w:t> </w:t>
            </w:r>
            <w:r>
              <w:rPr>
                <w:sz w:val="20"/>
              </w:rPr>
              <w:t>to</w:t>
            </w:r>
            <w:r>
              <w:rPr>
                <w:spacing w:val="-5"/>
                <w:sz w:val="20"/>
              </w:rPr>
              <w:t> </w:t>
            </w:r>
            <w:r>
              <w:rPr>
                <w:spacing w:val="-2"/>
                <w:sz w:val="20"/>
              </w:rPr>
              <w:t>£110,000</w:t>
            </w:r>
          </w:p>
        </w:tc>
        <w:tc>
          <w:tcPr>
            <w:tcW w:w="1001" w:type="dxa"/>
          </w:tcPr>
          <w:p>
            <w:pPr>
              <w:pStyle w:val="TableParagraph"/>
              <w:spacing w:before="24"/>
              <w:ind w:right="108"/>
              <w:jc w:val="right"/>
              <w:rPr>
                <w:sz w:val="20"/>
              </w:rPr>
            </w:pPr>
            <w:r>
              <w:rPr>
                <w:spacing w:val="-10"/>
                <w:sz w:val="20"/>
              </w:rPr>
              <w:t>1</w:t>
            </w:r>
          </w:p>
        </w:tc>
        <w:tc>
          <w:tcPr>
            <w:tcW w:w="418" w:type="dxa"/>
          </w:tcPr>
          <w:p>
            <w:pPr>
              <w:pStyle w:val="TableParagraph"/>
              <w:rPr>
                <w:rFonts w:ascii="Times New Roman"/>
                <w:sz w:val="20"/>
              </w:rPr>
            </w:pPr>
          </w:p>
        </w:tc>
        <w:tc>
          <w:tcPr>
            <w:tcW w:w="999" w:type="dxa"/>
          </w:tcPr>
          <w:p>
            <w:pPr>
              <w:pStyle w:val="TableParagraph"/>
              <w:spacing w:before="24"/>
              <w:ind w:right="109"/>
              <w:jc w:val="right"/>
              <w:rPr>
                <w:sz w:val="20"/>
              </w:rPr>
            </w:pPr>
            <w:r>
              <w:rPr>
                <w:spacing w:val="-10"/>
                <w:sz w:val="20"/>
              </w:rPr>
              <w:t>3</w:t>
            </w:r>
          </w:p>
        </w:tc>
      </w:tr>
      <w:tr>
        <w:trPr>
          <w:trHeight w:val="283" w:hRule="atLeast"/>
        </w:trPr>
        <w:tc>
          <w:tcPr>
            <w:tcW w:w="6122" w:type="dxa"/>
          </w:tcPr>
          <w:p>
            <w:pPr>
              <w:pStyle w:val="TableParagraph"/>
              <w:spacing w:before="23"/>
              <w:ind w:left="50"/>
              <w:rPr>
                <w:sz w:val="20"/>
              </w:rPr>
            </w:pPr>
            <w:r>
              <w:rPr>
                <w:sz w:val="20"/>
              </w:rPr>
              <w:t>£110,001</w:t>
            </w:r>
            <w:r>
              <w:rPr>
                <w:spacing w:val="-9"/>
                <w:sz w:val="20"/>
              </w:rPr>
              <w:t> </w:t>
            </w:r>
            <w:r>
              <w:rPr>
                <w:sz w:val="20"/>
              </w:rPr>
              <w:t>to</w:t>
            </w:r>
            <w:r>
              <w:rPr>
                <w:spacing w:val="-5"/>
                <w:sz w:val="20"/>
              </w:rPr>
              <w:t> </w:t>
            </w:r>
            <w:r>
              <w:rPr>
                <w:spacing w:val="-2"/>
                <w:sz w:val="20"/>
              </w:rPr>
              <w:t>£115,000</w:t>
            </w:r>
          </w:p>
        </w:tc>
        <w:tc>
          <w:tcPr>
            <w:tcW w:w="1001" w:type="dxa"/>
          </w:tcPr>
          <w:p>
            <w:pPr>
              <w:pStyle w:val="TableParagraph"/>
              <w:spacing w:before="23"/>
              <w:ind w:right="108"/>
              <w:jc w:val="right"/>
              <w:rPr>
                <w:sz w:val="20"/>
              </w:rPr>
            </w:pPr>
            <w:r>
              <w:rPr>
                <w:spacing w:val="-10"/>
                <w:sz w:val="20"/>
              </w:rPr>
              <w:t>2</w:t>
            </w:r>
          </w:p>
        </w:tc>
        <w:tc>
          <w:tcPr>
            <w:tcW w:w="418" w:type="dxa"/>
          </w:tcPr>
          <w:p>
            <w:pPr>
              <w:pStyle w:val="TableParagraph"/>
              <w:rPr>
                <w:rFonts w:ascii="Times New Roman"/>
                <w:sz w:val="20"/>
              </w:rPr>
            </w:pPr>
          </w:p>
        </w:tc>
        <w:tc>
          <w:tcPr>
            <w:tcW w:w="999" w:type="dxa"/>
          </w:tcPr>
          <w:p>
            <w:pPr>
              <w:pStyle w:val="TableParagraph"/>
              <w:spacing w:before="23"/>
              <w:ind w:right="110"/>
              <w:jc w:val="right"/>
              <w:rPr>
                <w:sz w:val="20"/>
              </w:rPr>
            </w:pPr>
            <w:r>
              <w:rPr>
                <w:spacing w:val="-10"/>
                <w:sz w:val="20"/>
              </w:rPr>
              <w:t>-</w:t>
            </w:r>
          </w:p>
        </w:tc>
      </w:tr>
      <w:tr>
        <w:trPr>
          <w:trHeight w:val="308" w:hRule="atLeast"/>
        </w:trPr>
        <w:tc>
          <w:tcPr>
            <w:tcW w:w="6122" w:type="dxa"/>
          </w:tcPr>
          <w:p>
            <w:pPr>
              <w:pStyle w:val="TableParagraph"/>
              <w:spacing w:before="23"/>
              <w:ind w:left="50"/>
              <w:rPr>
                <w:sz w:val="20"/>
              </w:rPr>
            </w:pPr>
            <w:r>
              <w:rPr>
                <w:spacing w:val="-2"/>
                <w:sz w:val="20"/>
              </w:rPr>
              <w:t>£&lt;£160,001</w:t>
            </w:r>
          </w:p>
        </w:tc>
        <w:tc>
          <w:tcPr>
            <w:tcW w:w="1001" w:type="dxa"/>
            <w:tcBorders>
              <w:bottom w:val="single" w:sz="4" w:space="0" w:color="000000"/>
            </w:tcBorders>
          </w:tcPr>
          <w:p>
            <w:pPr>
              <w:pStyle w:val="TableParagraph"/>
              <w:spacing w:before="23"/>
              <w:ind w:right="108"/>
              <w:jc w:val="right"/>
              <w:rPr>
                <w:sz w:val="20"/>
              </w:rPr>
            </w:pPr>
            <w:r>
              <w:rPr>
                <w:spacing w:val="-10"/>
                <w:sz w:val="20"/>
              </w:rPr>
              <w:t>1</w:t>
            </w:r>
          </w:p>
        </w:tc>
        <w:tc>
          <w:tcPr>
            <w:tcW w:w="418" w:type="dxa"/>
          </w:tcPr>
          <w:p>
            <w:pPr>
              <w:pStyle w:val="TableParagraph"/>
              <w:rPr>
                <w:rFonts w:ascii="Times New Roman"/>
                <w:sz w:val="20"/>
              </w:rPr>
            </w:pPr>
          </w:p>
        </w:tc>
        <w:tc>
          <w:tcPr>
            <w:tcW w:w="999" w:type="dxa"/>
            <w:tcBorders>
              <w:bottom w:val="single" w:sz="4" w:space="0" w:color="000000"/>
            </w:tcBorders>
          </w:tcPr>
          <w:p>
            <w:pPr>
              <w:pStyle w:val="TableParagraph"/>
              <w:spacing w:before="23"/>
              <w:ind w:right="109"/>
              <w:jc w:val="right"/>
              <w:rPr>
                <w:sz w:val="20"/>
              </w:rPr>
            </w:pPr>
            <w:r>
              <w:rPr>
                <w:spacing w:val="-10"/>
                <w:sz w:val="20"/>
              </w:rPr>
              <w:t>2</w:t>
            </w:r>
          </w:p>
        </w:tc>
      </w:tr>
      <w:tr>
        <w:trPr>
          <w:trHeight w:val="275" w:hRule="atLeast"/>
        </w:trPr>
        <w:tc>
          <w:tcPr>
            <w:tcW w:w="6122"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line="229" w:lineRule="exact"/>
              <w:ind w:right="111"/>
              <w:jc w:val="right"/>
              <w:rPr>
                <w:sz w:val="20"/>
              </w:rPr>
            </w:pPr>
            <w:r>
              <w:rPr>
                <w:spacing w:val="-5"/>
                <w:sz w:val="20"/>
              </w:rPr>
              <w:t>12</w:t>
            </w:r>
          </w:p>
        </w:tc>
        <w:tc>
          <w:tcPr>
            <w:tcW w:w="418" w:type="dxa"/>
          </w:tcPr>
          <w:p>
            <w:pPr>
              <w:pStyle w:val="TableParagraph"/>
              <w:rPr>
                <w:rFonts w:ascii="Times New Roman"/>
                <w:sz w:val="20"/>
              </w:rPr>
            </w:pPr>
          </w:p>
        </w:tc>
        <w:tc>
          <w:tcPr>
            <w:tcW w:w="999" w:type="dxa"/>
            <w:tcBorders>
              <w:top w:val="single" w:sz="4" w:space="0" w:color="000000"/>
              <w:bottom w:val="double" w:sz="4" w:space="0" w:color="000000"/>
            </w:tcBorders>
          </w:tcPr>
          <w:p>
            <w:pPr>
              <w:pStyle w:val="TableParagraph"/>
              <w:spacing w:line="229" w:lineRule="exact"/>
              <w:ind w:right="111"/>
              <w:jc w:val="right"/>
              <w:rPr>
                <w:sz w:val="20"/>
              </w:rPr>
            </w:pPr>
            <w:r>
              <w:rPr>
                <w:spacing w:val="-5"/>
                <w:sz w:val="20"/>
              </w:rPr>
              <w:t>12</w:t>
            </w:r>
          </w:p>
        </w:tc>
      </w:tr>
    </w:tbl>
    <w:p>
      <w:pPr>
        <w:pStyle w:val="BodyText"/>
        <w:spacing w:before="1"/>
      </w:pPr>
    </w:p>
    <w:p>
      <w:pPr>
        <w:pStyle w:val="BodyText"/>
        <w:ind w:left="852" w:right="706"/>
        <w:jc w:val="both"/>
      </w:pPr>
      <w:r>
        <w:rPr>
          <w:color w:val="0D0D0D"/>
        </w:rPr>
        <w:t>1 part time member of staff received emoluments below £60,000 though had the emoluments been calculated on a full time equivalent basis they would have been included in the £95,001 - £100,000 </w:t>
      </w:r>
      <w:r>
        <w:rPr>
          <w:color w:val="0D0D0D"/>
          <w:spacing w:val="-2"/>
        </w:rPr>
        <w:t>band.</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tabs>
          <w:tab w:pos="852" w:val="left" w:leader="none"/>
        </w:tabs>
        <w:ind w:right="703" w:hanging="428"/>
      </w:pPr>
      <w:r>
        <w:rPr>
          <w:spacing w:val="-6"/>
        </w:rPr>
        <w:t>7.</w:t>
      </w:r>
      <w:r>
        <w:rPr/>
        <w:tab/>
        <w:t>Staff</w:t>
      </w:r>
      <w:r>
        <w:rPr>
          <w:spacing w:val="80"/>
        </w:rPr>
        <w:t> </w:t>
      </w:r>
      <w:r>
        <w:rPr/>
        <w:t>costs</w:t>
      </w:r>
      <w:r>
        <w:rPr>
          <w:spacing w:val="80"/>
        </w:rPr>
        <w:t> </w:t>
      </w:r>
      <w:r>
        <w:rPr/>
        <w:t>and</w:t>
      </w:r>
      <w:r>
        <w:rPr>
          <w:spacing w:val="80"/>
        </w:rPr>
        <w:t> </w:t>
      </w:r>
      <w:r>
        <w:rPr/>
        <w:t>key</w:t>
      </w:r>
      <w:r>
        <w:rPr>
          <w:spacing w:val="79"/>
        </w:rPr>
        <w:t> </w:t>
      </w:r>
      <w:r>
        <w:rPr/>
        <w:t>management</w:t>
      </w:r>
      <w:r>
        <w:rPr>
          <w:spacing w:val="80"/>
        </w:rPr>
        <w:t> </w:t>
      </w:r>
      <w:r>
        <w:rPr/>
        <w:t>personnel</w:t>
      </w:r>
      <w:r>
        <w:rPr>
          <w:spacing w:val="80"/>
        </w:rPr>
        <w:t> </w:t>
      </w:r>
      <w:r>
        <w:rPr/>
        <w:t>remuneration</w:t>
      </w:r>
      <w:r>
        <w:rPr>
          <w:spacing w:val="80"/>
        </w:rPr>
        <w:t> </w:t>
      </w:r>
      <w:r>
        <w:rPr/>
        <w:t>–</w:t>
      </w:r>
      <w:r>
        <w:rPr>
          <w:spacing w:val="79"/>
        </w:rPr>
        <w:t> </w:t>
      </w:r>
      <w:r>
        <w:rPr/>
        <w:t>Group</w:t>
      </w:r>
      <w:r>
        <w:rPr>
          <w:spacing w:val="80"/>
        </w:rPr>
        <w:t> </w:t>
      </w:r>
      <w:r>
        <w:rPr/>
        <w:t>and</w:t>
      </w:r>
      <w:r>
        <w:rPr>
          <w:spacing w:val="80"/>
        </w:rPr>
        <w:t> </w:t>
      </w:r>
      <w:r>
        <w:rPr/>
        <w:t>College </w:t>
      </w:r>
      <w:r>
        <w:rPr>
          <w:spacing w:val="-2"/>
        </w:rPr>
        <w:t>(continued)</w:t>
      </w:r>
    </w:p>
    <w:p>
      <w:pPr>
        <w:pStyle w:val="BodyText"/>
        <w:spacing w:before="230"/>
        <w:ind w:left="1526" w:right="703"/>
      </w:pPr>
      <w:r>
        <w:rPr/>
        <w:t>Key</w:t>
      </w:r>
      <w:r>
        <w:rPr>
          <w:spacing w:val="-3"/>
        </w:rPr>
        <w:t> </w:t>
      </w:r>
      <w:r>
        <w:rPr/>
        <w:t>management</w:t>
      </w:r>
      <w:r>
        <w:rPr>
          <w:spacing w:val="-2"/>
        </w:rPr>
        <w:t> </w:t>
      </w:r>
      <w:r>
        <w:rPr/>
        <w:t>personnel</w:t>
      </w:r>
      <w:r>
        <w:rPr>
          <w:spacing w:val="-5"/>
        </w:rPr>
        <w:t> </w:t>
      </w:r>
      <w:r>
        <w:rPr/>
        <w:t>(including</w:t>
      </w:r>
      <w:r>
        <w:rPr>
          <w:spacing w:val="-4"/>
        </w:rPr>
        <w:t> </w:t>
      </w:r>
      <w:r>
        <w:rPr/>
        <w:t>the</w:t>
      </w:r>
      <w:r>
        <w:rPr>
          <w:spacing w:val="-4"/>
        </w:rPr>
        <w:t> </w:t>
      </w:r>
      <w:r>
        <w:rPr/>
        <w:t>Accounting</w:t>
      </w:r>
      <w:r>
        <w:rPr>
          <w:spacing w:val="-2"/>
        </w:rPr>
        <w:t> </w:t>
      </w:r>
      <w:r>
        <w:rPr/>
        <w:t>Officer)</w:t>
      </w:r>
      <w:r>
        <w:rPr>
          <w:spacing w:val="-3"/>
        </w:rPr>
        <w:t> </w:t>
      </w:r>
      <w:r>
        <w:rPr/>
        <w:t>total</w:t>
      </w:r>
      <w:r>
        <w:rPr>
          <w:spacing w:val="-5"/>
        </w:rPr>
        <w:t> </w:t>
      </w:r>
      <w:r>
        <w:rPr/>
        <w:t>compensation</w:t>
      </w:r>
      <w:r>
        <w:rPr>
          <w:spacing w:val="-2"/>
        </w:rPr>
        <w:t> </w:t>
      </w:r>
      <w:r>
        <w:rPr/>
        <w:t>is</w:t>
      </w:r>
      <w:r>
        <w:rPr>
          <w:spacing w:val="-3"/>
        </w:rPr>
        <w:t> </w:t>
      </w:r>
      <w:r>
        <w:rPr/>
        <w:t>made</w:t>
      </w:r>
      <w:r>
        <w:rPr>
          <w:spacing w:val="-4"/>
        </w:rPr>
        <w:t> </w:t>
      </w:r>
      <w:r>
        <w:rPr/>
        <w:t>up as follows:</w:t>
      </w:r>
    </w:p>
    <w:p>
      <w:pPr>
        <w:pStyle w:val="BodyText"/>
        <w:spacing w:before="4" w:after="1"/>
        <w:rPr>
          <w:sz w:val="7"/>
        </w:rPr>
      </w:pPr>
    </w:p>
    <w:tbl>
      <w:tblPr>
        <w:tblW w:w="0" w:type="auto"/>
        <w:jc w:val="left"/>
        <w:tblInd w:w="1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38"/>
        <w:gridCol w:w="994"/>
        <w:gridCol w:w="425"/>
        <w:gridCol w:w="991"/>
      </w:tblGrid>
      <w:tr>
        <w:trPr>
          <w:trHeight w:val="538" w:hRule="atLeast"/>
        </w:trPr>
        <w:tc>
          <w:tcPr>
            <w:tcW w:w="6038" w:type="dxa"/>
          </w:tcPr>
          <w:p>
            <w:pPr>
              <w:pStyle w:val="TableParagraph"/>
              <w:rPr>
                <w:rFonts w:ascii="Times New Roman"/>
                <w:sz w:val="20"/>
              </w:rPr>
            </w:pPr>
          </w:p>
        </w:tc>
        <w:tc>
          <w:tcPr>
            <w:tcW w:w="994" w:type="dxa"/>
          </w:tcPr>
          <w:p>
            <w:pPr>
              <w:pStyle w:val="TableParagraph"/>
              <w:spacing w:line="223" w:lineRule="exact"/>
              <w:ind w:left="439"/>
              <w:rPr>
                <w:b/>
                <w:sz w:val="20"/>
              </w:rPr>
            </w:pPr>
            <w:r>
              <w:rPr>
                <w:b/>
                <w:spacing w:val="-4"/>
                <w:sz w:val="20"/>
              </w:rPr>
              <w:t>2023</w:t>
            </w:r>
          </w:p>
          <w:p>
            <w:pPr>
              <w:pStyle w:val="TableParagraph"/>
              <w:spacing w:before="55"/>
              <w:ind w:left="381"/>
              <w:rPr>
                <w:b/>
                <w:sz w:val="20"/>
              </w:rPr>
            </w:pPr>
            <w:r>
              <w:rPr>
                <w:b/>
                <w:spacing w:val="-2"/>
                <w:sz w:val="20"/>
              </w:rPr>
              <w:t>£’000</w:t>
            </w:r>
          </w:p>
        </w:tc>
        <w:tc>
          <w:tcPr>
            <w:tcW w:w="425" w:type="dxa"/>
          </w:tcPr>
          <w:p>
            <w:pPr>
              <w:pStyle w:val="TableParagraph"/>
              <w:rPr>
                <w:rFonts w:ascii="Times New Roman"/>
                <w:sz w:val="20"/>
              </w:rPr>
            </w:pPr>
          </w:p>
        </w:tc>
        <w:tc>
          <w:tcPr>
            <w:tcW w:w="991" w:type="dxa"/>
          </w:tcPr>
          <w:p>
            <w:pPr>
              <w:pStyle w:val="TableParagraph"/>
              <w:spacing w:line="223" w:lineRule="exact"/>
              <w:ind w:left="436"/>
              <w:rPr>
                <w:b/>
                <w:sz w:val="20"/>
              </w:rPr>
            </w:pPr>
            <w:r>
              <w:rPr>
                <w:b/>
                <w:spacing w:val="-4"/>
                <w:sz w:val="20"/>
              </w:rPr>
              <w:t>2022</w:t>
            </w:r>
          </w:p>
          <w:p>
            <w:pPr>
              <w:pStyle w:val="TableParagraph"/>
              <w:spacing w:before="55"/>
              <w:ind w:left="378"/>
              <w:rPr>
                <w:b/>
                <w:sz w:val="20"/>
              </w:rPr>
            </w:pPr>
            <w:r>
              <w:rPr>
                <w:b/>
                <w:spacing w:val="-2"/>
                <w:sz w:val="20"/>
              </w:rPr>
              <w:t>£’000</w:t>
            </w:r>
          </w:p>
        </w:tc>
      </w:tr>
      <w:tr>
        <w:trPr>
          <w:trHeight w:val="283" w:hRule="atLeast"/>
        </w:trPr>
        <w:tc>
          <w:tcPr>
            <w:tcW w:w="6038" w:type="dxa"/>
          </w:tcPr>
          <w:p>
            <w:pPr>
              <w:pStyle w:val="TableParagraph"/>
              <w:spacing w:before="23"/>
              <w:ind w:left="50"/>
              <w:rPr>
                <w:sz w:val="20"/>
              </w:rPr>
            </w:pPr>
            <w:r>
              <w:rPr>
                <w:spacing w:val="-2"/>
                <w:sz w:val="20"/>
              </w:rPr>
              <w:t>Salaries</w:t>
            </w:r>
          </w:p>
        </w:tc>
        <w:tc>
          <w:tcPr>
            <w:tcW w:w="994" w:type="dxa"/>
          </w:tcPr>
          <w:p>
            <w:pPr>
              <w:pStyle w:val="TableParagraph"/>
              <w:spacing w:before="23"/>
              <w:ind w:right="111"/>
              <w:jc w:val="right"/>
              <w:rPr>
                <w:sz w:val="20"/>
              </w:rPr>
            </w:pPr>
            <w:r>
              <w:rPr>
                <w:spacing w:val="-5"/>
                <w:sz w:val="20"/>
              </w:rPr>
              <w:t>538</w:t>
            </w:r>
          </w:p>
        </w:tc>
        <w:tc>
          <w:tcPr>
            <w:tcW w:w="425" w:type="dxa"/>
          </w:tcPr>
          <w:p>
            <w:pPr>
              <w:pStyle w:val="TableParagraph"/>
              <w:rPr>
                <w:rFonts w:ascii="Times New Roman"/>
                <w:sz w:val="20"/>
              </w:rPr>
            </w:pPr>
          </w:p>
        </w:tc>
        <w:tc>
          <w:tcPr>
            <w:tcW w:w="991" w:type="dxa"/>
          </w:tcPr>
          <w:p>
            <w:pPr>
              <w:pStyle w:val="TableParagraph"/>
              <w:spacing w:before="23"/>
              <w:ind w:right="111"/>
              <w:jc w:val="right"/>
              <w:rPr>
                <w:sz w:val="20"/>
              </w:rPr>
            </w:pPr>
            <w:r>
              <w:rPr>
                <w:spacing w:val="-5"/>
                <w:sz w:val="20"/>
              </w:rPr>
              <w:t>684</w:t>
            </w:r>
          </w:p>
        </w:tc>
      </w:tr>
      <w:tr>
        <w:trPr>
          <w:trHeight w:val="308" w:hRule="atLeast"/>
        </w:trPr>
        <w:tc>
          <w:tcPr>
            <w:tcW w:w="6038" w:type="dxa"/>
          </w:tcPr>
          <w:p>
            <w:pPr>
              <w:pStyle w:val="TableParagraph"/>
              <w:spacing w:before="23"/>
              <w:ind w:left="50"/>
              <w:rPr>
                <w:sz w:val="20"/>
              </w:rPr>
            </w:pPr>
            <w:r>
              <w:rPr>
                <w:sz w:val="20"/>
              </w:rPr>
              <w:t>Invoiced</w:t>
            </w:r>
            <w:r>
              <w:rPr>
                <w:spacing w:val="-11"/>
                <w:sz w:val="20"/>
              </w:rPr>
              <w:t> </w:t>
            </w:r>
            <w:r>
              <w:rPr>
                <w:spacing w:val="-2"/>
                <w:sz w:val="20"/>
              </w:rPr>
              <w:t>costs</w:t>
            </w:r>
          </w:p>
        </w:tc>
        <w:tc>
          <w:tcPr>
            <w:tcW w:w="994" w:type="dxa"/>
            <w:tcBorders>
              <w:bottom w:val="single" w:sz="4" w:space="0" w:color="000000"/>
            </w:tcBorders>
          </w:tcPr>
          <w:p>
            <w:pPr>
              <w:pStyle w:val="TableParagraph"/>
              <w:spacing w:before="23"/>
              <w:ind w:right="109"/>
              <w:jc w:val="right"/>
              <w:rPr>
                <w:sz w:val="20"/>
              </w:rPr>
            </w:pPr>
            <w:r>
              <w:rPr>
                <w:spacing w:val="-10"/>
                <w:sz w:val="20"/>
              </w:rPr>
              <w:t>-</w:t>
            </w:r>
          </w:p>
        </w:tc>
        <w:tc>
          <w:tcPr>
            <w:tcW w:w="425" w:type="dxa"/>
          </w:tcPr>
          <w:p>
            <w:pPr>
              <w:pStyle w:val="TableParagraph"/>
              <w:rPr>
                <w:rFonts w:ascii="Times New Roman"/>
                <w:sz w:val="20"/>
              </w:rPr>
            </w:pPr>
          </w:p>
        </w:tc>
        <w:tc>
          <w:tcPr>
            <w:tcW w:w="991" w:type="dxa"/>
            <w:tcBorders>
              <w:bottom w:val="single" w:sz="4" w:space="0" w:color="000000"/>
            </w:tcBorders>
          </w:tcPr>
          <w:p>
            <w:pPr>
              <w:pStyle w:val="TableParagraph"/>
              <w:spacing w:before="23"/>
              <w:ind w:right="109"/>
              <w:jc w:val="right"/>
              <w:rPr>
                <w:sz w:val="20"/>
              </w:rPr>
            </w:pPr>
            <w:r>
              <w:rPr>
                <w:spacing w:val="-10"/>
                <w:sz w:val="20"/>
              </w:rPr>
              <w:t>-</w:t>
            </w:r>
          </w:p>
        </w:tc>
      </w:tr>
      <w:tr>
        <w:trPr>
          <w:trHeight w:val="254" w:hRule="atLeast"/>
        </w:trPr>
        <w:tc>
          <w:tcPr>
            <w:tcW w:w="6038" w:type="dxa"/>
          </w:tcPr>
          <w:p>
            <w:pPr>
              <w:pStyle w:val="TableParagraph"/>
              <w:rPr>
                <w:rFonts w:ascii="Times New Roman"/>
                <w:sz w:val="18"/>
              </w:rPr>
            </w:pPr>
          </w:p>
        </w:tc>
        <w:tc>
          <w:tcPr>
            <w:tcW w:w="994" w:type="dxa"/>
            <w:tcBorders>
              <w:top w:val="single" w:sz="4" w:space="0" w:color="000000"/>
            </w:tcBorders>
          </w:tcPr>
          <w:p>
            <w:pPr>
              <w:pStyle w:val="TableParagraph"/>
              <w:spacing w:line="229" w:lineRule="exact"/>
              <w:ind w:right="111"/>
              <w:jc w:val="right"/>
              <w:rPr>
                <w:sz w:val="20"/>
              </w:rPr>
            </w:pPr>
            <w:r>
              <w:rPr>
                <w:spacing w:val="-5"/>
                <w:sz w:val="20"/>
              </w:rPr>
              <w:t>538</w:t>
            </w:r>
          </w:p>
        </w:tc>
        <w:tc>
          <w:tcPr>
            <w:tcW w:w="425" w:type="dxa"/>
          </w:tcPr>
          <w:p>
            <w:pPr>
              <w:pStyle w:val="TableParagraph"/>
              <w:rPr>
                <w:rFonts w:ascii="Times New Roman"/>
                <w:sz w:val="18"/>
              </w:rPr>
            </w:pPr>
          </w:p>
        </w:tc>
        <w:tc>
          <w:tcPr>
            <w:tcW w:w="991" w:type="dxa"/>
            <w:tcBorders>
              <w:top w:val="single" w:sz="4" w:space="0" w:color="000000"/>
            </w:tcBorders>
          </w:tcPr>
          <w:p>
            <w:pPr>
              <w:pStyle w:val="TableParagraph"/>
              <w:spacing w:line="229" w:lineRule="exact"/>
              <w:ind w:right="111"/>
              <w:jc w:val="right"/>
              <w:rPr>
                <w:sz w:val="20"/>
              </w:rPr>
            </w:pPr>
            <w:r>
              <w:rPr>
                <w:spacing w:val="-5"/>
                <w:sz w:val="20"/>
              </w:rPr>
              <w:t>684</w:t>
            </w:r>
          </w:p>
        </w:tc>
      </w:tr>
      <w:tr>
        <w:trPr>
          <w:trHeight w:val="301" w:hRule="atLeast"/>
        </w:trPr>
        <w:tc>
          <w:tcPr>
            <w:tcW w:w="6038" w:type="dxa"/>
          </w:tcPr>
          <w:p>
            <w:pPr>
              <w:pStyle w:val="TableParagraph"/>
              <w:spacing w:before="18"/>
              <w:ind w:left="50"/>
              <w:rPr>
                <w:sz w:val="20"/>
              </w:rPr>
            </w:pPr>
            <w:r>
              <w:rPr>
                <w:sz w:val="20"/>
              </w:rPr>
              <w:t>Pension</w:t>
            </w:r>
            <w:r>
              <w:rPr>
                <w:spacing w:val="-11"/>
                <w:sz w:val="20"/>
              </w:rPr>
              <w:t> </w:t>
            </w:r>
            <w:r>
              <w:rPr>
                <w:spacing w:val="-2"/>
                <w:sz w:val="20"/>
              </w:rPr>
              <w:t>contributions</w:t>
            </w:r>
          </w:p>
        </w:tc>
        <w:tc>
          <w:tcPr>
            <w:tcW w:w="994" w:type="dxa"/>
            <w:tcBorders>
              <w:bottom w:val="single" w:sz="4" w:space="0" w:color="000000"/>
            </w:tcBorders>
          </w:tcPr>
          <w:p>
            <w:pPr>
              <w:pStyle w:val="TableParagraph"/>
              <w:spacing w:before="18"/>
              <w:ind w:right="111"/>
              <w:jc w:val="right"/>
              <w:rPr>
                <w:sz w:val="20"/>
              </w:rPr>
            </w:pPr>
            <w:r>
              <w:rPr>
                <w:spacing w:val="-5"/>
                <w:sz w:val="20"/>
              </w:rPr>
              <w:t>131</w:t>
            </w:r>
          </w:p>
        </w:tc>
        <w:tc>
          <w:tcPr>
            <w:tcW w:w="425" w:type="dxa"/>
          </w:tcPr>
          <w:p>
            <w:pPr>
              <w:pStyle w:val="TableParagraph"/>
              <w:rPr>
                <w:rFonts w:ascii="Times New Roman"/>
                <w:sz w:val="20"/>
              </w:rPr>
            </w:pPr>
          </w:p>
        </w:tc>
        <w:tc>
          <w:tcPr>
            <w:tcW w:w="991" w:type="dxa"/>
            <w:tcBorders>
              <w:bottom w:val="single" w:sz="4" w:space="0" w:color="000000"/>
            </w:tcBorders>
          </w:tcPr>
          <w:p>
            <w:pPr>
              <w:pStyle w:val="TableParagraph"/>
              <w:spacing w:before="18"/>
              <w:ind w:right="111"/>
              <w:jc w:val="right"/>
              <w:rPr>
                <w:sz w:val="20"/>
              </w:rPr>
            </w:pPr>
            <w:r>
              <w:rPr>
                <w:spacing w:val="-5"/>
                <w:sz w:val="20"/>
              </w:rPr>
              <w:t>118</w:t>
            </w:r>
          </w:p>
        </w:tc>
      </w:tr>
      <w:tr>
        <w:trPr>
          <w:trHeight w:val="558" w:hRule="atLeast"/>
        </w:trPr>
        <w:tc>
          <w:tcPr>
            <w:tcW w:w="6038" w:type="dxa"/>
          </w:tcPr>
          <w:p>
            <w:pPr>
              <w:pStyle w:val="TableParagraph"/>
              <w:spacing w:before="45"/>
              <w:rPr>
                <w:sz w:val="20"/>
              </w:rPr>
            </w:pPr>
          </w:p>
          <w:p>
            <w:pPr>
              <w:pStyle w:val="TableParagraph"/>
              <w:ind w:left="50"/>
              <w:rPr>
                <w:b/>
                <w:sz w:val="20"/>
              </w:rPr>
            </w:pPr>
            <w:r>
              <w:rPr>
                <w:b/>
                <w:sz w:val="20"/>
              </w:rPr>
              <w:t>Total</w:t>
            </w:r>
            <w:r>
              <w:rPr>
                <w:b/>
                <w:spacing w:val="-7"/>
                <w:sz w:val="20"/>
              </w:rPr>
              <w:t> </w:t>
            </w:r>
            <w:r>
              <w:rPr>
                <w:b/>
                <w:spacing w:val="-2"/>
                <w:sz w:val="20"/>
              </w:rPr>
              <w:t>emoluments</w:t>
            </w:r>
          </w:p>
        </w:tc>
        <w:tc>
          <w:tcPr>
            <w:tcW w:w="994" w:type="dxa"/>
            <w:tcBorders>
              <w:top w:val="single" w:sz="4" w:space="0" w:color="000000"/>
              <w:bottom w:val="double" w:sz="4" w:space="0" w:color="000000"/>
            </w:tcBorders>
          </w:tcPr>
          <w:p>
            <w:pPr>
              <w:pStyle w:val="TableParagraph"/>
              <w:spacing w:before="45"/>
              <w:rPr>
                <w:sz w:val="20"/>
              </w:rPr>
            </w:pPr>
          </w:p>
          <w:p>
            <w:pPr>
              <w:pStyle w:val="TableParagraph"/>
              <w:ind w:right="111"/>
              <w:jc w:val="right"/>
              <w:rPr>
                <w:sz w:val="20"/>
              </w:rPr>
            </w:pPr>
            <w:r>
              <w:rPr>
                <w:spacing w:val="-5"/>
                <w:sz w:val="20"/>
              </w:rPr>
              <w:t>669</w:t>
            </w:r>
          </w:p>
        </w:tc>
        <w:tc>
          <w:tcPr>
            <w:tcW w:w="425" w:type="dxa"/>
          </w:tcPr>
          <w:p>
            <w:pPr>
              <w:pStyle w:val="TableParagraph"/>
              <w:rPr>
                <w:rFonts w:ascii="Times New Roman"/>
                <w:sz w:val="20"/>
              </w:rPr>
            </w:pPr>
          </w:p>
        </w:tc>
        <w:tc>
          <w:tcPr>
            <w:tcW w:w="991" w:type="dxa"/>
            <w:tcBorders>
              <w:top w:val="single" w:sz="4" w:space="0" w:color="000000"/>
              <w:bottom w:val="double" w:sz="4" w:space="0" w:color="000000"/>
            </w:tcBorders>
          </w:tcPr>
          <w:p>
            <w:pPr>
              <w:pStyle w:val="TableParagraph"/>
              <w:spacing w:before="45"/>
              <w:rPr>
                <w:sz w:val="20"/>
              </w:rPr>
            </w:pPr>
          </w:p>
          <w:p>
            <w:pPr>
              <w:pStyle w:val="TableParagraph"/>
              <w:ind w:right="111"/>
              <w:jc w:val="right"/>
              <w:rPr>
                <w:sz w:val="20"/>
              </w:rPr>
            </w:pPr>
            <w:r>
              <w:rPr>
                <w:spacing w:val="-5"/>
                <w:sz w:val="20"/>
              </w:rPr>
              <w:t>802</w:t>
            </w:r>
          </w:p>
        </w:tc>
      </w:tr>
    </w:tbl>
    <w:p>
      <w:pPr>
        <w:pStyle w:val="BodyText"/>
        <w:spacing w:before="26"/>
      </w:pPr>
    </w:p>
    <w:p>
      <w:pPr>
        <w:pStyle w:val="BodyText"/>
        <w:ind w:left="1526" w:right="613"/>
      </w:pPr>
      <w:r>
        <w:rPr/>
        <w:t>There were no amounts due to key management personnel that were waived in the year, nor any salary sacrifice arrangements in place.</w:t>
      </w:r>
    </w:p>
    <w:p>
      <w:pPr>
        <w:pStyle w:val="BodyText"/>
        <w:spacing w:before="95"/>
      </w:pPr>
    </w:p>
    <w:p>
      <w:pPr>
        <w:pStyle w:val="BodyText"/>
        <w:ind w:left="852"/>
      </w:pPr>
      <w:r>
        <w:rPr>
          <w:color w:val="0D0D0D"/>
        </w:rPr>
        <w:t>In</w:t>
      </w:r>
      <w:r>
        <w:rPr>
          <w:color w:val="0D0D0D"/>
          <w:spacing w:val="-7"/>
        </w:rPr>
        <w:t> </w:t>
      </w:r>
      <w:r>
        <w:rPr>
          <w:color w:val="0D0D0D"/>
        </w:rPr>
        <w:t>addition</w:t>
      </w:r>
      <w:r>
        <w:rPr>
          <w:color w:val="0D0D0D"/>
          <w:spacing w:val="-7"/>
        </w:rPr>
        <w:t> </w:t>
      </w:r>
      <w:r>
        <w:rPr>
          <w:color w:val="0D0D0D"/>
        </w:rPr>
        <w:t>to</w:t>
      </w:r>
      <w:r>
        <w:rPr>
          <w:color w:val="0D0D0D"/>
          <w:spacing w:val="-6"/>
        </w:rPr>
        <w:t> </w:t>
      </w:r>
      <w:r>
        <w:rPr>
          <w:color w:val="0D0D0D"/>
        </w:rPr>
        <w:t>the</w:t>
      </w:r>
      <w:r>
        <w:rPr>
          <w:color w:val="0D0D0D"/>
          <w:spacing w:val="-5"/>
        </w:rPr>
        <w:t> </w:t>
      </w:r>
      <w:r>
        <w:rPr>
          <w:color w:val="0D0D0D"/>
        </w:rPr>
        <w:t>above</w:t>
      </w:r>
      <w:r>
        <w:rPr>
          <w:color w:val="0D0D0D"/>
          <w:spacing w:val="-5"/>
        </w:rPr>
        <w:t> </w:t>
      </w:r>
      <w:r>
        <w:rPr>
          <w:color w:val="0D0D0D"/>
        </w:rPr>
        <w:t>is</w:t>
      </w:r>
      <w:r>
        <w:rPr>
          <w:color w:val="0D0D0D"/>
          <w:spacing w:val="-6"/>
        </w:rPr>
        <w:t> </w:t>
      </w:r>
      <w:r>
        <w:rPr>
          <w:color w:val="0D0D0D"/>
        </w:rPr>
        <w:t>national</w:t>
      </w:r>
      <w:r>
        <w:rPr>
          <w:color w:val="0D0D0D"/>
          <w:spacing w:val="-8"/>
        </w:rPr>
        <w:t> </w:t>
      </w:r>
      <w:r>
        <w:rPr>
          <w:color w:val="0D0D0D"/>
        </w:rPr>
        <w:t>insurance</w:t>
      </w:r>
      <w:r>
        <w:rPr>
          <w:color w:val="0D0D0D"/>
          <w:spacing w:val="-5"/>
        </w:rPr>
        <w:t> </w:t>
      </w:r>
      <w:r>
        <w:rPr>
          <w:color w:val="0D0D0D"/>
        </w:rPr>
        <w:t>amounting</w:t>
      </w:r>
      <w:r>
        <w:rPr>
          <w:color w:val="0D0D0D"/>
          <w:spacing w:val="-7"/>
        </w:rPr>
        <w:t> </w:t>
      </w:r>
      <w:r>
        <w:rPr>
          <w:color w:val="0D0D0D"/>
        </w:rPr>
        <w:t>to</w:t>
      </w:r>
      <w:r>
        <w:rPr>
          <w:color w:val="0D0D0D"/>
          <w:spacing w:val="-5"/>
        </w:rPr>
        <w:t> </w:t>
      </w:r>
      <w:r>
        <w:rPr>
          <w:color w:val="0D0D0D"/>
        </w:rPr>
        <w:t>£69,000</w:t>
      </w:r>
      <w:r>
        <w:rPr>
          <w:color w:val="0D0D0D"/>
          <w:spacing w:val="-4"/>
        </w:rPr>
        <w:t> </w:t>
      </w:r>
      <w:r>
        <w:rPr>
          <w:color w:val="0D0D0D"/>
        </w:rPr>
        <w:t>(2022:</w:t>
      </w:r>
      <w:r>
        <w:rPr>
          <w:color w:val="0D0D0D"/>
          <w:spacing w:val="-7"/>
        </w:rPr>
        <w:t> </w:t>
      </w:r>
      <w:r>
        <w:rPr>
          <w:color w:val="0D0D0D"/>
          <w:spacing w:val="-2"/>
        </w:rPr>
        <w:t>£88,000)</w:t>
      </w:r>
    </w:p>
    <w:p>
      <w:pPr>
        <w:pStyle w:val="BodyText"/>
        <w:spacing w:before="1"/>
      </w:pPr>
    </w:p>
    <w:p>
      <w:pPr>
        <w:pStyle w:val="BodyText"/>
        <w:ind w:left="852" w:right="703"/>
      </w:pPr>
      <w:r>
        <w:rPr>
          <w:color w:val="0D0D0D"/>
        </w:rPr>
        <w:t>The</w:t>
      </w:r>
      <w:r>
        <w:rPr>
          <w:color w:val="0D0D0D"/>
          <w:spacing w:val="-11"/>
        </w:rPr>
        <w:t> </w:t>
      </w:r>
      <w:r>
        <w:rPr>
          <w:color w:val="0D0D0D"/>
        </w:rPr>
        <w:t>above</w:t>
      </w:r>
      <w:r>
        <w:rPr>
          <w:color w:val="0D0D0D"/>
          <w:spacing w:val="-11"/>
        </w:rPr>
        <w:t> </w:t>
      </w:r>
      <w:r>
        <w:rPr>
          <w:color w:val="0D0D0D"/>
        </w:rPr>
        <w:t>emoluments</w:t>
      </w:r>
      <w:r>
        <w:rPr>
          <w:color w:val="0D0D0D"/>
          <w:spacing w:val="-10"/>
        </w:rPr>
        <w:t> </w:t>
      </w:r>
      <w:r>
        <w:rPr>
          <w:color w:val="0D0D0D"/>
        </w:rPr>
        <w:t>include</w:t>
      </w:r>
      <w:r>
        <w:rPr>
          <w:color w:val="0D0D0D"/>
          <w:spacing w:val="-11"/>
        </w:rPr>
        <w:t> </w:t>
      </w:r>
      <w:r>
        <w:rPr>
          <w:color w:val="0D0D0D"/>
        </w:rPr>
        <w:t>amounts</w:t>
      </w:r>
      <w:r>
        <w:rPr>
          <w:color w:val="0D0D0D"/>
          <w:spacing w:val="-10"/>
        </w:rPr>
        <w:t> </w:t>
      </w:r>
      <w:r>
        <w:rPr>
          <w:color w:val="0D0D0D"/>
        </w:rPr>
        <w:t>payable</w:t>
      </w:r>
      <w:r>
        <w:rPr>
          <w:color w:val="0D0D0D"/>
          <w:spacing w:val="-11"/>
        </w:rPr>
        <w:t> </w:t>
      </w:r>
      <w:r>
        <w:rPr>
          <w:color w:val="0D0D0D"/>
        </w:rPr>
        <w:t>to</w:t>
      </w:r>
      <w:r>
        <w:rPr>
          <w:color w:val="0D0D0D"/>
          <w:spacing w:val="-11"/>
        </w:rPr>
        <w:t> </w:t>
      </w:r>
      <w:r>
        <w:rPr>
          <w:color w:val="0D0D0D"/>
        </w:rPr>
        <w:t>the</w:t>
      </w:r>
      <w:r>
        <w:rPr>
          <w:color w:val="0D0D0D"/>
          <w:spacing w:val="-9"/>
        </w:rPr>
        <w:t> </w:t>
      </w:r>
      <w:r>
        <w:rPr>
          <w:color w:val="0D0D0D"/>
        </w:rPr>
        <w:t>Accounting</w:t>
      </w:r>
      <w:r>
        <w:rPr>
          <w:color w:val="0D0D0D"/>
          <w:spacing w:val="-11"/>
        </w:rPr>
        <w:t> </w:t>
      </w:r>
      <w:r>
        <w:rPr>
          <w:color w:val="0D0D0D"/>
        </w:rPr>
        <w:t>Officer</w:t>
      </w:r>
      <w:r>
        <w:rPr>
          <w:color w:val="0D0D0D"/>
          <w:spacing w:val="-10"/>
        </w:rPr>
        <w:t> </w:t>
      </w:r>
      <w:r>
        <w:rPr>
          <w:color w:val="0D0D0D"/>
        </w:rPr>
        <w:t>(who</w:t>
      </w:r>
      <w:r>
        <w:rPr>
          <w:color w:val="0D0D0D"/>
          <w:spacing w:val="-11"/>
        </w:rPr>
        <w:t> </w:t>
      </w:r>
      <w:r>
        <w:rPr>
          <w:color w:val="0D0D0D"/>
        </w:rPr>
        <w:t>is</w:t>
      </w:r>
      <w:r>
        <w:rPr>
          <w:color w:val="0D0D0D"/>
          <w:spacing w:val="-7"/>
        </w:rPr>
        <w:t> </w:t>
      </w:r>
      <w:r>
        <w:rPr>
          <w:color w:val="0D0D0D"/>
        </w:rPr>
        <w:t>also</w:t>
      </w:r>
      <w:r>
        <w:rPr>
          <w:color w:val="0D0D0D"/>
          <w:spacing w:val="-11"/>
        </w:rPr>
        <w:t> </w:t>
      </w:r>
      <w:r>
        <w:rPr>
          <w:color w:val="0D0D0D"/>
        </w:rPr>
        <w:t>the</w:t>
      </w:r>
      <w:r>
        <w:rPr>
          <w:color w:val="0D0D0D"/>
          <w:spacing w:val="-11"/>
        </w:rPr>
        <w:t> </w:t>
      </w:r>
      <w:r>
        <w:rPr>
          <w:color w:val="0D0D0D"/>
        </w:rPr>
        <w:t>highest</w:t>
      </w:r>
      <w:r>
        <w:rPr>
          <w:color w:val="0D0D0D"/>
          <w:spacing w:val="-11"/>
        </w:rPr>
        <w:t> </w:t>
      </w:r>
      <w:r>
        <w:rPr>
          <w:color w:val="0D0D0D"/>
        </w:rPr>
        <w:t>paid of key management personnel) of:</w:t>
      </w:r>
    </w:p>
    <w:p>
      <w:pPr>
        <w:pStyle w:val="BodyText"/>
        <w:spacing w:before="6"/>
        <w:rPr>
          <w:sz w:val="18"/>
        </w:rPr>
      </w:pPr>
    </w:p>
    <w:tbl>
      <w:tblPr>
        <w:tblW w:w="0" w:type="auto"/>
        <w:jc w:val="left"/>
        <w:tblInd w:w="1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72"/>
        <w:gridCol w:w="4006"/>
        <w:gridCol w:w="1013"/>
      </w:tblGrid>
      <w:tr>
        <w:trPr>
          <w:trHeight w:val="218" w:hRule="atLeast"/>
        </w:trPr>
        <w:tc>
          <w:tcPr>
            <w:tcW w:w="3372" w:type="dxa"/>
            <w:vMerge w:val="restart"/>
          </w:tcPr>
          <w:p>
            <w:pPr>
              <w:pStyle w:val="TableParagraph"/>
              <w:rPr>
                <w:rFonts w:ascii="Times New Roman"/>
                <w:sz w:val="20"/>
              </w:rPr>
            </w:pPr>
          </w:p>
        </w:tc>
        <w:tc>
          <w:tcPr>
            <w:tcW w:w="4006" w:type="dxa"/>
          </w:tcPr>
          <w:p>
            <w:pPr>
              <w:pStyle w:val="TableParagraph"/>
              <w:spacing w:line="198" w:lineRule="exact"/>
              <w:ind w:right="510"/>
              <w:jc w:val="right"/>
              <w:rPr>
                <w:b/>
                <w:sz w:val="18"/>
              </w:rPr>
            </w:pPr>
            <w:r>
              <w:rPr>
                <w:b/>
                <w:spacing w:val="-2"/>
                <w:sz w:val="18"/>
              </w:rPr>
              <w:t>Accounting</w:t>
            </w:r>
          </w:p>
        </w:tc>
        <w:tc>
          <w:tcPr>
            <w:tcW w:w="1013" w:type="dxa"/>
          </w:tcPr>
          <w:p>
            <w:pPr>
              <w:pStyle w:val="TableParagraph"/>
              <w:spacing w:line="175" w:lineRule="exact" w:before="23"/>
              <w:ind w:left="-3" w:right="47"/>
              <w:jc w:val="right"/>
              <w:rPr>
                <w:b/>
                <w:sz w:val="18"/>
              </w:rPr>
            </w:pPr>
            <w:r>
              <w:rPr>
                <w:b/>
                <w:spacing w:val="-2"/>
                <w:sz w:val="18"/>
              </w:rPr>
              <w:t>Total</w:t>
            </w:r>
          </w:p>
        </w:tc>
      </w:tr>
      <w:tr>
        <w:trPr>
          <w:trHeight w:val="207" w:hRule="atLeast"/>
        </w:trPr>
        <w:tc>
          <w:tcPr>
            <w:tcW w:w="3372" w:type="dxa"/>
            <w:vMerge/>
            <w:tcBorders>
              <w:top w:val="nil"/>
            </w:tcBorders>
          </w:tcPr>
          <w:p>
            <w:pPr>
              <w:rPr>
                <w:sz w:val="2"/>
                <w:szCs w:val="2"/>
              </w:rPr>
            </w:pPr>
          </w:p>
        </w:tc>
        <w:tc>
          <w:tcPr>
            <w:tcW w:w="4006" w:type="dxa"/>
          </w:tcPr>
          <w:p>
            <w:pPr>
              <w:pStyle w:val="TableParagraph"/>
              <w:spacing w:line="188" w:lineRule="exact"/>
              <w:ind w:right="509"/>
              <w:jc w:val="right"/>
              <w:rPr>
                <w:b/>
                <w:sz w:val="18"/>
              </w:rPr>
            </w:pPr>
            <w:r>
              <w:rPr>
                <w:b/>
                <w:spacing w:val="-2"/>
                <w:sz w:val="18"/>
              </w:rPr>
              <w:t>Officer</w:t>
            </w:r>
          </w:p>
        </w:tc>
        <w:tc>
          <w:tcPr>
            <w:tcW w:w="1013" w:type="dxa"/>
          </w:tcPr>
          <w:p>
            <w:pPr>
              <w:pStyle w:val="TableParagraph"/>
              <w:spacing w:line="176" w:lineRule="exact" w:before="11"/>
              <w:ind w:left="-3" w:right="47"/>
              <w:jc w:val="right"/>
              <w:rPr>
                <w:b/>
                <w:sz w:val="18"/>
              </w:rPr>
            </w:pPr>
            <w:r>
              <w:rPr>
                <w:b/>
                <w:spacing w:val="-4"/>
                <w:sz w:val="18"/>
              </w:rPr>
              <w:t>2023</w:t>
            </w:r>
          </w:p>
        </w:tc>
      </w:tr>
      <w:tr>
        <w:trPr>
          <w:trHeight w:val="222" w:hRule="atLeast"/>
        </w:trPr>
        <w:tc>
          <w:tcPr>
            <w:tcW w:w="3372" w:type="dxa"/>
            <w:vMerge/>
            <w:tcBorders>
              <w:top w:val="nil"/>
            </w:tcBorders>
          </w:tcPr>
          <w:p>
            <w:pPr>
              <w:rPr>
                <w:sz w:val="2"/>
                <w:szCs w:val="2"/>
              </w:rPr>
            </w:pPr>
          </w:p>
        </w:tc>
        <w:tc>
          <w:tcPr>
            <w:tcW w:w="4006" w:type="dxa"/>
          </w:tcPr>
          <w:p>
            <w:pPr>
              <w:pStyle w:val="TableParagraph"/>
              <w:spacing w:line="191" w:lineRule="exact"/>
              <w:ind w:right="507"/>
              <w:jc w:val="right"/>
              <w:rPr>
                <w:b/>
                <w:sz w:val="18"/>
              </w:rPr>
            </w:pPr>
            <w:r>
              <w:rPr>
                <w:b/>
                <w:spacing w:val="-2"/>
                <w:sz w:val="18"/>
              </w:rPr>
              <w:t>£’000</w:t>
            </w:r>
          </w:p>
        </w:tc>
        <w:tc>
          <w:tcPr>
            <w:tcW w:w="1013" w:type="dxa"/>
          </w:tcPr>
          <w:p>
            <w:pPr>
              <w:pStyle w:val="TableParagraph"/>
              <w:spacing w:line="191" w:lineRule="exact" w:before="12"/>
              <w:ind w:left="-3" w:right="46"/>
              <w:jc w:val="right"/>
              <w:rPr>
                <w:b/>
                <w:sz w:val="18"/>
              </w:rPr>
            </w:pPr>
            <w:r>
              <w:rPr>
                <w:b/>
                <w:spacing w:val="-2"/>
                <w:sz w:val="18"/>
              </w:rPr>
              <w:t>£’000</w:t>
            </w:r>
          </w:p>
        </w:tc>
      </w:tr>
      <w:tr>
        <w:trPr>
          <w:trHeight w:val="251" w:hRule="atLeast"/>
        </w:trPr>
        <w:tc>
          <w:tcPr>
            <w:tcW w:w="3372" w:type="dxa"/>
          </w:tcPr>
          <w:p>
            <w:pPr>
              <w:pStyle w:val="TableParagraph"/>
              <w:spacing w:line="226" w:lineRule="exact"/>
              <w:ind w:left="50"/>
              <w:rPr>
                <w:sz w:val="20"/>
              </w:rPr>
            </w:pPr>
            <w:r>
              <w:rPr>
                <w:spacing w:val="-2"/>
                <w:sz w:val="20"/>
              </w:rPr>
              <w:t>Salaries</w:t>
            </w:r>
          </w:p>
        </w:tc>
        <w:tc>
          <w:tcPr>
            <w:tcW w:w="4006" w:type="dxa"/>
          </w:tcPr>
          <w:p>
            <w:pPr>
              <w:pStyle w:val="TableParagraph"/>
              <w:spacing w:line="226" w:lineRule="exact"/>
              <w:ind w:right="512"/>
              <w:jc w:val="right"/>
              <w:rPr>
                <w:sz w:val="20"/>
              </w:rPr>
            </w:pPr>
            <w:r>
              <w:rPr>
                <w:spacing w:val="-5"/>
                <w:sz w:val="20"/>
              </w:rPr>
              <w:t>160</w:t>
            </w:r>
          </w:p>
        </w:tc>
        <w:tc>
          <w:tcPr>
            <w:tcW w:w="1013" w:type="dxa"/>
          </w:tcPr>
          <w:p>
            <w:pPr>
              <w:pStyle w:val="TableParagraph"/>
              <w:spacing w:line="214" w:lineRule="exact" w:before="18"/>
              <w:ind w:left="-3" w:right="51"/>
              <w:jc w:val="right"/>
              <w:rPr>
                <w:sz w:val="20"/>
              </w:rPr>
            </w:pPr>
            <w:r>
              <w:rPr>
                <w:spacing w:val="-5"/>
                <w:sz w:val="20"/>
              </w:rPr>
              <w:t>160</w:t>
            </w:r>
          </w:p>
        </w:tc>
      </w:tr>
      <w:tr>
        <w:trPr>
          <w:trHeight w:val="232" w:hRule="atLeast"/>
        </w:trPr>
        <w:tc>
          <w:tcPr>
            <w:tcW w:w="3372" w:type="dxa"/>
          </w:tcPr>
          <w:p>
            <w:pPr>
              <w:pStyle w:val="TableParagraph"/>
              <w:spacing w:line="213" w:lineRule="exact"/>
              <w:ind w:left="50"/>
              <w:rPr>
                <w:sz w:val="20"/>
              </w:rPr>
            </w:pPr>
            <w:r>
              <w:rPr>
                <w:spacing w:val="-2"/>
                <w:sz w:val="20"/>
              </w:rPr>
              <w:t>Invoiced</w:t>
            </w:r>
          </w:p>
        </w:tc>
        <w:tc>
          <w:tcPr>
            <w:tcW w:w="4006" w:type="dxa"/>
          </w:tcPr>
          <w:p>
            <w:pPr>
              <w:pStyle w:val="TableParagraph"/>
              <w:spacing w:line="213" w:lineRule="exact"/>
              <w:ind w:right="510"/>
              <w:jc w:val="right"/>
              <w:rPr>
                <w:sz w:val="20"/>
              </w:rPr>
            </w:pPr>
            <w:r>
              <w:rPr>
                <w:spacing w:val="-10"/>
                <w:sz w:val="20"/>
              </w:rPr>
              <w:t>-</w:t>
            </w:r>
          </w:p>
        </w:tc>
        <w:tc>
          <w:tcPr>
            <w:tcW w:w="1013" w:type="dxa"/>
          </w:tcPr>
          <w:p>
            <w:pPr>
              <w:pStyle w:val="TableParagraph"/>
              <w:spacing w:line="213" w:lineRule="exact"/>
              <w:ind w:left="-3" w:right="50"/>
              <w:jc w:val="right"/>
              <w:rPr>
                <w:sz w:val="20"/>
              </w:rPr>
            </w:pPr>
            <w:r>
              <w:rPr>
                <w:spacing w:val="-10"/>
                <w:sz w:val="20"/>
              </w:rPr>
              <w:t>-</w:t>
            </w:r>
          </w:p>
        </w:tc>
      </w:tr>
      <w:tr>
        <w:trPr>
          <w:trHeight w:val="231" w:hRule="atLeast"/>
        </w:trPr>
        <w:tc>
          <w:tcPr>
            <w:tcW w:w="3372" w:type="dxa"/>
          </w:tcPr>
          <w:p>
            <w:pPr>
              <w:pStyle w:val="TableParagraph"/>
              <w:spacing w:line="211" w:lineRule="exact"/>
              <w:ind w:left="50"/>
              <w:rPr>
                <w:sz w:val="20"/>
              </w:rPr>
            </w:pPr>
            <w:r>
              <w:rPr>
                <w:spacing w:val="-2"/>
                <w:sz w:val="20"/>
              </w:rPr>
              <w:t>Pensions</w:t>
            </w:r>
          </w:p>
        </w:tc>
        <w:tc>
          <w:tcPr>
            <w:tcW w:w="4006" w:type="dxa"/>
          </w:tcPr>
          <w:p>
            <w:pPr>
              <w:pStyle w:val="TableParagraph"/>
              <w:spacing w:line="211" w:lineRule="exact"/>
              <w:ind w:right="512"/>
              <w:jc w:val="right"/>
              <w:rPr>
                <w:sz w:val="20"/>
              </w:rPr>
            </w:pPr>
            <w:r>
              <w:rPr>
                <w:spacing w:val="-5"/>
                <w:sz w:val="20"/>
              </w:rPr>
              <w:t>38</w:t>
            </w:r>
          </w:p>
        </w:tc>
        <w:tc>
          <w:tcPr>
            <w:tcW w:w="1013" w:type="dxa"/>
          </w:tcPr>
          <w:p>
            <w:pPr>
              <w:pStyle w:val="TableParagraph"/>
              <w:spacing w:line="210" w:lineRule="exact" w:before="1"/>
              <w:ind w:left="-3" w:right="51"/>
              <w:jc w:val="right"/>
              <w:rPr>
                <w:sz w:val="20"/>
              </w:rPr>
            </w:pPr>
            <w:r>
              <w:rPr>
                <w:spacing w:val="-5"/>
                <w:sz w:val="20"/>
              </w:rPr>
              <w:t>38</w:t>
            </w:r>
          </w:p>
        </w:tc>
      </w:tr>
    </w:tbl>
    <w:p>
      <w:pPr>
        <w:pStyle w:val="BodyText"/>
        <w:spacing w:before="2"/>
      </w:pPr>
      <w:r>
        <w:rPr/>
        <mc:AlternateContent>
          <mc:Choice Requires="wps">
            <w:drawing>
              <wp:anchor distT="0" distB="0" distL="0" distR="0" allowOverlap="1" layoutInCell="1" locked="0" behindDoc="1" simplePos="0" relativeHeight="487600640">
                <wp:simplePos x="0" y="0"/>
                <wp:positionH relativeFrom="page">
                  <wp:posOffset>4937759</wp:posOffset>
                </wp:positionH>
                <wp:positionV relativeFrom="paragraph">
                  <wp:posOffset>162781</wp:posOffset>
                </wp:positionV>
                <wp:extent cx="788035" cy="635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788035" cy="6350"/>
                        </a:xfrm>
                        <a:custGeom>
                          <a:avLst/>
                          <a:gdLst/>
                          <a:ahLst/>
                          <a:cxnLst/>
                          <a:rect l="l" t="t" r="r" b="b"/>
                          <a:pathLst>
                            <a:path w="788035" h="6350">
                              <a:moveTo>
                                <a:pt x="787908" y="0"/>
                              </a:moveTo>
                              <a:lnTo>
                                <a:pt x="0" y="0"/>
                              </a:lnTo>
                              <a:lnTo>
                                <a:pt x="0" y="6096"/>
                              </a:lnTo>
                              <a:lnTo>
                                <a:pt x="787908" y="6096"/>
                              </a:lnTo>
                              <a:lnTo>
                                <a:pt x="787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8.799988pt;margin-top:12.817461pt;width:62.04pt;height:.48pt;mso-position-horizontal-relative:page;mso-position-vertical-relative:paragraph;z-index:-15715840;mso-wrap-distance-left:0;mso-wrap-distance-right:0" id="docshape83"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01152">
                <wp:simplePos x="0" y="0"/>
                <wp:positionH relativeFrom="page">
                  <wp:posOffset>5900928</wp:posOffset>
                </wp:positionH>
                <wp:positionV relativeFrom="paragraph">
                  <wp:posOffset>162781</wp:posOffset>
                </wp:positionV>
                <wp:extent cx="760730" cy="635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760730" cy="6350"/>
                        </a:xfrm>
                        <a:custGeom>
                          <a:avLst/>
                          <a:gdLst/>
                          <a:ahLst/>
                          <a:cxnLst/>
                          <a:rect l="l" t="t" r="r" b="b"/>
                          <a:pathLst>
                            <a:path w="760730" h="6350">
                              <a:moveTo>
                                <a:pt x="760476" y="0"/>
                              </a:moveTo>
                              <a:lnTo>
                                <a:pt x="0" y="0"/>
                              </a:lnTo>
                              <a:lnTo>
                                <a:pt x="0" y="6096"/>
                              </a:lnTo>
                              <a:lnTo>
                                <a:pt x="760476" y="6096"/>
                              </a:lnTo>
                              <a:lnTo>
                                <a:pt x="760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4.640015pt;margin-top:12.817461pt;width:59.88pt;height:.48pt;mso-position-horizontal-relative:page;mso-position-vertical-relative:paragraph;z-index:-15715328;mso-wrap-distance-left:0;mso-wrap-distance-right:0" id="docshape84" filled="true" fillcolor="#000000" stroked="false">
                <v:fill type="solid"/>
                <w10:wrap type="topAndBottom"/>
              </v:rect>
            </w:pict>
          </mc:Fallback>
        </mc:AlternateContent>
      </w:r>
    </w:p>
    <w:p>
      <w:pPr>
        <w:pStyle w:val="BodyText"/>
        <w:tabs>
          <w:tab w:pos="7195" w:val="left" w:leader="none"/>
          <w:tab w:pos="8009" w:val="left" w:leader="none"/>
          <w:tab w:pos="8712" w:val="left" w:leader="none"/>
          <w:tab w:pos="9482" w:val="left" w:leader="none"/>
        </w:tabs>
        <w:ind w:left="1526"/>
      </w:pPr>
      <w:r>
        <w:rPr>
          <w:spacing w:val="-2"/>
        </w:rPr>
        <w:t>Total</w:t>
      </w:r>
      <w:r>
        <w:rPr>
          <w:spacing w:val="-12"/>
        </w:rPr>
        <w:t> </w:t>
      </w:r>
      <w:r>
        <w:rPr>
          <w:spacing w:val="-2"/>
        </w:rPr>
        <w:t>emoluments</w:t>
      </w:r>
      <w:r>
        <w:rPr/>
        <w:tab/>
      </w:r>
      <w:r>
        <w:rPr>
          <w:u w:val="double"/>
        </w:rPr>
        <w:tab/>
        <w:t>198</w:t>
      </w:r>
      <w:r>
        <w:rPr>
          <w:spacing w:val="40"/>
          <w:u w:val="double"/>
        </w:rPr>
        <w:t> </w:t>
      </w:r>
      <w:r>
        <w:rPr>
          <w:u w:val="none"/>
        </w:rPr>
        <w:tab/>
      </w:r>
      <w:r>
        <w:rPr>
          <w:u w:val="double"/>
        </w:rPr>
        <w:tab/>
      </w:r>
      <w:r>
        <w:rPr>
          <w:spacing w:val="-5"/>
          <w:u w:val="double"/>
        </w:rPr>
        <w:t>198</w:t>
      </w:r>
      <w:r>
        <w:rPr>
          <w:spacing w:val="80"/>
          <w:u w:val="double"/>
        </w:rPr>
        <w:t> </w:t>
      </w:r>
    </w:p>
    <w:p>
      <w:pPr>
        <w:pStyle w:val="BodyText"/>
        <w:spacing w:before="34"/>
      </w:pPr>
    </w:p>
    <w:tbl>
      <w:tblPr>
        <w:tblW w:w="0" w:type="auto"/>
        <w:jc w:val="left"/>
        <w:tblInd w:w="1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0"/>
        <w:gridCol w:w="2378"/>
        <w:gridCol w:w="1242"/>
        <w:gridCol w:w="1628"/>
        <w:gridCol w:w="1013"/>
      </w:tblGrid>
      <w:tr>
        <w:trPr>
          <w:trHeight w:val="633" w:hRule="atLeast"/>
        </w:trPr>
        <w:tc>
          <w:tcPr>
            <w:tcW w:w="2130" w:type="dxa"/>
            <w:vMerge w:val="restart"/>
          </w:tcPr>
          <w:p>
            <w:pPr>
              <w:pStyle w:val="TableParagraph"/>
              <w:rPr>
                <w:rFonts w:ascii="Times New Roman"/>
                <w:sz w:val="20"/>
              </w:rPr>
            </w:pPr>
          </w:p>
        </w:tc>
        <w:tc>
          <w:tcPr>
            <w:tcW w:w="2378" w:type="dxa"/>
          </w:tcPr>
          <w:p>
            <w:pPr>
              <w:pStyle w:val="TableParagraph"/>
              <w:spacing w:line="206" w:lineRule="exact" w:before="201"/>
              <w:ind w:left="1522" w:right="118" w:hanging="262"/>
              <w:rPr>
                <w:b/>
                <w:sz w:val="18"/>
              </w:rPr>
            </w:pPr>
            <w:r>
              <w:rPr>
                <w:b/>
                <w:spacing w:val="-2"/>
                <w:sz w:val="18"/>
              </w:rPr>
              <w:t>Accounting </w:t>
            </w:r>
            <w:r>
              <w:rPr>
                <w:b/>
                <w:sz w:val="18"/>
              </w:rPr>
              <w:t>Officer</w:t>
            </w:r>
            <w:r>
              <w:rPr>
                <w:b/>
                <w:spacing w:val="-3"/>
                <w:sz w:val="18"/>
              </w:rPr>
              <w:t> </w:t>
            </w:r>
            <w:r>
              <w:rPr>
                <w:b/>
                <w:spacing w:val="-10"/>
                <w:sz w:val="18"/>
              </w:rPr>
              <w:t>1</w:t>
            </w:r>
          </w:p>
        </w:tc>
        <w:tc>
          <w:tcPr>
            <w:tcW w:w="1242" w:type="dxa"/>
          </w:tcPr>
          <w:p>
            <w:pPr>
              <w:pStyle w:val="TableParagraph"/>
              <w:spacing w:line="206" w:lineRule="exact" w:before="201"/>
              <w:ind w:left="385" w:right="119" w:hanging="262"/>
              <w:rPr>
                <w:b/>
                <w:sz w:val="18"/>
              </w:rPr>
            </w:pPr>
            <w:r>
              <w:rPr>
                <w:b/>
                <w:spacing w:val="-2"/>
                <w:sz w:val="18"/>
              </w:rPr>
              <w:t>Accounting </w:t>
            </w:r>
            <w:r>
              <w:rPr>
                <w:b/>
                <w:sz w:val="18"/>
              </w:rPr>
              <w:t>Officer</w:t>
            </w:r>
            <w:r>
              <w:rPr>
                <w:b/>
                <w:spacing w:val="-3"/>
                <w:sz w:val="18"/>
              </w:rPr>
              <w:t> </w:t>
            </w:r>
            <w:r>
              <w:rPr>
                <w:b/>
                <w:spacing w:val="-10"/>
                <w:sz w:val="18"/>
              </w:rPr>
              <w:t>2</w:t>
            </w:r>
          </w:p>
        </w:tc>
        <w:tc>
          <w:tcPr>
            <w:tcW w:w="1628" w:type="dxa"/>
          </w:tcPr>
          <w:p>
            <w:pPr>
              <w:pStyle w:val="TableParagraph"/>
              <w:spacing w:line="242" w:lineRule="auto"/>
              <w:ind w:left="124" w:right="509" w:firstLine="388"/>
              <w:rPr>
                <w:b/>
                <w:sz w:val="18"/>
              </w:rPr>
            </w:pPr>
            <w:r>
              <w:rPr>
                <w:b/>
                <w:spacing w:val="-2"/>
                <w:sz w:val="18"/>
              </w:rPr>
              <w:t>Interim Accounting</w:t>
            </w:r>
          </w:p>
          <w:p>
            <w:pPr>
              <w:pStyle w:val="TableParagraph"/>
              <w:spacing w:line="201" w:lineRule="exact"/>
              <w:ind w:left="535"/>
              <w:rPr>
                <w:b/>
                <w:sz w:val="18"/>
              </w:rPr>
            </w:pPr>
            <w:r>
              <w:rPr>
                <w:b/>
                <w:spacing w:val="-2"/>
                <w:sz w:val="18"/>
              </w:rPr>
              <w:t>Officer</w:t>
            </w:r>
          </w:p>
        </w:tc>
        <w:tc>
          <w:tcPr>
            <w:tcW w:w="1013" w:type="dxa"/>
          </w:tcPr>
          <w:p>
            <w:pPr>
              <w:pStyle w:val="TableParagraph"/>
              <w:spacing w:line="206" w:lineRule="exact" w:before="201"/>
              <w:ind w:left="560" w:right="42" w:hanging="29"/>
              <w:rPr>
                <w:b/>
                <w:sz w:val="18"/>
              </w:rPr>
            </w:pPr>
            <w:r>
              <w:rPr>
                <w:b/>
                <w:spacing w:val="-2"/>
                <w:sz w:val="18"/>
              </w:rPr>
              <w:t>Total </w:t>
            </w:r>
            <w:r>
              <w:rPr>
                <w:b/>
                <w:spacing w:val="-4"/>
                <w:sz w:val="18"/>
              </w:rPr>
              <w:t>2022</w:t>
            </w:r>
          </w:p>
        </w:tc>
      </w:tr>
      <w:tr>
        <w:trPr>
          <w:trHeight w:val="221" w:hRule="atLeast"/>
        </w:trPr>
        <w:tc>
          <w:tcPr>
            <w:tcW w:w="2130" w:type="dxa"/>
            <w:vMerge/>
            <w:tcBorders>
              <w:top w:val="nil"/>
            </w:tcBorders>
          </w:tcPr>
          <w:p>
            <w:pPr>
              <w:rPr>
                <w:sz w:val="2"/>
                <w:szCs w:val="2"/>
              </w:rPr>
            </w:pPr>
          </w:p>
        </w:tc>
        <w:tc>
          <w:tcPr>
            <w:tcW w:w="2378" w:type="dxa"/>
          </w:tcPr>
          <w:p>
            <w:pPr>
              <w:pStyle w:val="TableParagraph"/>
              <w:spacing w:line="191" w:lineRule="exact" w:before="11"/>
              <w:ind w:right="121"/>
              <w:jc w:val="right"/>
              <w:rPr>
                <w:b/>
                <w:sz w:val="18"/>
              </w:rPr>
            </w:pPr>
            <w:r>
              <w:rPr>
                <w:b/>
                <w:spacing w:val="-2"/>
                <w:sz w:val="18"/>
              </w:rPr>
              <w:t>£’000</w:t>
            </w:r>
          </w:p>
        </w:tc>
        <w:tc>
          <w:tcPr>
            <w:tcW w:w="1242" w:type="dxa"/>
          </w:tcPr>
          <w:p>
            <w:pPr>
              <w:pStyle w:val="TableParagraph"/>
              <w:spacing w:line="191" w:lineRule="exact" w:before="11"/>
              <w:ind w:right="122"/>
              <w:jc w:val="right"/>
              <w:rPr>
                <w:b/>
                <w:sz w:val="18"/>
              </w:rPr>
            </w:pPr>
            <w:r>
              <w:rPr>
                <w:b/>
                <w:spacing w:val="-2"/>
                <w:sz w:val="18"/>
              </w:rPr>
              <w:t>£’000</w:t>
            </w:r>
          </w:p>
        </w:tc>
        <w:tc>
          <w:tcPr>
            <w:tcW w:w="1628" w:type="dxa"/>
          </w:tcPr>
          <w:p>
            <w:pPr>
              <w:pStyle w:val="TableParagraph"/>
              <w:spacing w:line="189" w:lineRule="exact"/>
              <w:ind w:right="507"/>
              <w:jc w:val="right"/>
              <w:rPr>
                <w:b/>
                <w:sz w:val="18"/>
              </w:rPr>
            </w:pPr>
            <w:r>
              <w:rPr>
                <w:b/>
                <w:spacing w:val="-2"/>
                <w:sz w:val="18"/>
              </w:rPr>
              <w:t>£’000</w:t>
            </w:r>
          </w:p>
        </w:tc>
        <w:tc>
          <w:tcPr>
            <w:tcW w:w="1013" w:type="dxa"/>
          </w:tcPr>
          <w:p>
            <w:pPr>
              <w:pStyle w:val="TableParagraph"/>
              <w:spacing w:line="191" w:lineRule="exact" w:before="11"/>
              <w:ind w:left="-3" w:right="46"/>
              <w:jc w:val="right"/>
              <w:rPr>
                <w:b/>
                <w:sz w:val="18"/>
              </w:rPr>
            </w:pPr>
            <w:r>
              <w:rPr>
                <w:b/>
                <w:spacing w:val="-2"/>
                <w:sz w:val="18"/>
              </w:rPr>
              <w:t>£’000</w:t>
            </w:r>
          </w:p>
        </w:tc>
      </w:tr>
      <w:tr>
        <w:trPr>
          <w:trHeight w:val="254" w:hRule="atLeast"/>
        </w:trPr>
        <w:tc>
          <w:tcPr>
            <w:tcW w:w="2130" w:type="dxa"/>
          </w:tcPr>
          <w:p>
            <w:pPr>
              <w:pStyle w:val="TableParagraph"/>
              <w:spacing w:line="226" w:lineRule="exact"/>
              <w:ind w:left="50"/>
              <w:rPr>
                <w:sz w:val="20"/>
              </w:rPr>
            </w:pPr>
            <w:r>
              <w:rPr>
                <w:spacing w:val="-2"/>
                <w:sz w:val="20"/>
              </w:rPr>
              <w:t>Salaries</w:t>
            </w:r>
          </w:p>
        </w:tc>
        <w:tc>
          <w:tcPr>
            <w:tcW w:w="2378" w:type="dxa"/>
          </w:tcPr>
          <w:p>
            <w:pPr>
              <w:pStyle w:val="TableParagraph"/>
              <w:spacing w:line="214" w:lineRule="exact" w:before="20"/>
              <w:ind w:right="123"/>
              <w:jc w:val="right"/>
              <w:rPr>
                <w:sz w:val="20"/>
              </w:rPr>
            </w:pPr>
            <w:r>
              <w:rPr>
                <w:spacing w:val="-10"/>
                <w:sz w:val="20"/>
              </w:rPr>
              <w:t>3</w:t>
            </w:r>
          </w:p>
        </w:tc>
        <w:tc>
          <w:tcPr>
            <w:tcW w:w="1242" w:type="dxa"/>
          </w:tcPr>
          <w:p>
            <w:pPr>
              <w:pStyle w:val="TableParagraph"/>
              <w:spacing w:line="214" w:lineRule="exact" w:before="20"/>
              <w:ind w:right="127"/>
              <w:jc w:val="right"/>
              <w:rPr>
                <w:sz w:val="20"/>
              </w:rPr>
            </w:pPr>
            <w:r>
              <w:rPr>
                <w:spacing w:val="-5"/>
                <w:sz w:val="20"/>
              </w:rPr>
              <w:t>53</w:t>
            </w:r>
          </w:p>
        </w:tc>
        <w:tc>
          <w:tcPr>
            <w:tcW w:w="1628" w:type="dxa"/>
          </w:tcPr>
          <w:p>
            <w:pPr>
              <w:pStyle w:val="TableParagraph"/>
              <w:spacing w:line="226" w:lineRule="exact"/>
              <w:ind w:right="512"/>
              <w:jc w:val="right"/>
              <w:rPr>
                <w:sz w:val="20"/>
              </w:rPr>
            </w:pPr>
            <w:r>
              <w:rPr>
                <w:spacing w:val="-5"/>
                <w:sz w:val="20"/>
              </w:rPr>
              <w:t>108</w:t>
            </w:r>
          </w:p>
        </w:tc>
        <w:tc>
          <w:tcPr>
            <w:tcW w:w="1013" w:type="dxa"/>
          </w:tcPr>
          <w:p>
            <w:pPr>
              <w:pStyle w:val="TableParagraph"/>
              <w:spacing w:line="214" w:lineRule="exact" w:before="20"/>
              <w:ind w:left="-3" w:right="51"/>
              <w:jc w:val="right"/>
              <w:rPr>
                <w:sz w:val="20"/>
              </w:rPr>
            </w:pPr>
            <w:r>
              <w:rPr>
                <w:spacing w:val="-5"/>
                <w:sz w:val="20"/>
              </w:rPr>
              <w:t>164</w:t>
            </w:r>
          </w:p>
        </w:tc>
      </w:tr>
      <w:tr>
        <w:trPr>
          <w:trHeight w:val="232" w:hRule="atLeast"/>
        </w:trPr>
        <w:tc>
          <w:tcPr>
            <w:tcW w:w="2130" w:type="dxa"/>
          </w:tcPr>
          <w:p>
            <w:pPr>
              <w:pStyle w:val="TableParagraph"/>
              <w:spacing w:line="213" w:lineRule="exact"/>
              <w:ind w:left="50"/>
              <w:rPr>
                <w:sz w:val="20"/>
              </w:rPr>
            </w:pPr>
            <w:r>
              <w:rPr>
                <w:spacing w:val="-2"/>
                <w:sz w:val="20"/>
              </w:rPr>
              <w:t>Invoiced</w:t>
            </w:r>
          </w:p>
        </w:tc>
        <w:tc>
          <w:tcPr>
            <w:tcW w:w="2378" w:type="dxa"/>
          </w:tcPr>
          <w:p>
            <w:pPr>
              <w:pStyle w:val="TableParagraph"/>
              <w:spacing w:line="213" w:lineRule="exact"/>
              <w:ind w:right="124"/>
              <w:jc w:val="right"/>
              <w:rPr>
                <w:sz w:val="20"/>
              </w:rPr>
            </w:pPr>
            <w:r>
              <w:rPr>
                <w:spacing w:val="-10"/>
                <w:sz w:val="20"/>
              </w:rPr>
              <w:t>-</w:t>
            </w:r>
          </w:p>
        </w:tc>
        <w:tc>
          <w:tcPr>
            <w:tcW w:w="1242" w:type="dxa"/>
          </w:tcPr>
          <w:p>
            <w:pPr>
              <w:pStyle w:val="TableParagraph"/>
              <w:spacing w:line="213" w:lineRule="exact"/>
              <w:ind w:right="126"/>
              <w:jc w:val="right"/>
              <w:rPr>
                <w:sz w:val="20"/>
              </w:rPr>
            </w:pPr>
            <w:r>
              <w:rPr>
                <w:spacing w:val="-10"/>
                <w:sz w:val="20"/>
              </w:rPr>
              <w:t>-</w:t>
            </w:r>
          </w:p>
        </w:tc>
        <w:tc>
          <w:tcPr>
            <w:tcW w:w="1628" w:type="dxa"/>
          </w:tcPr>
          <w:p>
            <w:pPr>
              <w:pStyle w:val="TableParagraph"/>
              <w:spacing w:line="213" w:lineRule="exact"/>
              <w:ind w:right="510"/>
              <w:jc w:val="right"/>
              <w:rPr>
                <w:sz w:val="20"/>
              </w:rPr>
            </w:pPr>
            <w:r>
              <w:rPr>
                <w:spacing w:val="-10"/>
                <w:sz w:val="20"/>
              </w:rPr>
              <w:t>-</w:t>
            </w:r>
          </w:p>
        </w:tc>
        <w:tc>
          <w:tcPr>
            <w:tcW w:w="1013" w:type="dxa"/>
          </w:tcPr>
          <w:p>
            <w:pPr>
              <w:pStyle w:val="TableParagraph"/>
              <w:spacing w:line="213" w:lineRule="exact"/>
              <w:ind w:left="-3" w:right="50"/>
              <w:jc w:val="right"/>
              <w:rPr>
                <w:sz w:val="20"/>
              </w:rPr>
            </w:pPr>
            <w:r>
              <w:rPr>
                <w:spacing w:val="-10"/>
                <w:sz w:val="20"/>
              </w:rPr>
              <w:t>-</w:t>
            </w:r>
          </w:p>
        </w:tc>
      </w:tr>
      <w:tr>
        <w:trPr>
          <w:trHeight w:val="228" w:hRule="atLeast"/>
        </w:trPr>
        <w:tc>
          <w:tcPr>
            <w:tcW w:w="2130" w:type="dxa"/>
          </w:tcPr>
          <w:p>
            <w:pPr>
              <w:pStyle w:val="TableParagraph"/>
              <w:spacing w:line="209" w:lineRule="exact"/>
              <w:ind w:left="50"/>
              <w:rPr>
                <w:sz w:val="20"/>
              </w:rPr>
            </w:pPr>
            <w:r>
              <w:rPr>
                <w:spacing w:val="-2"/>
                <w:sz w:val="20"/>
              </w:rPr>
              <w:t>Pensions</w:t>
            </w:r>
          </w:p>
        </w:tc>
        <w:tc>
          <w:tcPr>
            <w:tcW w:w="2378" w:type="dxa"/>
          </w:tcPr>
          <w:p>
            <w:pPr>
              <w:pStyle w:val="TableParagraph"/>
              <w:rPr>
                <w:rFonts w:ascii="Times New Roman"/>
                <w:sz w:val="16"/>
              </w:rPr>
            </w:pPr>
          </w:p>
        </w:tc>
        <w:tc>
          <w:tcPr>
            <w:tcW w:w="1242" w:type="dxa"/>
          </w:tcPr>
          <w:p>
            <w:pPr>
              <w:pStyle w:val="TableParagraph"/>
              <w:spacing w:line="209" w:lineRule="exact"/>
              <w:ind w:right="127"/>
              <w:jc w:val="right"/>
              <w:rPr>
                <w:sz w:val="20"/>
              </w:rPr>
            </w:pPr>
            <w:r>
              <w:rPr>
                <w:spacing w:val="-5"/>
                <w:sz w:val="20"/>
              </w:rPr>
              <w:t>13</w:t>
            </w:r>
          </w:p>
        </w:tc>
        <w:tc>
          <w:tcPr>
            <w:tcW w:w="1628" w:type="dxa"/>
          </w:tcPr>
          <w:p>
            <w:pPr>
              <w:pStyle w:val="TableParagraph"/>
              <w:spacing w:line="209" w:lineRule="exact"/>
              <w:ind w:right="510"/>
              <w:jc w:val="right"/>
              <w:rPr>
                <w:sz w:val="20"/>
              </w:rPr>
            </w:pPr>
            <w:r>
              <w:rPr>
                <w:spacing w:val="-10"/>
                <w:sz w:val="20"/>
              </w:rPr>
              <w:t>-</w:t>
            </w:r>
          </w:p>
        </w:tc>
        <w:tc>
          <w:tcPr>
            <w:tcW w:w="1013" w:type="dxa"/>
          </w:tcPr>
          <w:p>
            <w:pPr>
              <w:pStyle w:val="TableParagraph"/>
              <w:spacing w:line="209" w:lineRule="exact"/>
              <w:ind w:left="-3" w:right="51"/>
              <w:jc w:val="right"/>
              <w:rPr>
                <w:sz w:val="20"/>
              </w:rPr>
            </w:pPr>
            <w:r>
              <w:rPr>
                <w:spacing w:val="-5"/>
                <w:sz w:val="20"/>
              </w:rPr>
              <w:t>13</w:t>
            </w:r>
          </w:p>
        </w:tc>
      </w:tr>
    </w:tbl>
    <w:p>
      <w:pPr>
        <w:pStyle w:val="BodyText"/>
        <w:spacing w:before="1"/>
      </w:pPr>
      <w:r>
        <w:rPr/>
        <mc:AlternateContent>
          <mc:Choice Requires="wps">
            <w:drawing>
              <wp:anchor distT="0" distB="0" distL="0" distR="0" allowOverlap="1" layoutInCell="1" locked="0" behindDoc="1" simplePos="0" relativeHeight="487601664">
                <wp:simplePos x="0" y="0"/>
                <wp:positionH relativeFrom="page">
                  <wp:posOffset>3361944</wp:posOffset>
                </wp:positionH>
                <wp:positionV relativeFrom="paragraph">
                  <wp:posOffset>162413</wp:posOffset>
                </wp:positionV>
                <wp:extent cx="2364105" cy="635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2364105" cy="6350"/>
                        </a:xfrm>
                        <a:custGeom>
                          <a:avLst/>
                          <a:gdLst/>
                          <a:ahLst/>
                          <a:cxnLst/>
                          <a:rect l="l" t="t" r="r" b="b"/>
                          <a:pathLst>
                            <a:path w="2364105" h="6350">
                              <a:moveTo>
                                <a:pt x="2363724" y="0"/>
                              </a:moveTo>
                              <a:lnTo>
                                <a:pt x="2363724" y="0"/>
                              </a:lnTo>
                              <a:lnTo>
                                <a:pt x="0" y="0"/>
                              </a:lnTo>
                              <a:lnTo>
                                <a:pt x="0" y="6083"/>
                              </a:lnTo>
                              <a:lnTo>
                                <a:pt x="2363724" y="6083"/>
                              </a:lnTo>
                              <a:lnTo>
                                <a:pt x="2363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4.720001pt;margin-top:12.788449pt;width:186.120009pt;height:.479pt;mso-position-horizontal-relative:page;mso-position-vertical-relative:paragraph;z-index:-15714816;mso-wrap-distance-left:0;mso-wrap-distance-right:0" id="docshape85"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02176">
                <wp:simplePos x="0" y="0"/>
                <wp:positionH relativeFrom="page">
                  <wp:posOffset>5900928</wp:posOffset>
                </wp:positionH>
                <wp:positionV relativeFrom="paragraph">
                  <wp:posOffset>162400</wp:posOffset>
                </wp:positionV>
                <wp:extent cx="760730" cy="635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760730" cy="6350"/>
                        </a:xfrm>
                        <a:custGeom>
                          <a:avLst/>
                          <a:gdLst/>
                          <a:ahLst/>
                          <a:cxnLst/>
                          <a:rect l="l" t="t" r="r" b="b"/>
                          <a:pathLst>
                            <a:path w="760730" h="6350">
                              <a:moveTo>
                                <a:pt x="760476" y="0"/>
                              </a:moveTo>
                              <a:lnTo>
                                <a:pt x="0" y="0"/>
                              </a:lnTo>
                              <a:lnTo>
                                <a:pt x="0" y="6095"/>
                              </a:lnTo>
                              <a:lnTo>
                                <a:pt x="760476" y="6095"/>
                              </a:lnTo>
                              <a:lnTo>
                                <a:pt x="760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4.640015pt;margin-top:12.787461pt;width:59.88pt;height:.48pt;mso-position-horizontal-relative:page;mso-position-vertical-relative:paragraph;z-index:-15714304;mso-wrap-distance-left:0;mso-wrap-distance-right:0" id="docshape86" filled="true" fillcolor="#000000" stroked="false">
                <v:fill type="solid"/>
                <w10:wrap type="topAndBottom"/>
              </v:rect>
            </w:pict>
          </mc:Fallback>
        </mc:AlternateContent>
      </w:r>
    </w:p>
    <w:p>
      <w:pPr>
        <w:pStyle w:val="BodyText"/>
        <w:tabs>
          <w:tab w:pos="4713" w:val="left" w:leader="none"/>
          <w:tab w:pos="5748" w:val="left" w:leader="none"/>
          <w:tab w:pos="6876" w:val="left" w:leader="none"/>
          <w:tab w:pos="8009" w:val="left" w:leader="none"/>
          <w:tab w:pos="8712" w:val="left" w:leader="none"/>
          <w:tab w:pos="9482" w:val="left" w:leader="none"/>
        </w:tabs>
        <w:ind w:left="1526"/>
      </w:pPr>
      <w:r>
        <w:rPr>
          <w:spacing w:val="-2"/>
        </w:rPr>
        <w:t>Total</w:t>
      </w:r>
      <w:r>
        <w:rPr>
          <w:spacing w:val="-12"/>
        </w:rPr>
        <w:t> </w:t>
      </w:r>
      <w:r>
        <w:rPr>
          <w:spacing w:val="-2"/>
        </w:rPr>
        <w:t>emoluments</w:t>
      </w:r>
      <w:r>
        <w:rPr/>
        <w:tab/>
      </w:r>
      <w:r>
        <w:rPr>
          <w:u w:val="double"/>
        </w:rPr>
        <w:tab/>
      </w:r>
      <w:r>
        <w:rPr>
          <w:spacing w:val="-10"/>
          <w:u w:val="double"/>
        </w:rPr>
        <w:t>3</w:t>
      </w:r>
      <w:r>
        <w:rPr>
          <w:u w:val="double"/>
        </w:rPr>
        <w:tab/>
      </w:r>
      <w:r>
        <w:rPr>
          <w:spacing w:val="-5"/>
          <w:u w:val="double"/>
        </w:rPr>
        <w:t>66</w:t>
      </w:r>
      <w:r>
        <w:rPr>
          <w:u w:val="double"/>
        </w:rPr>
        <w:tab/>
        <w:t>108</w:t>
      </w:r>
      <w:r>
        <w:rPr>
          <w:spacing w:val="40"/>
          <w:u w:val="double"/>
        </w:rPr>
        <w:t> </w:t>
      </w:r>
      <w:r>
        <w:rPr>
          <w:u w:val="none"/>
        </w:rPr>
        <w:tab/>
      </w:r>
      <w:r>
        <w:rPr>
          <w:u w:val="double"/>
        </w:rPr>
        <w:tab/>
      </w:r>
      <w:r>
        <w:rPr>
          <w:spacing w:val="-5"/>
          <w:u w:val="double"/>
        </w:rPr>
        <w:t>177</w:t>
      </w:r>
      <w:r>
        <w:rPr>
          <w:spacing w:val="80"/>
          <w:u w:val="double"/>
        </w:rPr>
        <w:t> </w:t>
      </w:r>
    </w:p>
    <w:p>
      <w:pPr>
        <w:pStyle w:val="BodyText"/>
        <w:spacing w:before="29"/>
      </w:pPr>
    </w:p>
    <w:p>
      <w:pPr>
        <w:pStyle w:val="BodyText"/>
        <w:ind w:left="852" w:right="708"/>
        <w:jc w:val="both"/>
      </w:pPr>
      <w:r>
        <w:rPr>
          <w:color w:val="0D0D0D"/>
        </w:rPr>
        <w:t>The</w:t>
      </w:r>
      <w:r>
        <w:rPr>
          <w:color w:val="0D0D0D"/>
          <w:spacing w:val="-3"/>
        </w:rPr>
        <w:t> </w:t>
      </w:r>
      <w:r>
        <w:rPr>
          <w:color w:val="0D0D0D"/>
        </w:rPr>
        <w:t>remuneration</w:t>
      </w:r>
      <w:r>
        <w:rPr>
          <w:color w:val="0D0D0D"/>
          <w:spacing w:val="-1"/>
        </w:rPr>
        <w:t> </w:t>
      </w:r>
      <w:r>
        <w:rPr>
          <w:color w:val="0D0D0D"/>
        </w:rPr>
        <w:t>of</w:t>
      </w:r>
      <w:r>
        <w:rPr>
          <w:color w:val="0D0D0D"/>
          <w:spacing w:val="-1"/>
        </w:rPr>
        <w:t> </w:t>
      </w:r>
      <w:r>
        <w:rPr>
          <w:color w:val="0D0D0D"/>
        </w:rPr>
        <w:t>the</w:t>
      </w:r>
      <w:r>
        <w:rPr>
          <w:color w:val="0D0D0D"/>
          <w:spacing w:val="-1"/>
        </w:rPr>
        <w:t> </w:t>
      </w:r>
      <w:r>
        <w:rPr>
          <w:color w:val="0D0D0D"/>
        </w:rPr>
        <w:t>accounting</w:t>
      </w:r>
      <w:r>
        <w:rPr>
          <w:color w:val="0D0D0D"/>
          <w:spacing w:val="-1"/>
        </w:rPr>
        <w:t> </w:t>
      </w:r>
      <w:r>
        <w:rPr>
          <w:color w:val="0D0D0D"/>
        </w:rPr>
        <w:t>officers</w:t>
      </w:r>
      <w:r>
        <w:rPr>
          <w:color w:val="0D0D0D"/>
          <w:spacing w:val="-2"/>
        </w:rPr>
        <w:t> </w:t>
      </w:r>
      <w:r>
        <w:rPr>
          <w:color w:val="0D0D0D"/>
        </w:rPr>
        <w:t>for</w:t>
      </w:r>
      <w:r>
        <w:rPr>
          <w:color w:val="0D0D0D"/>
          <w:spacing w:val="-2"/>
        </w:rPr>
        <w:t> </w:t>
      </w:r>
      <w:r>
        <w:rPr>
          <w:color w:val="0D0D0D"/>
        </w:rPr>
        <w:t>the</w:t>
      </w:r>
      <w:r>
        <w:rPr>
          <w:color w:val="0D0D0D"/>
          <w:spacing w:val="-1"/>
        </w:rPr>
        <w:t> </w:t>
      </w:r>
      <w:r>
        <w:rPr>
          <w:color w:val="0D0D0D"/>
        </w:rPr>
        <w:t>financial</w:t>
      </w:r>
      <w:r>
        <w:rPr>
          <w:color w:val="0D0D0D"/>
          <w:spacing w:val="-4"/>
        </w:rPr>
        <w:t> </w:t>
      </w:r>
      <w:r>
        <w:rPr>
          <w:color w:val="0D0D0D"/>
        </w:rPr>
        <w:t>year</w:t>
      </w:r>
      <w:r>
        <w:rPr>
          <w:color w:val="0D0D0D"/>
          <w:spacing w:val="-2"/>
        </w:rPr>
        <w:t> </w:t>
      </w:r>
      <w:r>
        <w:rPr>
          <w:color w:val="0D0D0D"/>
        </w:rPr>
        <w:t>ended</w:t>
      </w:r>
      <w:r>
        <w:rPr>
          <w:color w:val="0D0D0D"/>
          <w:spacing w:val="-1"/>
        </w:rPr>
        <w:t> </w:t>
      </w:r>
      <w:r>
        <w:rPr>
          <w:color w:val="0D0D0D"/>
        </w:rPr>
        <w:t>31</w:t>
      </w:r>
      <w:r>
        <w:rPr>
          <w:color w:val="0D0D0D"/>
          <w:spacing w:val="-3"/>
        </w:rPr>
        <w:t> </w:t>
      </w:r>
      <w:r>
        <w:rPr>
          <w:color w:val="0D0D0D"/>
        </w:rPr>
        <w:t>July</w:t>
      </w:r>
      <w:r>
        <w:rPr>
          <w:color w:val="0D0D0D"/>
          <w:spacing w:val="-2"/>
        </w:rPr>
        <w:t> </w:t>
      </w:r>
      <w:r>
        <w:rPr>
          <w:color w:val="0D0D0D"/>
        </w:rPr>
        <w:t>2023</w:t>
      </w:r>
      <w:r>
        <w:rPr>
          <w:color w:val="0D0D0D"/>
          <w:spacing w:val="-1"/>
        </w:rPr>
        <w:t> </w:t>
      </w:r>
      <w:r>
        <w:rPr>
          <w:color w:val="0D0D0D"/>
        </w:rPr>
        <w:t>were</w:t>
      </w:r>
      <w:r>
        <w:rPr>
          <w:color w:val="0D0D0D"/>
          <w:spacing w:val="-1"/>
        </w:rPr>
        <w:t> </w:t>
      </w:r>
      <w:r>
        <w:rPr>
          <w:color w:val="0D0D0D"/>
        </w:rPr>
        <w:t>determined by the College’s Remuneration Committee. The Accounting Officer was not involved in setting their remuneration.</w:t>
      </w:r>
      <w:r>
        <w:rPr>
          <w:color w:val="0D0D0D"/>
          <w:spacing w:val="-4"/>
        </w:rPr>
        <w:t> </w:t>
      </w:r>
      <w:r>
        <w:rPr>
          <w:color w:val="0D0D0D"/>
        </w:rPr>
        <w:t>The</w:t>
      </w:r>
      <w:r>
        <w:rPr>
          <w:color w:val="0D0D0D"/>
          <w:spacing w:val="-4"/>
        </w:rPr>
        <w:t> </w:t>
      </w:r>
      <w:r>
        <w:rPr>
          <w:color w:val="0D0D0D"/>
        </w:rPr>
        <w:t>factors</w:t>
      </w:r>
      <w:r>
        <w:rPr>
          <w:color w:val="0D0D0D"/>
          <w:spacing w:val="-3"/>
        </w:rPr>
        <w:t> </w:t>
      </w:r>
      <w:r>
        <w:rPr>
          <w:color w:val="0D0D0D"/>
        </w:rPr>
        <w:t>taken</w:t>
      </w:r>
      <w:r>
        <w:rPr>
          <w:color w:val="0D0D0D"/>
          <w:spacing w:val="-4"/>
        </w:rPr>
        <w:t> </w:t>
      </w:r>
      <w:r>
        <w:rPr>
          <w:color w:val="0D0D0D"/>
        </w:rPr>
        <w:t>into</w:t>
      </w:r>
      <w:r>
        <w:rPr>
          <w:color w:val="0D0D0D"/>
          <w:spacing w:val="-2"/>
        </w:rPr>
        <w:t> </w:t>
      </w:r>
      <w:r>
        <w:rPr>
          <w:color w:val="0D0D0D"/>
        </w:rPr>
        <w:t>account</w:t>
      </w:r>
      <w:r>
        <w:rPr>
          <w:color w:val="0D0D0D"/>
          <w:spacing w:val="-2"/>
        </w:rPr>
        <w:t> </w:t>
      </w:r>
      <w:r>
        <w:rPr>
          <w:color w:val="0D0D0D"/>
        </w:rPr>
        <w:t>by</w:t>
      </w:r>
      <w:r>
        <w:rPr>
          <w:color w:val="0D0D0D"/>
          <w:spacing w:val="-3"/>
        </w:rPr>
        <w:t> </w:t>
      </w:r>
      <w:r>
        <w:rPr>
          <w:color w:val="0D0D0D"/>
        </w:rPr>
        <w:t>the</w:t>
      </w:r>
      <w:r>
        <w:rPr>
          <w:color w:val="0D0D0D"/>
          <w:spacing w:val="-2"/>
        </w:rPr>
        <w:t> </w:t>
      </w:r>
      <w:r>
        <w:rPr>
          <w:color w:val="0D0D0D"/>
        </w:rPr>
        <w:t>Committee</w:t>
      </w:r>
      <w:r>
        <w:rPr>
          <w:color w:val="0D0D0D"/>
          <w:spacing w:val="-4"/>
        </w:rPr>
        <w:t> </w:t>
      </w:r>
      <w:r>
        <w:rPr>
          <w:color w:val="0D0D0D"/>
        </w:rPr>
        <w:t>in</w:t>
      </w:r>
      <w:r>
        <w:rPr>
          <w:color w:val="0D0D0D"/>
          <w:spacing w:val="-4"/>
        </w:rPr>
        <w:t> </w:t>
      </w:r>
      <w:r>
        <w:rPr>
          <w:color w:val="0D0D0D"/>
        </w:rPr>
        <w:t>determining</w:t>
      </w:r>
      <w:r>
        <w:rPr>
          <w:color w:val="0D0D0D"/>
          <w:spacing w:val="-2"/>
        </w:rPr>
        <w:t> </w:t>
      </w:r>
      <w:r>
        <w:rPr>
          <w:color w:val="0D0D0D"/>
        </w:rPr>
        <w:t>the</w:t>
      </w:r>
      <w:r>
        <w:rPr>
          <w:color w:val="0D0D0D"/>
          <w:spacing w:val="-4"/>
        </w:rPr>
        <w:t> </w:t>
      </w:r>
      <w:r>
        <w:rPr>
          <w:color w:val="0D0D0D"/>
        </w:rPr>
        <w:t>Accounting</w:t>
      </w:r>
      <w:r>
        <w:rPr>
          <w:color w:val="0D0D0D"/>
          <w:spacing w:val="-4"/>
        </w:rPr>
        <w:t> </w:t>
      </w:r>
      <w:r>
        <w:rPr>
          <w:color w:val="0D0D0D"/>
        </w:rPr>
        <w:t>Officer’s remuneration for the year to 31 July 2023 included: AoC Benchmarking data, together with the current and anticipated turnover for the College and current financial position.</w:t>
      </w:r>
    </w:p>
    <w:p>
      <w:pPr>
        <w:pStyle w:val="BodyText"/>
      </w:pPr>
    </w:p>
    <w:p>
      <w:pPr>
        <w:pStyle w:val="BodyText"/>
        <w:spacing w:before="1"/>
        <w:ind w:left="852" w:right="708"/>
        <w:jc w:val="both"/>
      </w:pPr>
      <w:r>
        <w:rPr>
          <w:color w:val="0D0D0D"/>
        </w:rPr>
        <w:t>A similar approach was used to determine the remuneration of other key management personnel. Factors taken into account included consideration of the AoC benchmarking data, respective portfolio size/responsibility and turnover of the College.</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numPr>
          <w:ilvl w:val="0"/>
          <w:numId w:val="15"/>
        </w:numPr>
        <w:tabs>
          <w:tab w:pos="852" w:val="left" w:leader="none"/>
        </w:tabs>
        <w:spacing w:line="240" w:lineRule="auto" w:before="0" w:after="0"/>
        <w:ind w:left="852" w:right="703" w:hanging="428"/>
        <w:jc w:val="left"/>
      </w:pPr>
      <w:r>
        <w:rPr/>
        <w:t>Staff</w:t>
      </w:r>
      <w:r>
        <w:rPr>
          <w:spacing w:val="80"/>
        </w:rPr>
        <w:t> </w:t>
      </w:r>
      <w:r>
        <w:rPr/>
        <w:t>costs</w:t>
      </w:r>
      <w:r>
        <w:rPr>
          <w:spacing w:val="80"/>
        </w:rPr>
        <w:t> </w:t>
      </w:r>
      <w:r>
        <w:rPr/>
        <w:t>and</w:t>
      </w:r>
      <w:r>
        <w:rPr>
          <w:spacing w:val="80"/>
        </w:rPr>
        <w:t> </w:t>
      </w:r>
      <w:r>
        <w:rPr/>
        <w:t>key</w:t>
      </w:r>
      <w:r>
        <w:rPr>
          <w:spacing w:val="79"/>
        </w:rPr>
        <w:t> </w:t>
      </w:r>
      <w:r>
        <w:rPr/>
        <w:t>management</w:t>
      </w:r>
      <w:r>
        <w:rPr>
          <w:spacing w:val="80"/>
        </w:rPr>
        <w:t> </w:t>
      </w:r>
      <w:r>
        <w:rPr/>
        <w:t>personnel</w:t>
      </w:r>
      <w:r>
        <w:rPr>
          <w:spacing w:val="80"/>
        </w:rPr>
        <w:t> </w:t>
      </w:r>
      <w:r>
        <w:rPr/>
        <w:t>remuneration</w:t>
      </w:r>
      <w:r>
        <w:rPr>
          <w:spacing w:val="80"/>
        </w:rPr>
        <w:t> </w:t>
      </w:r>
      <w:r>
        <w:rPr/>
        <w:t>–</w:t>
      </w:r>
      <w:r>
        <w:rPr>
          <w:spacing w:val="79"/>
        </w:rPr>
        <w:t> </w:t>
      </w:r>
      <w:r>
        <w:rPr/>
        <w:t>Group</w:t>
      </w:r>
      <w:r>
        <w:rPr>
          <w:spacing w:val="80"/>
        </w:rPr>
        <w:t> </w:t>
      </w:r>
      <w:r>
        <w:rPr/>
        <w:t>and</w:t>
      </w:r>
      <w:r>
        <w:rPr>
          <w:spacing w:val="80"/>
        </w:rPr>
        <w:t> </w:t>
      </w:r>
      <w:r>
        <w:rPr/>
        <w:t>College </w:t>
      </w:r>
      <w:r>
        <w:rPr>
          <w:spacing w:val="-2"/>
        </w:rPr>
        <w:t>(continued)</w:t>
      </w:r>
    </w:p>
    <w:p>
      <w:pPr>
        <w:pStyle w:val="BodyText"/>
        <w:spacing w:before="230"/>
        <w:ind w:left="852" w:right="706"/>
        <w:jc w:val="both"/>
      </w:pPr>
      <w:r>
        <w:rPr/>
        <w:t>The relationship between the accounting officer’s emoluments, expressed as a multiple of all other employees</w:t>
      </w:r>
      <w:r>
        <w:rPr>
          <w:spacing w:val="-5"/>
        </w:rPr>
        <w:t> </w:t>
      </w:r>
      <w:r>
        <w:rPr/>
        <w:t>based</w:t>
      </w:r>
      <w:r>
        <w:rPr>
          <w:spacing w:val="-7"/>
        </w:rPr>
        <w:t> </w:t>
      </w:r>
      <w:r>
        <w:rPr/>
        <w:t>on</w:t>
      </w:r>
      <w:r>
        <w:rPr>
          <w:spacing w:val="-7"/>
        </w:rPr>
        <w:t> </w:t>
      </w:r>
      <w:r>
        <w:rPr/>
        <w:t>full-time</w:t>
      </w:r>
      <w:r>
        <w:rPr>
          <w:spacing w:val="-7"/>
        </w:rPr>
        <w:t> </w:t>
      </w:r>
      <w:r>
        <w:rPr/>
        <w:t>equivalents,</w:t>
      </w:r>
      <w:r>
        <w:rPr>
          <w:spacing w:val="-6"/>
        </w:rPr>
        <w:t> </w:t>
      </w:r>
      <w:r>
        <w:rPr/>
        <w:t>is</w:t>
      </w:r>
      <w:r>
        <w:rPr>
          <w:spacing w:val="-5"/>
        </w:rPr>
        <w:t> </w:t>
      </w:r>
      <w:r>
        <w:rPr/>
        <w:t>set</w:t>
      </w:r>
      <w:r>
        <w:rPr>
          <w:spacing w:val="-6"/>
        </w:rPr>
        <w:t> </w:t>
      </w:r>
      <w:r>
        <w:rPr/>
        <w:t>out</w:t>
      </w:r>
      <w:r>
        <w:rPr>
          <w:spacing w:val="-4"/>
        </w:rPr>
        <w:t> </w:t>
      </w:r>
      <w:r>
        <w:rPr/>
        <w:t>below</w:t>
      </w:r>
      <w:r>
        <w:rPr>
          <w:spacing w:val="-6"/>
        </w:rPr>
        <w:t> </w:t>
      </w:r>
      <w:r>
        <w:rPr/>
        <w:t>for</w:t>
      </w:r>
      <w:r>
        <w:rPr>
          <w:spacing w:val="-5"/>
        </w:rPr>
        <w:t> </w:t>
      </w:r>
      <w:r>
        <w:rPr/>
        <w:t>both</w:t>
      </w:r>
      <w:r>
        <w:rPr>
          <w:spacing w:val="-7"/>
        </w:rPr>
        <w:t> </w:t>
      </w:r>
      <w:r>
        <w:rPr/>
        <w:t>basic</w:t>
      </w:r>
      <w:r>
        <w:rPr>
          <w:spacing w:val="-5"/>
        </w:rPr>
        <w:t> </w:t>
      </w:r>
      <w:r>
        <w:rPr/>
        <w:t>salary</w:t>
      </w:r>
      <w:r>
        <w:rPr>
          <w:spacing w:val="-5"/>
        </w:rPr>
        <w:t> </w:t>
      </w:r>
      <w:r>
        <w:rPr/>
        <w:t>and</w:t>
      </w:r>
      <w:r>
        <w:rPr>
          <w:spacing w:val="-7"/>
        </w:rPr>
        <w:t> </w:t>
      </w:r>
      <w:r>
        <w:rPr/>
        <w:t>total</w:t>
      </w:r>
      <w:r>
        <w:rPr>
          <w:spacing w:val="-7"/>
        </w:rPr>
        <w:t> </w:t>
      </w:r>
      <w:r>
        <w:rPr/>
        <w:t>remuneration.</w:t>
      </w:r>
    </w:p>
    <w:p>
      <w:pPr>
        <w:pStyle w:val="BodyText"/>
        <w:spacing w:before="6"/>
      </w:pPr>
    </w:p>
    <w:tbl>
      <w:tblPr>
        <w:tblW w:w="0" w:type="auto"/>
        <w:jc w:val="left"/>
        <w:tblInd w:w="1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02"/>
        <w:gridCol w:w="1205"/>
        <w:gridCol w:w="980"/>
      </w:tblGrid>
      <w:tr>
        <w:trPr>
          <w:trHeight w:val="456" w:hRule="atLeast"/>
        </w:trPr>
        <w:tc>
          <w:tcPr>
            <w:tcW w:w="6202" w:type="dxa"/>
          </w:tcPr>
          <w:p>
            <w:pPr>
              <w:pStyle w:val="TableParagraph"/>
              <w:rPr>
                <w:rFonts w:ascii="Times New Roman"/>
                <w:sz w:val="20"/>
              </w:rPr>
            </w:pPr>
          </w:p>
        </w:tc>
        <w:tc>
          <w:tcPr>
            <w:tcW w:w="1205" w:type="dxa"/>
          </w:tcPr>
          <w:p>
            <w:pPr>
              <w:pStyle w:val="TableParagraph"/>
              <w:spacing w:line="223" w:lineRule="exact"/>
              <w:ind w:left="275"/>
              <w:rPr>
                <w:b/>
                <w:sz w:val="20"/>
              </w:rPr>
            </w:pPr>
            <w:r>
              <w:rPr>
                <w:b/>
                <w:spacing w:val="-4"/>
                <w:sz w:val="20"/>
              </w:rPr>
              <w:t>2023</w:t>
            </w:r>
          </w:p>
          <w:p>
            <w:pPr>
              <w:pStyle w:val="TableParagraph"/>
              <w:spacing w:line="214" w:lineRule="exact"/>
              <w:ind w:right="31"/>
              <w:jc w:val="center"/>
              <w:rPr>
                <w:b/>
                <w:sz w:val="20"/>
              </w:rPr>
            </w:pPr>
            <w:r>
              <w:rPr>
                <w:b/>
                <w:spacing w:val="-5"/>
                <w:sz w:val="20"/>
              </w:rPr>
              <w:t>No</w:t>
            </w:r>
          </w:p>
        </w:tc>
        <w:tc>
          <w:tcPr>
            <w:tcW w:w="980" w:type="dxa"/>
          </w:tcPr>
          <w:p>
            <w:pPr>
              <w:pStyle w:val="TableParagraph"/>
              <w:spacing w:line="223" w:lineRule="exact"/>
              <w:ind w:left="486"/>
              <w:rPr>
                <w:b/>
                <w:sz w:val="20"/>
              </w:rPr>
            </w:pPr>
            <w:r>
              <w:rPr>
                <w:b/>
                <w:spacing w:val="-4"/>
                <w:sz w:val="20"/>
              </w:rPr>
              <w:t>2022</w:t>
            </w:r>
          </w:p>
          <w:p>
            <w:pPr>
              <w:pStyle w:val="TableParagraph"/>
              <w:spacing w:line="214" w:lineRule="exact"/>
              <w:ind w:right="48"/>
              <w:jc w:val="right"/>
              <w:rPr>
                <w:b/>
                <w:sz w:val="20"/>
              </w:rPr>
            </w:pPr>
            <w:r>
              <w:rPr>
                <w:b/>
                <w:spacing w:val="-5"/>
                <w:sz w:val="20"/>
              </w:rPr>
              <w:t>No</w:t>
            </w:r>
          </w:p>
        </w:tc>
      </w:tr>
      <w:tr>
        <w:trPr>
          <w:trHeight w:val="230" w:hRule="atLeast"/>
        </w:trPr>
        <w:tc>
          <w:tcPr>
            <w:tcW w:w="6202" w:type="dxa"/>
          </w:tcPr>
          <w:p>
            <w:pPr>
              <w:pStyle w:val="TableParagraph"/>
              <w:spacing w:line="210" w:lineRule="exact"/>
              <w:ind w:left="50"/>
              <w:rPr>
                <w:sz w:val="20"/>
              </w:rPr>
            </w:pPr>
            <w:r>
              <w:rPr>
                <w:sz w:val="20"/>
              </w:rPr>
              <w:t>Basic</w:t>
            </w:r>
            <w:r>
              <w:rPr>
                <w:spacing w:val="-6"/>
                <w:sz w:val="20"/>
              </w:rPr>
              <w:t> </w:t>
            </w:r>
            <w:r>
              <w:rPr>
                <w:sz w:val="20"/>
              </w:rPr>
              <w:t>salary</w:t>
            </w:r>
            <w:r>
              <w:rPr>
                <w:spacing w:val="-5"/>
                <w:sz w:val="20"/>
              </w:rPr>
              <w:t> </w:t>
            </w:r>
            <w:r>
              <w:rPr>
                <w:sz w:val="20"/>
              </w:rPr>
              <w:t>as</w:t>
            </w:r>
            <w:r>
              <w:rPr>
                <w:spacing w:val="-5"/>
                <w:sz w:val="20"/>
              </w:rPr>
              <w:t> </w:t>
            </w:r>
            <w:r>
              <w:rPr>
                <w:sz w:val="20"/>
              </w:rPr>
              <w:t>a</w:t>
            </w:r>
            <w:r>
              <w:rPr>
                <w:spacing w:val="-4"/>
                <w:sz w:val="20"/>
              </w:rPr>
              <w:t> </w:t>
            </w:r>
            <w:r>
              <w:rPr>
                <w:sz w:val="20"/>
              </w:rPr>
              <w:t>multiple</w:t>
            </w:r>
            <w:r>
              <w:rPr>
                <w:spacing w:val="-4"/>
                <w:sz w:val="20"/>
              </w:rPr>
              <w:t> </w:t>
            </w:r>
            <w:r>
              <w:rPr>
                <w:sz w:val="20"/>
              </w:rPr>
              <w:t>of</w:t>
            </w:r>
            <w:r>
              <w:rPr>
                <w:spacing w:val="-6"/>
                <w:sz w:val="20"/>
              </w:rPr>
              <w:t> </w:t>
            </w:r>
            <w:r>
              <w:rPr>
                <w:sz w:val="20"/>
              </w:rPr>
              <w:t>median</w:t>
            </w:r>
            <w:r>
              <w:rPr>
                <w:spacing w:val="-6"/>
                <w:sz w:val="20"/>
              </w:rPr>
              <w:t> </w:t>
            </w:r>
            <w:r>
              <w:rPr>
                <w:sz w:val="20"/>
              </w:rPr>
              <w:t>basic</w:t>
            </w:r>
            <w:r>
              <w:rPr>
                <w:spacing w:val="-5"/>
                <w:sz w:val="20"/>
              </w:rPr>
              <w:t> </w:t>
            </w:r>
            <w:r>
              <w:rPr>
                <w:sz w:val="20"/>
              </w:rPr>
              <w:t>salary</w:t>
            </w:r>
            <w:r>
              <w:rPr>
                <w:spacing w:val="-6"/>
                <w:sz w:val="20"/>
              </w:rPr>
              <w:t> </w:t>
            </w:r>
            <w:r>
              <w:rPr>
                <w:sz w:val="20"/>
              </w:rPr>
              <w:t>of</w:t>
            </w:r>
            <w:r>
              <w:rPr>
                <w:spacing w:val="-4"/>
                <w:sz w:val="20"/>
              </w:rPr>
              <w:t> staff</w:t>
            </w:r>
          </w:p>
        </w:tc>
        <w:tc>
          <w:tcPr>
            <w:tcW w:w="1205" w:type="dxa"/>
          </w:tcPr>
          <w:p>
            <w:pPr>
              <w:pStyle w:val="TableParagraph"/>
              <w:spacing w:line="210" w:lineRule="exact"/>
              <w:ind w:left="330"/>
              <w:rPr>
                <w:sz w:val="20"/>
              </w:rPr>
            </w:pPr>
            <w:r>
              <w:rPr>
                <w:spacing w:val="-4"/>
                <w:sz w:val="20"/>
              </w:rPr>
              <w:t>5.23</w:t>
            </w:r>
          </w:p>
        </w:tc>
        <w:tc>
          <w:tcPr>
            <w:tcW w:w="980" w:type="dxa"/>
          </w:tcPr>
          <w:p>
            <w:pPr>
              <w:pStyle w:val="TableParagraph"/>
              <w:spacing w:line="210" w:lineRule="exact"/>
              <w:ind w:right="50"/>
              <w:jc w:val="right"/>
              <w:rPr>
                <w:sz w:val="20"/>
              </w:rPr>
            </w:pPr>
            <w:r>
              <w:rPr>
                <w:spacing w:val="-4"/>
                <w:sz w:val="20"/>
              </w:rPr>
              <w:t>5.79</w:t>
            </w:r>
          </w:p>
        </w:tc>
      </w:tr>
      <w:tr>
        <w:trPr>
          <w:trHeight w:val="230" w:hRule="atLeast"/>
        </w:trPr>
        <w:tc>
          <w:tcPr>
            <w:tcW w:w="6202" w:type="dxa"/>
          </w:tcPr>
          <w:p>
            <w:pPr>
              <w:pStyle w:val="TableParagraph"/>
              <w:spacing w:line="210" w:lineRule="exact"/>
              <w:ind w:left="50"/>
              <w:rPr>
                <w:sz w:val="20"/>
              </w:rPr>
            </w:pPr>
            <w:r>
              <w:rPr>
                <w:sz w:val="20"/>
              </w:rPr>
              <w:t>Total</w:t>
            </w:r>
            <w:r>
              <w:rPr>
                <w:spacing w:val="15"/>
                <w:sz w:val="20"/>
              </w:rPr>
              <w:t> </w:t>
            </w:r>
            <w:r>
              <w:rPr>
                <w:sz w:val="20"/>
              </w:rPr>
              <w:t>remuneration</w:t>
            </w:r>
            <w:r>
              <w:rPr>
                <w:spacing w:val="14"/>
                <w:sz w:val="20"/>
              </w:rPr>
              <w:t> </w:t>
            </w:r>
            <w:r>
              <w:rPr>
                <w:sz w:val="20"/>
              </w:rPr>
              <w:t>as</w:t>
            </w:r>
            <w:r>
              <w:rPr>
                <w:spacing w:val="18"/>
                <w:sz w:val="20"/>
              </w:rPr>
              <w:t> </w:t>
            </w:r>
            <w:r>
              <w:rPr>
                <w:sz w:val="20"/>
              </w:rPr>
              <w:t>a</w:t>
            </w:r>
            <w:r>
              <w:rPr>
                <w:spacing w:val="16"/>
                <w:sz w:val="20"/>
              </w:rPr>
              <w:t> </w:t>
            </w:r>
            <w:r>
              <w:rPr>
                <w:sz w:val="20"/>
              </w:rPr>
              <w:t>multiple</w:t>
            </w:r>
            <w:r>
              <w:rPr>
                <w:spacing w:val="14"/>
                <w:sz w:val="20"/>
              </w:rPr>
              <w:t> </w:t>
            </w:r>
            <w:r>
              <w:rPr>
                <w:sz w:val="20"/>
              </w:rPr>
              <w:t>of</w:t>
            </w:r>
            <w:r>
              <w:rPr>
                <w:spacing w:val="15"/>
                <w:sz w:val="20"/>
              </w:rPr>
              <w:t> </w:t>
            </w:r>
            <w:r>
              <w:rPr>
                <w:sz w:val="20"/>
              </w:rPr>
              <w:t>median</w:t>
            </w:r>
            <w:r>
              <w:rPr>
                <w:spacing w:val="17"/>
                <w:sz w:val="20"/>
              </w:rPr>
              <w:t> </w:t>
            </w:r>
            <w:r>
              <w:rPr>
                <w:sz w:val="20"/>
              </w:rPr>
              <w:t>total</w:t>
            </w:r>
            <w:r>
              <w:rPr>
                <w:spacing w:val="15"/>
                <w:sz w:val="20"/>
              </w:rPr>
              <w:t> </w:t>
            </w:r>
            <w:r>
              <w:rPr>
                <w:sz w:val="20"/>
              </w:rPr>
              <w:t>remuneration</w:t>
            </w:r>
            <w:r>
              <w:rPr>
                <w:spacing w:val="14"/>
                <w:sz w:val="20"/>
              </w:rPr>
              <w:t> </w:t>
            </w:r>
            <w:r>
              <w:rPr>
                <w:spacing w:val="-5"/>
                <w:sz w:val="20"/>
              </w:rPr>
              <w:t>of</w:t>
            </w:r>
          </w:p>
        </w:tc>
        <w:tc>
          <w:tcPr>
            <w:tcW w:w="1205" w:type="dxa"/>
          </w:tcPr>
          <w:p>
            <w:pPr>
              <w:pStyle w:val="TableParagraph"/>
              <w:spacing w:line="210" w:lineRule="exact"/>
              <w:ind w:left="330"/>
              <w:rPr>
                <w:sz w:val="20"/>
              </w:rPr>
            </w:pPr>
            <w:r>
              <w:rPr>
                <w:spacing w:val="-4"/>
                <w:sz w:val="20"/>
              </w:rPr>
              <w:t>5.91</w:t>
            </w:r>
          </w:p>
        </w:tc>
        <w:tc>
          <w:tcPr>
            <w:tcW w:w="980" w:type="dxa"/>
          </w:tcPr>
          <w:p>
            <w:pPr>
              <w:pStyle w:val="TableParagraph"/>
              <w:spacing w:line="210" w:lineRule="exact"/>
              <w:ind w:right="50"/>
              <w:jc w:val="right"/>
              <w:rPr>
                <w:sz w:val="20"/>
              </w:rPr>
            </w:pPr>
            <w:r>
              <w:rPr>
                <w:spacing w:val="-4"/>
                <w:sz w:val="20"/>
              </w:rPr>
              <w:t>5.97</w:t>
            </w:r>
          </w:p>
        </w:tc>
      </w:tr>
      <w:tr>
        <w:trPr>
          <w:trHeight w:val="226" w:hRule="atLeast"/>
        </w:trPr>
        <w:tc>
          <w:tcPr>
            <w:tcW w:w="6202" w:type="dxa"/>
          </w:tcPr>
          <w:p>
            <w:pPr>
              <w:pStyle w:val="TableParagraph"/>
              <w:spacing w:line="206" w:lineRule="exact"/>
              <w:ind w:left="50"/>
              <w:rPr>
                <w:sz w:val="20"/>
              </w:rPr>
            </w:pPr>
            <w:r>
              <w:rPr>
                <w:spacing w:val="-2"/>
                <w:sz w:val="20"/>
              </w:rPr>
              <w:t>staff</w:t>
            </w:r>
          </w:p>
        </w:tc>
        <w:tc>
          <w:tcPr>
            <w:tcW w:w="1205" w:type="dxa"/>
          </w:tcPr>
          <w:p>
            <w:pPr>
              <w:pStyle w:val="TableParagraph"/>
              <w:rPr>
                <w:rFonts w:ascii="Times New Roman"/>
                <w:sz w:val="16"/>
              </w:rPr>
            </w:pPr>
          </w:p>
        </w:tc>
        <w:tc>
          <w:tcPr>
            <w:tcW w:w="980" w:type="dxa"/>
          </w:tcPr>
          <w:p>
            <w:pPr>
              <w:pStyle w:val="TableParagraph"/>
              <w:rPr>
                <w:rFonts w:ascii="Times New Roman"/>
                <w:sz w:val="16"/>
              </w:rPr>
            </w:pPr>
          </w:p>
        </w:tc>
      </w:tr>
    </w:tbl>
    <w:p>
      <w:pPr>
        <w:pStyle w:val="BodyText"/>
      </w:pPr>
    </w:p>
    <w:p>
      <w:pPr>
        <w:pStyle w:val="BodyText"/>
        <w:spacing w:before="1"/>
        <w:ind w:left="852" w:right="708"/>
        <w:jc w:val="both"/>
      </w:pPr>
      <w:r>
        <w:rPr/>
        <w:t>The</w:t>
      </w:r>
      <w:r>
        <w:rPr>
          <w:spacing w:val="-10"/>
        </w:rPr>
        <w:t> </w:t>
      </w:r>
      <w:r>
        <w:rPr/>
        <w:t>salaries</w:t>
      </w:r>
      <w:r>
        <w:rPr>
          <w:spacing w:val="-6"/>
        </w:rPr>
        <w:t> </w:t>
      </w:r>
      <w:r>
        <w:rPr/>
        <w:t>of</w:t>
      </w:r>
      <w:r>
        <w:rPr>
          <w:spacing w:val="-8"/>
        </w:rPr>
        <w:t> </w:t>
      </w:r>
      <w:r>
        <w:rPr/>
        <w:t>all</w:t>
      </w:r>
      <w:r>
        <w:rPr>
          <w:spacing w:val="-11"/>
        </w:rPr>
        <w:t> </w:t>
      </w:r>
      <w:r>
        <w:rPr/>
        <w:t>full</w:t>
      </w:r>
      <w:r>
        <w:rPr>
          <w:spacing w:val="-9"/>
        </w:rPr>
        <w:t> </w:t>
      </w:r>
      <w:r>
        <w:rPr/>
        <w:t>time</w:t>
      </w:r>
      <w:r>
        <w:rPr>
          <w:spacing w:val="-8"/>
        </w:rPr>
        <w:t> </w:t>
      </w:r>
      <w:r>
        <w:rPr/>
        <w:t>equivalent</w:t>
      </w:r>
      <w:r>
        <w:rPr>
          <w:spacing w:val="-10"/>
        </w:rPr>
        <w:t> </w:t>
      </w:r>
      <w:r>
        <w:rPr/>
        <w:t>staff</w:t>
      </w:r>
      <w:r>
        <w:rPr>
          <w:spacing w:val="-8"/>
        </w:rPr>
        <w:t> </w:t>
      </w:r>
      <w:r>
        <w:rPr/>
        <w:t>in</w:t>
      </w:r>
      <w:r>
        <w:rPr>
          <w:spacing w:val="-10"/>
        </w:rPr>
        <w:t> </w:t>
      </w:r>
      <w:r>
        <w:rPr/>
        <w:t>position</w:t>
      </w:r>
      <w:r>
        <w:rPr>
          <w:spacing w:val="-8"/>
        </w:rPr>
        <w:t> </w:t>
      </w:r>
      <w:r>
        <w:rPr/>
        <w:t>as</w:t>
      </w:r>
      <w:r>
        <w:rPr>
          <w:spacing w:val="-9"/>
        </w:rPr>
        <w:t> </w:t>
      </w:r>
      <w:r>
        <w:rPr/>
        <w:t>at</w:t>
      </w:r>
      <w:r>
        <w:rPr>
          <w:spacing w:val="-10"/>
        </w:rPr>
        <w:t> </w:t>
      </w:r>
      <w:r>
        <w:rPr/>
        <w:t>31</w:t>
      </w:r>
      <w:r>
        <w:rPr>
          <w:spacing w:val="-10"/>
        </w:rPr>
        <w:t> </w:t>
      </w:r>
      <w:r>
        <w:rPr/>
        <w:t>July,</w:t>
      </w:r>
      <w:r>
        <w:rPr>
          <w:spacing w:val="-10"/>
        </w:rPr>
        <w:t> </w:t>
      </w:r>
      <w:r>
        <w:rPr/>
        <w:t>excluding</w:t>
      </w:r>
      <w:r>
        <w:rPr>
          <w:spacing w:val="-8"/>
        </w:rPr>
        <w:t> </w:t>
      </w:r>
      <w:r>
        <w:rPr/>
        <w:t>agency</w:t>
      </w:r>
      <w:r>
        <w:rPr>
          <w:spacing w:val="-9"/>
        </w:rPr>
        <w:t> </w:t>
      </w:r>
      <w:r>
        <w:rPr/>
        <w:t>workers,</w:t>
      </w:r>
      <w:r>
        <w:rPr>
          <w:spacing w:val="-10"/>
        </w:rPr>
        <w:t> </w:t>
      </w:r>
      <w:r>
        <w:rPr/>
        <w:t>has</w:t>
      </w:r>
      <w:r>
        <w:rPr>
          <w:spacing w:val="-9"/>
        </w:rPr>
        <w:t> </w:t>
      </w:r>
      <w:r>
        <w:rPr/>
        <w:t>been used in calculating the basic salary and total remuneration as a multiple of median salary of staff.</w:t>
      </w:r>
    </w:p>
    <w:p>
      <w:pPr>
        <w:pStyle w:val="BodyText"/>
        <w:spacing w:before="102"/>
      </w:pPr>
    </w:p>
    <w:p>
      <w:pPr>
        <w:pStyle w:val="Heading6"/>
      </w:pPr>
      <w:r>
        <w:rPr/>
        <w:t>Governors’</w:t>
      </w:r>
      <w:r>
        <w:rPr>
          <w:spacing w:val="-13"/>
        </w:rPr>
        <w:t> </w:t>
      </w:r>
      <w:r>
        <w:rPr>
          <w:spacing w:val="-2"/>
        </w:rPr>
        <w:t>remuneration</w:t>
      </w:r>
    </w:p>
    <w:p>
      <w:pPr>
        <w:pStyle w:val="BodyText"/>
        <w:spacing w:before="99"/>
        <w:ind w:left="852" w:right="709"/>
        <w:jc w:val="both"/>
      </w:pPr>
      <w:r>
        <w:rPr/>
        <w:t>The Accounting Officer and the staff members only receive remuneration in respect of services they provide undertaking their roles of Principal and staff members under contracts of employment and not in respect of their roles as governors. The other members of the Corporation did not receive any payments from the College in respect of their roles as Governors.</w:t>
      </w:r>
    </w:p>
    <w:p>
      <w:pPr>
        <w:pStyle w:val="BodyText"/>
        <w:spacing w:before="98"/>
        <w:ind w:left="851" w:right="708"/>
        <w:jc w:val="both"/>
      </w:pPr>
      <w:r>
        <w:rPr/>
        <w:t>The</w:t>
      </w:r>
      <w:r>
        <w:rPr>
          <w:spacing w:val="-3"/>
        </w:rPr>
        <w:t> </w:t>
      </w:r>
      <w:r>
        <w:rPr/>
        <w:t>total</w:t>
      </w:r>
      <w:r>
        <w:rPr>
          <w:spacing w:val="-2"/>
        </w:rPr>
        <w:t> </w:t>
      </w:r>
      <w:r>
        <w:rPr/>
        <w:t>expenses paid</w:t>
      </w:r>
      <w:r>
        <w:rPr>
          <w:spacing w:val="-1"/>
        </w:rPr>
        <w:t> </w:t>
      </w:r>
      <w:r>
        <w:rPr/>
        <w:t>to or</w:t>
      </w:r>
      <w:r>
        <w:rPr>
          <w:spacing w:val="-2"/>
        </w:rPr>
        <w:t> </w:t>
      </w:r>
      <w:r>
        <w:rPr/>
        <w:t>on</w:t>
      </w:r>
      <w:r>
        <w:rPr>
          <w:spacing w:val="-1"/>
        </w:rPr>
        <w:t> </w:t>
      </w:r>
      <w:r>
        <w:rPr/>
        <w:t>behalf</w:t>
      </w:r>
      <w:r>
        <w:rPr>
          <w:spacing w:val="-1"/>
        </w:rPr>
        <w:t> </w:t>
      </w:r>
      <w:r>
        <w:rPr/>
        <w:t>of</w:t>
      </w:r>
      <w:r>
        <w:rPr>
          <w:spacing w:val="-1"/>
        </w:rPr>
        <w:t> </w:t>
      </w:r>
      <w:r>
        <w:rPr/>
        <w:t>the</w:t>
      </w:r>
      <w:r>
        <w:rPr>
          <w:spacing w:val="-3"/>
        </w:rPr>
        <w:t> </w:t>
      </w:r>
      <w:r>
        <w:rPr/>
        <w:t>Governors</w:t>
      </w:r>
      <w:r>
        <w:rPr>
          <w:spacing w:val="-2"/>
        </w:rPr>
        <w:t> </w:t>
      </w:r>
      <w:r>
        <w:rPr/>
        <w:t>during</w:t>
      </w:r>
      <w:r>
        <w:rPr>
          <w:spacing w:val="-1"/>
        </w:rPr>
        <w:t> </w:t>
      </w:r>
      <w:r>
        <w:rPr/>
        <w:t>the</w:t>
      </w:r>
      <w:r>
        <w:rPr>
          <w:spacing w:val="-1"/>
        </w:rPr>
        <w:t> </w:t>
      </w:r>
      <w:r>
        <w:rPr/>
        <w:t>year was £4,000</w:t>
      </w:r>
      <w:r>
        <w:rPr>
          <w:spacing w:val="-2"/>
        </w:rPr>
        <w:t> </w:t>
      </w:r>
      <w:r>
        <w:rPr/>
        <w:t>(2022:</w:t>
      </w:r>
      <w:r>
        <w:rPr>
          <w:spacing w:val="-1"/>
        </w:rPr>
        <w:t> </w:t>
      </w:r>
      <w:r>
        <w:rPr/>
        <w:t>£4,000) to 4 governors (2022: 1 governor).</w:t>
      </w:r>
      <w:r>
        <w:rPr>
          <w:spacing w:val="40"/>
        </w:rPr>
        <w:t> </w:t>
      </w:r>
      <w:r>
        <w:rPr/>
        <w:t>This represented travel and subsistence expenses and other out of pocket expenses incurred in attending Governor Meetings and charity events in their official capacity.</w:t>
      </w:r>
    </w:p>
    <w:p>
      <w:pPr>
        <w:pStyle w:val="BodyText"/>
        <w:spacing w:line="242" w:lineRule="auto" w:before="100"/>
        <w:ind w:left="851" w:right="709"/>
        <w:jc w:val="both"/>
      </w:pPr>
      <w:r>
        <w:rPr/>
        <w:t>During</w:t>
      </w:r>
      <w:r>
        <w:rPr>
          <w:spacing w:val="-9"/>
        </w:rPr>
        <w:t> </w:t>
      </w:r>
      <w:r>
        <w:rPr/>
        <w:t>the</w:t>
      </w:r>
      <w:r>
        <w:rPr>
          <w:spacing w:val="-7"/>
        </w:rPr>
        <w:t> </w:t>
      </w:r>
      <w:r>
        <w:rPr/>
        <w:t>year</w:t>
      </w:r>
      <w:r>
        <w:rPr>
          <w:spacing w:val="-5"/>
        </w:rPr>
        <w:t> </w:t>
      </w:r>
      <w:r>
        <w:rPr/>
        <w:t>no</w:t>
      </w:r>
      <w:r>
        <w:rPr>
          <w:spacing w:val="-7"/>
        </w:rPr>
        <w:t> </w:t>
      </w:r>
      <w:r>
        <w:rPr/>
        <w:t>governor</w:t>
      </w:r>
      <w:r>
        <w:rPr>
          <w:spacing w:val="-8"/>
        </w:rPr>
        <w:t> </w:t>
      </w:r>
      <w:r>
        <w:rPr/>
        <w:t>(2022:</w:t>
      </w:r>
      <w:r>
        <w:rPr>
          <w:spacing w:val="-6"/>
        </w:rPr>
        <w:t> </w:t>
      </w:r>
      <w:r>
        <w:rPr/>
        <w:t>1)</w:t>
      </w:r>
      <w:r>
        <w:rPr>
          <w:spacing w:val="-8"/>
        </w:rPr>
        <w:t> </w:t>
      </w:r>
      <w:r>
        <w:rPr/>
        <w:t>received</w:t>
      </w:r>
      <w:r>
        <w:rPr>
          <w:spacing w:val="-7"/>
        </w:rPr>
        <w:t> </w:t>
      </w:r>
      <w:r>
        <w:rPr/>
        <w:t>remuneration</w:t>
      </w:r>
      <w:r>
        <w:rPr>
          <w:spacing w:val="-7"/>
        </w:rPr>
        <w:t> </w:t>
      </w:r>
      <w:r>
        <w:rPr/>
        <w:t>from</w:t>
      </w:r>
      <w:r>
        <w:rPr>
          <w:spacing w:val="-7"/>
        </w:rPr>
        <w:t> </w:t>
      </w:r>
      <w:r>
        <w:rPr/>
        <w:t>the</w:t>
      </w:r>
      <w:r>
        <w:rPr>
          <w:spacing w:val="-7"/>
        </w:rPr>
        <w:t> </w:t>
      </w:r>
      <w:r>
        <w:rPr/>
        <w:t>College</w:t>
      </w:r>
      <w:r>
        <w:rPr>
          <w:spacing w:val="-7"/>
        </w:rPr>
        <w:t> </w:t>
      </w:r>
      <w:r>
        <w:rPr/>
        <w:t>or</w:t>
      </w:r>
      <w:r>
        <w:rPr>
          <w:spacing w:val="-5"/>
        </w:rPr>
        <w:t> </w:t>
      </w:r>
      <w:r>
        <w:rPr/>
        <w:t>its</w:t>
      </w:r>
      <w:r>
        <w:rPr>
          <w:spacing w:val="-7"/>
        </w:rPr>
        <w:t> </w:t>
      </w:r>
      <w:r>
        <w:rPr/>
        <w:t>subsidiaries</w:t>
      </w:r>
      <w:r>
        <w:rPr>
          <w:spacing w:val="-7"/>
        </w:rPr>
        <w:t> </w:t>
      </w:r>
      <w:r>
        <w:rPr/>
        <w:t>during the year (2022: £21,000). This is in line with the permission granted by the Charity Commission.</w:t>
      </w:r>
    </w:p>
    <w:p>
      <w:pPr>
        <w:pStyle w:val="BodyText"/>
        <w:spacing w:before="118"/>
      </w:pPr>
    </w:p>
    <w:p>
      <w:pPr>
        <w:pStyle w:val="ListParagraph"/>
        <w:numPr>
          <w:ilvl w:val="0"/>
          <w:numId w:val="15"/>
        </w:numPr>
        <w:tabs>
          <w:tab w:pos="852" w:val="left" w:leader="none"/>
        </w:tabs>
        <w:spacing w:line="240" w:lineRule="auto" w:before="0" w:after="0"/>
        <w:ind w:left="852" w:right="0" w:hanging="427"/>
        <w:jc w:val="left"/>
        <w:rPr>
          <w:b/>
          <w:sz w:val="20"/>
        </w:rPr>
      </w:pPr>
      <w:bookmarkStart w:name="8. Other operating expenses" w:id="9"/>
      <w:bookmarkEnd w:id="9"/>
      <w:r>
        <w:rPr/>
      </w:r>
      <w:r>
        <w:rPr>
          <w:b/>
          <w:sz w:val="20"/>
        </w:rPr>
        <w:t>Other</w:t>
      </w:r>
      <w:r>
        <w:rPr>
          <w:b/>
          <w:spacing w:val="-11"/>
          <w:sz w:val="20"/>
        </w:rPr>
        <w:t> </w:t>
      </w:r>
      <w:r>
        <w:rPr>
          <w:b/>
          <w:sz w:val="20"/>
        </w:rPr>
        <w:t>operating</w:t>
      </w:r>
      <w:r>
        <w:rPr>
          <w:b/>
          <w:spacing w:val="-8"/>
          <w:sz w:val="20"/>
        </w:rPr>
        <w:t> </w:t>
      </w:r>
      <w:r>
        <w:rPr>
          <w:b/>
          <w:spacing w:val="-2"/>
          <w:sz w:val="20"/>
        </w:rPr>
        <w:t>expenses</w:t>
      </w:r>
    </w:p>
    <w:p>
      <w:pPr>
        <w:tabs>
          <w:tab w:pos="8417" w:val="left" w:leader="none"/>
        </w:tabs>
        <w:spacing w:before="22" w:after="46"/>
        <w:ind w:left="5652"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2"/>
        <w:gridCol w:w="1142"/>
        <w:gridCol w:w="276"/>
        <w:gridCol w:w="998"/>
        <w:gridCol w:w="420"/>
        <w:gridCol w:w="998"/>
        <w:gridCol w:w="276"/>
        <w:gridCol w:w="1001"/>
      </w:tblGrid>
      <w:tr>
        <w:trPr>
          <w:trHeight w:val="776" w:hRule="atLeast"/>
        </w:trPr>
        <w:tc>
          <w:tcPr>
            <w:tcW w:w="4012" w:type="dxa"/>
          </w:tcPr>
          <w:p>
            <w:pPr>
              <w:pStyle w:val="TableParagraph"/>
              <w:rPr>
                <w:rFonts w:ascii="Times New Roman"/>
                <w:sz w:val="20"/>
              </w:rPr>
            </w:pPr>
          </w:p>
        </w:tc>
        <w:tc>
          <w:tcPr>
            <w:tcW w:w="1142" w:type="dxa"/>
          </w:tcPr>
          <w:p>
            <w:pPr>
              <w:pStyle w:val="TableParagraph"/>
              <w:spacing w:line="223" w:lineRule="exact"/>
              <w:ind w:right="109"/>
              <w:jc w:val="right"/>
              <w:rPr>
                <w:b/>
                <w:sz w:val="20"/>
              </w:rPr>
            </w:pPr>
            <w:r>
              <w:rPr>
                <w:b/>
                <w:spacing w:val="-4"/>
                <w:sz w:val="20"/>
              </w:rPr>
              <w:t>2023</w:t>
            </w:r>
          </w:p>
          <w:p>
            <w:pPr>
              <w:pStyle w:val="TableParagraph"/>
              <w:spacing w:before="41"/>
              <w:ind w:right="108"/>
              <w:jc w:val="right"/>
              <w:rPr>
                <w:b/>
                <w:sz w:val="20"/>
              </w:rPr>
            </w:pPr>
            <w:r>
              <w:rPr>
                <w:b/>
                <w:spacing w:val="-4"/>
                <w:sz w:val="20"/>
              </w:rPr>
              <w:t>Group</w:t>
            </w:r>
          </w:p>
          <w:p>
            <w:pPr>
              <w:pStyle w:val="TableParagraph"/>
              <w:spacing w:line="223" w:lineRule="exact" w:before="39"/>
              <w:ind w:right="109"/>
              <w:jc w:val="right"/>
              <w:rPr>
                <w:b/>
                <w:sz w:val="20"/>
              </w:rPr>
            </w:pPr>
            <w:r>
              <w:rPr>
                <w:b/>
                <w:spacing w:val="-2"/>
                <w:sz w:val="20"/>
              </w:rPr>
              <w:t>£’000</w:t>
            </w:r>
          </w:p>
        </w:tc>
        <w:tc>
          <w:tcPr>
            <w:tcW w:w="276" w:type="dxa"/>
          </w:tcPr>
          <w:p>
            <w:pPr>
              <w:pStyle w:val="TableParagraph"/>
              <w:rPr>
                <w:rFonts w:ascii="Times New Roman"/>
                <w:sz w:val="20"/>
              </w:rPr>
            </w:pPr>
          </w:p>
        </w:tc>
        <w:tc>
          <w:tcPr>
            <w:tcW w:w="998" w:type="dxa"/>
          </w:tcPr>
          <w:p>
            <w:pPr>
              <w:pStyle w:val="TableParagraph"/>
              <w:spacing w:line="223" w:lineRule="exact"/>
              <w:ind w:right="109"/>
              <w:jc w:val="right"/>
              <w:rPr>
                <w:b/>
                <w:sz w:val="20"/>
              </w:rPr>
            </w:pPr>
            <w:r>
              <w:rPr>
                <w:b/>
                <w:spacing w:val="-4"/>
                <w:sz w:val="20"/>
              </w:rPr>
              <w:t>2023</w:t>
            </w:r>
          </w:p>
          <w:p>
            <w:pPr>
              <w:pStyle w:val="TableParagraph"/>
              <w:spacing w:before="41"/>
              <w:ind w:right="109"/>
              <w:jc w:val="right"/>
              <w:rPr>
                <w:b/>
                <w:sz w:val="20"/>
              </w:rPr>
            </w:pPr>
            <w:r>
              <w:rPr>
                <w:b/>
                <w:spacing w:val="-2"/>
                <w:sz w:val="20"/>
              </w:rPr>
              <w:t>College</w:t>
            </w:r>
          </w:p>
          <w:p>
            <w:pPr>
              <w:pStyle w:val="TableParagraph"/>
              <w:spacing w:line="223" w:lineRule="exact" w:before="39"/>
              <w:ind w:right="109"/>
              <w:jc w:val="right"/>
              <w:rPr>
                <w:b/>
                <w:sz w:val="20"/>
              </w:rPr>
            </w:pPr>
            <w:r>
              <w:rPr>
                <w:b/>
                <w:spacing w:val="-2"/>
                <w:sz w:val="20"/>
              </w:rPr>
              <w:t>£’000</w:t>
            </w:r>
          </w:p>
        </w:tc>
        <w:tc>
          <w:tcPr>
            <w:tcW w:w="420" w:type="dxa"/>
          </w:tcPr>
          <w:p>
            <w:pPr>
              <w:pStyle w:val="TableParagraph"/>
              <w:rPr>
                <w:rFonts w:ascii="Times New Roman"/>
                <w:sz w:val="20"/>
              </w:rPr>
            </w:pPr>
          </w:p>
        </w:tc>
        <w:tc>
          <w:tcPr>
            <w:tcW w:w="998" w:type="dxa"/>
          </w:tcPr>
          <w:p>
            <w:pPr>
              <w:pStyle w:val="TableParagraph"/>
              <w:spacing w:line="223" w:lineRule="exact"/>
              <w:ind w:right="108"/>
              <w:jc w:val="right"/>
              <w:rPr>
                <w:b/>
                <w:sz w:val="20"/>
              </w:rPr>
            </w:pPr>
            <w:r>
              <w:rPr>
                <w:b/>
                <w:spacing w:val="-4"/>
                <w:sz w:val="20"/>
              </w:rPr>
              <w:t>2022</w:t>
            </w:r>
          </w:p>
          <w:p>
            <w:pPr>
              <w:pStyle w:val="TableParagraph"/>
              <w:spacing w:before="41"/>
              <w:ind w:right="107"/>
              <w:jc w:val="right"/>
              <w:rPr>
                <w:b/>
                <w:sz w:val="20"/>
              </w:rPr>
            </w:pPr>
            <w:r>
              <w:rPr>
                <w:b/>
                <w:spacing w:val="-4"/>
                <w:sz w:val="20"/>
              </w:rPr>
              <w:t>Group</w:t>
            </w:r>
          </w:p>
          <w:p>
            <w:pPr>
              <w:pStyle w:val="TableParagraph"/>
              <w:spacing w:line="223" w:lineRule="exact" w:before="39"/>
              <w:ind w:right="108"/>
              <w:jc w:val="right"/>
              <w:rPr>
                <w:b/>
                <w:sz w:val="20"/>
              </w:rPr>
            </w:pPr>
            <w:r>
              <w:rPr>
                <w:b/>
                <w:spacing w:val="-2"/>
                <w:sz w:val="20"/>
              </w:rPr>
              <w:t>£’000</w:t>
            </w:r>
          </w:p>
        </w:tc>
        <w:tc>
          <w:tcPr>
            <w:tcW w:w="276" w:type="dxa"/>
          </w:tcPr>
          <w:p>
            <w:pPr>
              <w:pStyle w:val="TableParagraph"/>
              <w:rPr>
                <w:rFonts w:ascii="Times New Roman"/>
                <w:sz w:val="20"/>
              </w:rPr>
            </w:pPr>
          </w:p>
        </w:tc>
        <w:tc>
          <w:tcPr>
            <w:tcW w:w="1001" w:type="dxa"/>
          </w:tcPr>
          <w:p>
            <w:pPr>
              <w:pStyle w:val="TableParagraph"/>
              <w:spacing w:line="223" w:lineRule="exact"/>
              <w:ind w:right="106"/>
              <w:jc w:val="right"/>
              <w:rPr>
                <w:b/>
                <w:sz w:val="20"/>
              </w:rPr>
            </w:pPr>
            <w:r>
              <w:rPr>
                <w:b/>
                <w:spacing w:val="-4"/>
                <w:sz w:val="20"/>
              </w:rPr>
              <w:t>2022</w:t>
            </w:r>
          </w:p>
          <w:p>
            <w:pPr>
              <w:pStyle w:val="TableParagraph"/>
              <w:spacing w:before="41"/>
              <w:ind w:right="106"/>
              <w:jc w:val="right"/>
              <w:rPr>
                <w:b/>
                <w:sz w:val="20"/>
              </w:rPr>
            </w:pPr>
            <w:r>
              <w:rPr>
                <w:b/>
                <w:spacing w:val="-2"/>
                <w:sz w:val="20"/>
              </w:rPr>
              <w:t>College</w:t>
            </w:r>
          </w:p>
          <w:p>
            <w:pPr>
              <w:pStyle w:val="TableParagraph"/>
              <w:spacing w:line="223" w:lineRule="exact" w:before="39"/>
              <w:ind w:right="106"/>
              <w:jc w:val="right"/>
              <w:rPr>
                <w:b/>
                <w:sz w:val="20"/>
              </w:rPr>
            </w:pPr>
            <w:r>
              <w:rPr>
                <w:b/>
                <w:spacing w:val="-2"/>
                <w:sz w:val="20"/>
              </w:rPr>
              <w:t>£’000</w:t>
            </w:r>
          </w:p>
        </w:tc>
      </w:tr>
      <w:tr>
        <w:trPr>
          <w:trHeight w:val="271" w:hRule="atLeast"/>
        </w:trPr>
        <w:tc>
          <w:tcPr>
            <w:tcW w:w="4012" w:type="dxa"/>
          </w:tcPr>
          <w:p>
            <w:pPr>
              <w:pStyle w:val="TableParagraph"/>
              <w:spacing w:before="6"/>
              <w:ind w:left="50"/>
              <w:rPr>
                <w:sz w:val="20"/>
              </w:rPr>
            </w:pPr>
            <w:r>
              <w:rPr>
                <w:sz w:val="20"/>
              </w:rPr>
              <w:t>Teaching</w:t>
            </w:r>
            <w:r>
              <w:rPr>
                <w:spacing w:val="-12"/>
                <w:sz w:val="20"/>
              </w:rPr>
              <w:t> </w:t>
            </w:r>
            <w:r>
              <w:rPr>
                <w:spacing w:val="-2"/>
                <w:sz w:val="20"/>
              </w:rPr>
              <w:t>costs</w:t>
            </w:r>
          </w:p>
        </w:tc>
        <w:tc>
          <w:tcPr>
            <w:tcW w:w="1142" w:type="dxa"/>
          </w:tcPr>
          <w:p>
            <w:pPr>
              <w:pStyle w:val="TableParagraph"/>
              <w:spacing w:line="223" w:lineRule="exact" w:before="28"/>
              <w:ind w:right="109"/>
              <w:jc w:val="right"/>
              <w:rPr>
                <w:sz w:val="20"/>
              </w:rPr>
            </w:pPr>
            <w:r>
              <w:rPr>
                <w:spacing w:val="-2"/>
                <w:sz w:val="20"/>
              </w:rPr>
              <w:t>3,763</w:t>
            </w:r>
          </w:p>
        </w:tc>
        <w:tc>
          <w:tcPr>
            <w:tcW w:w="276" w:type="dxa"/>
          </w:tcPr>
          <w:p>
            <w:pPr>
              <w:pStyle w:val="TableParagraph"/>
              <w:rPr>
                <w:rFonts w:ascii="Times New Roman"/>
                <w:sz w:val="20"/>
              </w:rPr>
            </w:pPr>
          </w:p>
        </w:tc>
        <w:tc>
          <w:tcPr>
            <w:tcW w:w="998" w:type="dxa"/>
          </w:tcPr>
          <w:p>
            <w:pPr>
              <w:pStyle w:val="TableParagraph"/>
              <w:spacing w:line="223" w:lineRule="exact" w:before="28"/>
              <w:ind w:right="157"/>
              <w:jc w:val="right"/>
              <w:rPr>
                <w:sz w:val="20"/>
              </w:rPr>
            </w:pPr>
            <w:r>
              <w:rPr>
                <w:spacing w:val="-2"/>
                <w:sz w:val="20"/>
              </w:rPr>
              <w:t>3,761</w:t>
            </w:r>
          </w:p>
        </w:tc>
        <w:tc>
          <w:tcPr>
            <w:tcW w:w="420" w:type="dxa"/>
          </w:tcPr>
          <w:p>
            <w:pPr>
              <w:pStyle w:val="TableParagraph"/>
              <w:rPr>
                <w:rFonts w:ascii="Times New Roman"/>
                <w:sz w:val="20"/>
              </w:rPr>
            </w:pPr>
          </w:p>
        </w:tc>
        <w:tc>
          <w:tcPr>
            <w:tcW w:w="998" w:type="dxa"/>
          </w:tcPr>
          <w:p>
            <w:pPr>
              <w:pStyle w:val="TableParagraph"/>
              <w:spacing w:line="223" w:lineRule="exact" w:before="28"/>
              <w:ind w:right="108"/>
              <w:jc w:val="right"/>
              <w:rPr>
                <w:sz w:val="20"/>
              </w:rPr>
            </w:pPr>
            <w:r>
              <w:rPr>
                <w:spacing w:val="-2"/>
                <w:sz w:val="20"/>
              </w:rPr>
              <w:t>4,604</w:t>
            </w:r>
          </w:p>
        </w:tc>
        <w:tc>
          <w:tcPr>
            <w:tcW w:w="276" w:type="dxa"/>
          </w:tcPr>
          <w:p>
            <w:pPr>
              <w:pStyle w:val="TableParagraph"/>
              <w:rPr>
                <w:rFonts w:ascii="Times New Roman"/>
                <w:sz w:val="20"/>
              </w:rPr>
            </w:pPr>
          </w:p>
        </w:tc>
        <w:tc>
          <w:tcPr>
            <w:tcW w:w="1001" w:type="dxa"/>
          </w:tcPr>
          <w:p>
            <w:pPr>
              <w:pStyle w:val="TableParagraph"/>
              <w:spacing w:line="223" w:lineRule="exact" w:before="28"/>
              <w:ind w:right="157"/>
              <w:jc w:val="right"/>
              <w:rPr>
                <w:sz w:val="20"/>
              </w:rPr>
            </w:pPr>
            <w:r>
              <w:rPr>
                <w:spacing w:val="-2"/>
                <w:sz w:val="20"/>
              </w:rPr>
              <w:t>4,595</w:t>
            </w:r>
          </w:p>
        </w:tc>
      </w:tr>
      <w:tr>
        <w:trPr>
          <w:trHeight w:val="268" w:hRule="atLeast"/>
        </w:trPr>
        <w:tc>
          <w:tcPr>
            <w:tcW w:w="4012" w:type="dxa"/>
          </w:tcPr>
          <w:p>
            <w:pPr>
              <w:pStyle w:val="TableParagraph"/>
              <w:spacing w:before="6"/>
              <w:ind w:left="50"/>
              <w:rPr>
                <w:sz w:val="20"/>
              </w:rPr>
            </w:pPr>
            <w:r>
              <w:rPr>
                <w:spacing w:val="-2"/>
                <w:sz w:val="20"/>
              </w:rPr>
              <w:t>Non-teaching</w:t>
            </w:r>
            <w:r>
              <w:rPr>
                <w:spacing w:val="8"/>
                <w:sz w:val="20"/>
              </w:rPr>
              <w:t> </w:t>
            </w:r>
            <w:r>
              <w:rPr>
                <w:spacing w:val="-4"/>
                <w:sz w:val="20"/>
              </w:rPr>
              <w:t>costs</w:t>
            </w:r>
          </w:p>
        </w:tc>
        <w:tc>
          <w:tcPr>
            <w:tcW w:w="1142" w:type="dxa"/>
          </w:tcPr>
          <w:p>
            <w:pPr>
              <w:pStyle w:val="TableParagraph"/>
              <w:spacing w:line="223" w:lineRule="exact" w:before="25"/>
              <w:ind w:right="109"/>
              <w:jc w:val="right"/>
              <w:rPr>
                <w:sz w:val="20"/>
              </w:rPr>
            </w:pPr>
            <w:r>
              <w:rPr>
                <w:spacing w:val="-2"/>
                <w:sz w:val="20"/>
              </w:rPr>
              <w:t>4,886</w:t>
            </w:r>
          </w:p>
        </w:tc>
        <w:tc>
          <w:tcPr>
            <w:tcW w:w="276" w:type="dxa"/>
          </w:tcPr>
          <w:p>
            <w:pPr>
              <w:pStyle w:val="TableParagraph"/>
              <w:rPr>
                <w:rFonts w:ascii="Times New Roman"/>
                <w:sz w:val="18"/>
              </w:rPr>
            </w:pPr>
          </w:p>
        </w:tc>
        <w:tc>
          <w:tcPr>
            <w:tcW w:w="998" w:type="dxa"/>
          </w:tcPr>
          <w:p>
            <w:pPr>
              <w:pStyle w:val="TableParagraph"/>
              <w:spacing w:line="223" w:lineRule="exact" w:before="25"/>
              <w:ind w:right="157"/>
              <w:jc w:val="right"/>
              <w:rPr>
                <w:sz w:val="20"/>
              </w:rPr>
            </w:pPr>
            <w:r>
              <w:rPr>
                <w:spacing w:val="-2"/>
                <w:sz w:val="20"/>
              </w:rPr>
              <w:t>4,742</w:t>
            </w:r>
          </w:p>
        </w:tc>
        <w:tc>
          <w:tcPr>
            <w:tcW w:w="420" w:type="dxa"/>
          </w:tcPr>
          <w:p>
            <w:pPr>
              <w:pStyle w:val="TableParagraph"/>
              <w:rPr>
                <w:rFonts w:ascii="Times New Roman"/>
                <w:sz w:val="18"/>
              </w:rPr>
            </w:pPr>
          </w:p>
        </w:tc>
        <w:tc>
          <w:tcPr>
            <w:tcW w:w="998" w:type="dxa"/>
          </w:tcPr>
          <w:p>
            <w:pPr>
              <w:pStyle w:val="TableParagraph"/>
              <w:spacing w:line="223" w:lineRule="exact" w:before="25"/>
              <w:ind w:right="108"/>
              <w:jc w:val="right"/>
              <w:rPr>
                <w:sz w:val="20"/>
              </w:rPr>
            </w:pPr>
            <w:r>
              <w:rPr>
                <w:spacing w:val="-2"/>
                <w:sz w:val="20"/>
              </w:rPr>
              <w:t>5,031</w:t>
            </w:r>
          </w:p>
        </w:tc>
        <w:tc>
          <w:tcPr>
            <w:tcW w:w="276" w:type="dxa"/>
          </w:tcPr>
          <w:p>
            <w:pPr>
              <w:pStyle w:val="TableParagraph"/>
              <w:rPr>
                <w:rFonts w:ascii="Times New Roman"/>
                <w:sz w:val="18"/>
              </w:rPr>
            </w:pPr>
          </w:p>
        </w:tc>
        <w:tc>
          <w:tcPr>
            <w:tcW w:w="1001" w:type="dxa"/>
          </w:tcPr>
          <w:p>
            <w:pPr>
              <w:pStyle w:val="TableParagraph"/>
              <w:spacing w:line="223" w:lineRule="exact" w:before="25"/>
              <w:ind w:right="157"/>
              <w:jc w:val="right"/>
              <w:rPr>
                <w:sz w:val="20"/>
              </w:rPr>
            </w:pPr>
            <w:r>
              <w:rPr>
                <w:spacing w:val="-2"/>
                <w:sz w:val="20"/>
              </w:rPr>
              <w:t>4,873</w:t>
            </w:r>
          </w:p>
        </w:tc>
      </w:tr>
      <w:tr>
        <w:trPr>
          <w:trHeight w:val="277" w:hRule="atLeast"/>
        </w:trPr>
        <w:tc>
          <w:tcPr>
            <w:tcW w:w="4012" w:type="dxa"/>
          </w:tcPr>
          <w:p>
            <w:pPr>
              <w:pStyle w:val="TableParagraph"/>
              <w:spacing w:before="6"/>
              <w:ind w:left="50"/>
              <w:rPr>
                <w:sz w:val="20"/>
              </w:rPr>
            </w:pPr>
            <w:r>
              <w:rPr>
                <w:sz w:val="20"/>
              </w:rPr>
              <w:t>Premises</w:t>
            </w:r>
            <w:r>
              <w:rPr>
                <w:spacing w:val="-11"/>
                <w:sz w:val="20"/>
              </w:rPr>
              <w:t> </w:t>
            </w:r>
            <w:r>
              <w:rPr>
                <w:spacing w:val="-2"/>
                <w:sz w:val="20"/>
              </w:rPr>
              <w:t>costs</w:t>
            </w:r>
          </w:p>
        </w:tc>
        <w:tc>
          <w:tcPr>
            <w:tcW w:w="1142" w:type="dxa"/>
            <w:tcBorders>
              <w:bottom w:val="single" w:sz="4" w:space="0" w:color="000000"/>
            </w:tcBorders>
          </w:tcPr>
          <w:p>
            <w:pPr>
              <w:pStyle w:val="TableParagraph"/>
              <w:spacing w:before="28"/>
              <w:ind w:right="109"/>
              <w:jc w:val="right"/>
              <w:rPr>
                <w:sz w:val="20"/>
              </w:rPr>
            </w:pPr>
            <w:r>
              <w:rPr>
                <w:spacing w:val="-2"/>
                <w:sz w:val="20"/>
              </w:rPr>
              <w:t>2,246</w:t>
            </w:r>
          </w:p>
        </w:tc>
        <w:tc>
          <w:tcPr>
            <w:tcW w:w="276" w:type="dxa"/>
          </w:tcPr>
          <w:p>
            <w:pPr>
              <w:pStyle w:val="TableParagraph"/>
              <w:rPr>
                <w:rFonts w:ascii="Times New Roman"/>
                <w:sz w:val="20"/>
              </w:rPr>
            </w:pPr>
          </w:p>
        </w:tc>
        <w:tc>
          <w:tcPr>
            <w:tcW w:w="998" w:type="dxa"/>
            <w:tcBorders>
              <w:bottom w:val="single" w:sz="4" w:space="0" w:color="000000"/>
            </w:tcBorders>
          </w:tcPr>
          <w:p>
            <w:pPr>
              <w:pStyle w:val="TableParagraph"/>
              <w:spacing w:before="28"/>
              <w:ind w:right="157"/>
              <w:jc w:val="right"/>
              <w:rPr>
                <w:sz w:val="20"/>
              </w:rPr>
            </w:pPr>
            <w:r>
              <w:rPr>
                <w:spacing w:val="-2"/>
                <w:sz w:val="20"/>
              </w:rPr>
              <w:t>2,246</w:t>
            </w:r>
          </w:p>
        </w:tc>
        <w:tc>
          <w:tcPr>
            <w:tcW w:w="420" w:type="dxa"/>
          </w:tcPr>
          <w:p>
            <w:pPr>
              <w:pStyle w:val="TableParagraph"/>
              <w:rPr>
                <w:rFonts w:ascii="Times New Roman"/>
                <w:sz w:val="20"/>
              </w:rPr>
            </w:pPr>
          </w:p>
        </w:tc>
        <w:tc>
          <w:tcPr>
            <w:tcW w:w="998" w:type="dxa"/>
            <w:tcBorders>
              <w:bottom w:val="single" w:sz="4" w:space="0" w:color="000000"/>
            </w:tcBorders>
          </w:tcPr>
          <w:p>
            <w:pPr>
              <w:pStyle w:val="TableParagraph"/>
              <w:spacing w:before="28"/>
              <w:ind w:right="108"/>
              <w:jc w:val="right"/>
              <w:rPr>
                <w:sz w:val="20"/>
              </w:rPr>
            </w:pPr>
            <w:r>
              <w:rPr>
                <w:spacing w:val="-2"/>
                <w:sz w:val="20"/>
              </w:rPr>
              <w:t>1,880</w:t>
            </w:r>
          </w:p>
        </w:tc>
        <w:tc>
          <w:tcPr>
            <w:tcW w:w="276" w:type="dxa"/>
          </w:tcPr>
          <w:p>
            <w:pPr>
              <w:pStyle w:val="TableParagraph"/>
              <w:rPr>
                <w:rFonts w:ascii="Times New Roman"/>
                <w:sz w:val="20"/>
              </w:rPr>
            </w:pPr>
          </w:p>
        </w:tc>
        <w:tc>
          <w:tcPr>
            <w:tcW w:w="1001" w:type="dxa"/>
            <w:tcBorders>
              <w:bottom w:val="single" w:sz="4" w:space="0" w:color="000000"/>
            </w:tcBorders>
          </w:tcPr>
          <w:p>
            <w:pPr>
              <w:pStyle w:val="TableParagraph"/>
              <w:spacing w:before="28"/>
              <w:ind w:right="157"/>
              <w:jc w:val="right"/>
              <w:rPr>
                <w:sz w:val="20"/>
              </w:rPr>
            </w:pPr>
            <w:r>
              <w:rPr>
                <w:spacing w:val="-2"/>
                <w:sz w:val="20"/>
              </w:rPr>
              <w:t>1,880</w:t>
            </w:r>
          </w:p>
        </w:tc>
      </w:tr>
      <w:tr>
        <w:trPr>
          <w:trHeight w:val="270" w:hRule="atLeast"/>
        </w:trPr>
        <w:tc>
          <w:tcPr>
            <w:tcW w:w="4012" w:type="dxa"/>
          </w:tcPr>
          <w:p>
            <w:pPr>
              <w:pStyle w:val="TableParagraph"/>
              <w:spacing w:before="18"/>
              <w:ind w:left="50"/>
              <w:rPr>
                <w:b/>
                <w:sz w:val="20"/>
              </w:rPr>
            </w:pPr>
            <w:r>
              <w:rPr>
                <w:b/>
                <w:spacing w:val="-2"/>
                <w:sz w:val="20"/>
              </w:rPr>
              <w:t>Total</w:t>
            </w:r>
          </w:p>
        </w:tc>
        <w:tc>
          <w:tcPr>
            <w:tcW w:w="1142" w:type="dxa"/>
            <w:tcBorders>
              <w:top w:val="single" w:sz="4" w:space="0" w:color="000000"/>
              <w:bottom w:val="double" w:sz="4" w:space="0" w:color="000000"/>
            </w:tcBorders>
          </w:tcPr>
          <w:p>
            <w:pPr>
              <w:pStyle w:val="TableParagraph"/>
              <w:spacing w:before="18"/>
              <w:ind w:right="110"/>
              <w:jc w:val="right"/>
              <w:rPr>
                <w:sz w:val="20"/>
              </w:rPr>
            </w:pPr>
            <w:r>
              <w:rPr>
                <w:spacing w:val="-2"/>
                <w:sz w:val="20"/>
              </w:rPr>
              <w:t>10,895</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7"/>
              <w:jc w:val="right"/>
              <w:rPr>
                <w:sz w:val="20"/>
              </w:rPr>
            </w:pPr>
            <w:r>
              <w:rPr>
                <w:spacing w:val="-2"/>
                <w:sz w:val="20"/>
              </w:rPr>
              <w:t>10,749</w:t>
            </w:r>
          </w:p>
        </w:tc>
        <w:tc>
          <w:tcPr>
            <w:tcW w:w="420"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9"/>
              <w:jc w:val="right"/>
              <w:rPr>
                <w:sz w:val="20"/>
              </w:rPr>
            </w:pPr>
            <w:r>
              <w:rPr>
                <w:spacing w:val="-2"/>
                <w:sz w:val="20"/>
              </w:rPr>
              <w:t>11,515</w:t>
            </w:r>
          </w:p>
        </w:tc>
        <w:tc>
          <w:tcPr>
            <w:tcW w:w="276"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57"/>
              <w:jc w:val="right"/>
              <w:rPr>
                <w:sz w:val="20"/>
              </w:rPr>
            </w:pPr>
            <w:r>
              <w:rPr>
                <w:spacing w:val="-2"/>
                <w:sz w:val="20"/>
              </w:rPr>
              <w:t>11,348</w:t>
            </w:r>
          </w:p>
        </w:tc>
      </w:tr>
    </w:tbl>
    <w:p>
      <w:pPr>
        <w:spacing w:before="99"/>
        <w:ind w:left="1418" w:right="0" w:firstLine="0"/>
        <w:jc w:val="left"/>
        <w:rPr>
          <w:b/>
          <w:sz w:val="20"/>
        </w:rPr>
      </w:pPr>
      <w:r>
        <w:rPr>
          <w:b/>
          <w:sz w:val="20"/>
        </w:rPr>
        <w:t>Surplus/(deficit)</w:t>
      </w:r>
      <w:r>
        <w:rPr>
          <w:b/>
          <w:spacing w:val="-10"/>
          <w:sz w:val="20"/>
        </w:rPr>
        <w:t> </w:t>
      </w:r>
      <w:r>
        <w:rPr>
          <w:b/>
          <w:sz w:val="20"/>
        </w:rPr>
        <w:t>before</w:t>
      </w:r>
      <w:r>
        <w:rPr>
          <w:b/>
          <w:spacing w:val="-10"/>
          <w:sz w:val="20"/>
        </w:rPr>
        <w:t> </w:t>
      </w:r>
      <w:r>
        <w:rPr>
          <w:b/>
          <w:sz w:val="20"/>
        </w:rPr>
        <w:t>taxation</w:t>
      </w:r>
      <w:r>
        <w:rPr>
          <w:b/>
          <w:spacing w:val="-9"/>
          <w:sz w:val="20"/>
        </w:rPr>
        <w:t> </w:t>
      </w:r>
      <w:r>
        <w:rPr>
          <w:b/>
          <w:sz w:val="20"/>
        </w:rPr>
        <w:t>is</w:t>
      </w:r>
      <w:r>
        <w:rPr>
          <w:b/>
          <w:spacing w:val="-9"/>
          <w:sz w:val="20"/>
        </w:rPr>
        <w:t> </w:t>
      </w:r>
      <w:r>
        <w:rPr>
          <w:b/>
          <w:sz w:val="20"/>
        </w:rPr>
        <w:t>stated</w:t>
      </w:r>
      <w:r>
        <w:rPr>
          <w:b/>
          <w:spacing w:val="-9"/>
          <w:sz w:val="20"/>
        </w:rPr>
        <w:t> </w:t>
      </w:r>
      <w:r>
        <w:rPr>
          <w:b/>
          <w:sz w:val="20"/>
        </w:rPr>
        <w:t>after</w:t>
      </w:r>
      <w:r>
        <w:rPr>
          <w:b/>
          <w:spacing w:val="-8"/>
          <w:sz w:val="20"/>
        </w:rPr>
        <w:t> </w:t>
      </w:r>
      <w:r>
        <w:rPr>
          <w:b/>
          <w:spacing w:val="-2"/>
          <w:sz w:val="20"/>
        </w:rPr>
        <w:t>charging:</w:t>
      </w:r>
    </w:p>
    <w:p>
      <w:pPr>
        <w:tabs>
          <w:tab w:pos="8417" w:val="left" w:leader="none"/>
        </w:tabs>
        <w:spacing w:before="159"/>
        <w:ind w:left="5652" w:right="0" w:firstLine="0"/>
        <w:jc w:val="left"/>
        <w:rPr>
          <w:b/>
          <w:sz w:val="20"/>
        </w:rPr>
      </w:pPr>
      <w:r>
        <w:rPr>
          <w:b/>
          <w:sz w:val="20"/>
        </w:rPr>
        <mc:AlternateContent>
          <mc:Choice Requires="wps">
            <w:drawing>
              <wp:anchor distT="0" distB="0" distL="0" distR="0" allowOverlap="1" layoutInCell="1" locked="0" behindDoc="0" simplePos="0" relativeHeight="15745536">
                <wp:simplePos x="0" y="0"/>
                <wp:positionH relativeFrom="page">
                  <wp:posOffset>3820159</wp:posOffset>
                </wp:positionH>
                <wp:positionV relativeFrom="paragraph">
                  <wp:posOffset>278015</wp:posOffset>
                </wp:positionV>
                <wp:extent cx="3216275" cy="166370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3216275" cy="16637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6"/>
                              <w:gridCol w:w="1407"/>
                              <w:gridCol w:w="1289"/>
                              <w:gridCol w:w="1104"/>
                            </w:tblGrid>
                            <w:tr>
                              <w:trPr>
                                <w:trHeight w:val="245" w:hRule="atLeast"/>
                              </w:trPr>
                              <w:tc>
                                <w:tcPr>
                                  <w:tcW w:w="1146" w:type="dxa"/>
                                </w:tcPr>
                                <w:p>
                                  <w:pPr>
                                    <w:pStyle w:val="TableParagraph"/>
                                    <w:spacing w:line="223" w:lineRule="exact"/>
                                    <w:ind w:right="276"/>
                                    <w:jc w:val="right"/>
                                    <w:rPr>
                                      <w:b/>
                                      <w:sz w:val="20"/>
                                    </w:rPr>
                                  </w:pPr>
                                  <w:r>
                                    <w:rPr>
                                      <w:b/>
                                      <w:spacing w:val="-4"/>
                                      <w:sz w:val="20"/>
                                    </w:rPr>
                                    <w:t>2023</w:t>
                                  </w:r>
                                </w:p>
                              </w:tc>
                              <w:tc>
                                <w:tcPr>
                                  <w:tcW w:w="1407" w:type="dxa"/>
                                </w:tcPr>
                                <w:p>
                                  <w:pPr>
                                    <w:pStyle w:val="TableParagraph"/>
                                    <w:spacing w:line="223" w:lineRule="exact"/>
                                    <w:ind w:right="409"/>
                                    <w:jc w:val="right"/>
                                    <w:rPr>
                                      <w:b/>
                                      <w:sz w:val="20"/>
                                    </w:rPr>
                                  </w:pPr>
                                  <w:r>
                                    <w:rPr>
                                      <w:b/>
                                      <w:spacing w:val="-4"/>
                                      <w:sz w:val="20"/>
                                    </w:rPr>
                                    <w:t>2023</w:t>
                                  </w:r>
                                </w:p>
                              </w:tc>
                              <w:tc>
                                <w:tcPr>
                                  <w:tcW w:w="1289" w:type="dxa"/>
                                </w:tcPr>
                                <w:p>
                                  <w:pPr>
                                    <w:pStyle w:val="TableParagraph"/>
                                    <w:spacing w:line="223" w:lineRule="exact"/>
                                    <w:ind w:right="279"/>
                                    <w:jc w:val="right"/>
                                    <w:rPr>
                                      <w:b/>
                                      <w:sz w:val="20"/>
                                    </w:rPr>
                                  </w:pPr>
                                  <w:r>
                                    <w:rPr>
                                      <w:b/>
                                      <w:spacing w:val="-4"/>
                                      <w:sz w:val="20"/>
                                    </w:rPr>
                                    <w:t>2022</w:t>
                                  </w:r>
                                </w:p>
                              </w:tc>
                              <w:tc>
                                <w:tcPr>
                                  <w:tcW w:w="1104" w:type="dxa"/>
                                </w:tcPr>
                                <w:p>
                                  <w:pPr>
                                    <w:pStyle w:val="TableParagraph"/>
                                    <w:spacing w:line="223" w:lineRule="exact"/>
                                    <w:ind w:right="104"/>
                                    <w:jc w:val="right"/>
                                    <w:rPr>
                                      <w:b/>
                                      <w:sz w:val="20"/>
                                    </w:rPr>
                                  </w:pPr>
                                  <w:r>
                                    <w:rPr>
                                      <w:b/>
                                      <w:spacing w:val="-4"/>
                                      <w:sz w:val="20"/>
                                    </w:rPr>
                                    <w:t>2022</w:t>
                                  </w:r>
                                </w:p>
                              </w:tc>
                            </w:tr>
                            <w:tr>
                              <w:trPr>
                                <w:trHeight w:val="270" w:hRule="atLeast"/>
                              </w:trPr>
                              <w:tc>
                                <w:tcPr>
                                  <w:tcW w:w="1146" w:type="dxa"/>
                                </w:tcPr>
                                <w:p>
                                  <w:pPr>
                                    <w:pStyle w:val="TableParagraph"/>
                                    <w:spacing w:before="16"/>
                                    <w:ind w:right="275"/>
                                    <w:jc w:val="right"/>
                                    <w:rPr>
                                      <w:b/>
                                      <w:sz w:val="20"/>
                                    </w:rPr>
                                  </w:pPr>
                                  <w:r>
                                    <w:rPr>
                                      <w:b/>
                                      <w:spacing w:val="-4"/>
                                      <w:sz w:val="20"/>
                                    </w:rPr>
                                    <w:t>Group</w:t>
                                  </w:r>
                                </w:p>
                              </w:tc>
                              <w:tc>
                                <w:tcPr>
                                  <w:tcW w:w="1407" w:type="dxa"/>
                                </w:tcPr>
                                <w:p>
                                  <w:pPr>
                                    <w:pStyle w:val="TableParagraph"/>
                                    <w:spacing w:before="16"/>
                                    <w:ind w:right="409"/>
                                    <w:jc w:val="right"/>
                                    <w:rPr>
                                      <w:b/>
                                      <w:sz w:val="20"/>
                                    </w:rPr>
                                  </w:pPr>
                                  <w:r>
                                    <w:rPr>
                                      <w:b/>
                                      <w:spacing w:val="-2"/>
                                      <w:sz w:val="20"/>
                                    </w:rPr>
                                    <w:t>College</w:t>
                                  </w:r>
                                </w:p>
                              </w:tc>
                              <w:tc>
                                <w:tcPr>
                                  <w:tcW w:w="1289" w:type="dxa"/>
                                </w:tcPr>
                                <w:p>
                                  <w:pPr>
                                    <w:pStyle w:val="TableParagraph"/>
                                    <w:spacing w:before="16"/>
                                    <w:ind w:right="278"/>
                                    <w:jc w:val="right"/>
                                    <w:rPr>
                                      <w:b/>
                                      <w:sz w:val="20"/>
                                    </w:rPr>
                                  </w:pPr>
                                  <w:r>
                                    <w:rPr>
                                      <w:b/>
                                      <w:spacing w:val="-4"/>
                                      <w:sz w:val="20"/>
                                    </w:rPr>
                                    <w:t>Group</w:t>
                                  </w:r>
                                </w:p>
                              </w:tc>
                              <w:tc>
                                <w:tcPr>
                                  <w:tcW w:w="1104" w:type="dxa"/>
                                </w:tcPr>
                                <w:p>
                                  <w:pPr>
                                    <w:pStyle w:val="TableParagraph"/>
                                    <w:spacing w:before="16"/>
                                    <w:ind w:right="104"/>
                                    <w:jc w:val="right"/>
                                    <w:rPr>
                                      <w:b/>
                                      <w:sz w:val="20"/>
                                    </w:rPr>
                                  </w:pPr>
                                  <w:r>
                                    <w:rPr>
                                      <w:b/>
                                      <w:spacing w:val="-2"/>
                                      <w:sz w:val="20"/>
                                    </w:rPr>
                                    <w:t>College</w:t>
                                  </w:r>
                                </w:p>
                              </w:tc>
                            </w:tr>
                            <w:tr>
                              <w:trPr>
                                <w:trHeight w:val="260" w:hRule="atLeast"/>
                              </w:trPr>
                              <w:tc>
                                <w:tcPr>
                                  <w:tcW w:w="1146" w:type="dxa"/>
                                </w:tcPr>
                                <w:p>
                                  <w:pPr>
                                    <w:pStyle w:val="TableParagraph"/>
                                    <w:spacing w:line="223" w:lineRule="exact" w:before="17"/>
                                    <w:ind w:right="276"/>
                                    <w:jc w:val="right"/>
                                    <w:rPr>
                                      <w:b/>
                                      <w:sz w:val="20"/>
                                    </w:rPr>
                                  </w:pPr>
                                  <w:r>
                                    <w:rPr>
                                      <w:b/>
                                      <w:spacing w:val="-2"/>
                                      <w:sz w:val="20"/>
                                    </w:rPr>
                                    <w:t>£’000</w:t>
                                  </w:r>
                                </w:p>
                              </w:tc>
                              <w:tc>
                                <w:tcPr>
                                  <w:tcW w:w="1407" w:type="dxa"/>
                                </w:tcPr>
                                <w:p>
                                  <w:pPr>
                                    <w:pStyle w:val="TableParagraph"/>
                                    <w:spacing w:line="223" w:lineRule="exact" w:before="17"/>
                                    <w:ind w:right="409"/>
                                    <w:jc w:val="right"/>
                                    <w:rPr>
                                      <w:b/>
                                      <w:sz w:val="20"/>
                                    </w:rPr>
                                  </w:pPr>
                                  <w:r>
                                    <w:rPr>
                                      <w:b/>
                                      <w:spacing w:val="-2"/>
                                      <w:sz w:val="20"/>
                                    </w:rPr>
                                    <w:t>£’000</w:t>
                                  </w:r>
                                </w:p>
                              </w:tc>
                              <w:tc>
                                <w:tcPr>
                                  <w:tcW w:w="1289" w:type="dxa"/>
                                </w:tcPr>
                                <w:p>
                                  <w:pPr>
                                    <w:pStyle w:val="TableParagraph"/>
                                    <w:spacing w:line="223" w:lineRule="exact" w:before="17"/>
                                    <w:ind w:right="279"/>
                                    <w:jc w:val="right"/>
                                    <w:rPr>
                                      <w:b/>
                                      <w:sz w:val="20"/>
                                    </w:rPr>
                                  </w:pPr>
                                  <w:r>
                                    <w:rPr>
                                      <w:b/>
                                      <w:spacing w:val="-2"/>
                                      <w:sz w:val="20"/>
                                    </w:rPr>
                                    <w:t>£’000</w:t>
                                  </w:r>
                                </w:p>
                              </w:tc>
                              <w:tc>
                                <w:tcPr>
                                  <w:tcW w:w="1104" w:type="dxa"/>
                                </w:tcPr>
                                <w:p>
                                  <w:pPr>
                                    <w:pStyle w:val="TableParagraph"/>
                                    <w:spacing w:line="223" w:lineRule="exact" w:before="17"/>
                                    <w:ind w:right="104"/>
                                    <w:jc w:val="right"/>
                                    <w:rPr>
                                      <w:b/>
                                      <w:sz w:val="20"/>
                                    </w:rPr>
                                  </w:pPr>
                                  <w:r>
                                    <w:rPr>
                                      <w:b/>
                                      <w:spacing w:val="-2"/>
                                      <w:sz w:val="20"/>
                                    </w:rPr>
                                    <w:t>£’000</w:t>
                                  </w:r>
                                </w:p>
                              </w:tc>
                            </w:tr>
                            <w:tr>
                              <w:trPr>
                                <w:trHeight w:val="270" w:hRule="atLeast"/>
                              </w:trPr>
                              <w:tc>
                                <w:tcPr>
                                  <w:tcW w:w="1146" w:type="dxa"/>
                                </w:tcPr>
                                <w:p>
                                  <w:pPr>
                                    <w:pStyle w:val="TableParagraph"/>
                                    <w:rPr>
                                      <w:rFonts w:ascii="Times New Roman"/>
                                      <w:sz w:val="20"/>
                                    </w:rPr>
                                  </w:pPr>
                                </w:p>
                              </w:tc>
                              <w:tc>
                                <w:tcPr>
                                  <w:tcW w:w="1407" w:type="dxa"/>
                                </w:tcPr>
                                <w:p>
                                  <w:pPr>
                                    <w:pStyle w:val="TableParagraph"/>
                                    <w:rPr>
                                      <w:rFonts w:ascii="Times New Roman"/>
                                      <w:sz w:val="20"/>
                                    </w:rPr>
                                  </w:pPr>
                                </w:p>
                              </w:tc>
                              <w:tc>
                                <w:tcPr>
                                  <w:tcW w:w="1289" w:type="dxa"/>
                                </w:tcPr>
                                <w:p>
                                  <w:pPr>
                                    <w:pStyle w:val="TableParagraph"/>
                                    <w:rPr>
                                      <w:rFonts w:ascii="Times New Roman"/>
                                      <w:sz w:val="20"/>
                                    </w:rPr>
                                  </w:pPr>
                                </w:p>
                              </w:tc>
                              <w:tc>
                                <w:tcPr>
                                  <w:tcW w:w="1104" w:type="dxa"/>
                                </w:tcPr>
                                <w:p>
                                  <w:pPr>
                                    <w:pStyle w:val="TableParagraph"/>
                                    <w:rPr>
                                      <w:rFonts w:ascii="Times New Roman"/>
                                      <w:sz w:val="20"/>
                                    </w:rPr>
                                  </w:pPr>
                                </w:p>
                              </w:tc>
                            </w:tr>
                            <w:tr>
                              <w:trPr>
                                <w:trHeight w:val="279" w:hRule="atLeast"/>
                              </w:trPr>
                              <w:tc>
                                <w:tcPr>
                                  <w:tcW w:w="1146" w:type="dxa"/>
                                </w:tcPr>
                                <w:p>
                                  <w:pPr>
                                    <w:pStyle w:val="TableParagraph"/>
                                    <w:spacing w:before="26"/>
                                    <w:ind w:right="276"/>
                                    <w:jc w:val="right"/>
                                    <w:rPr>
                                      <w:sz w:val="20"/>
                                    </w:rPr>
                                  </w:pPr>
                                  <w:r>
                                    <w:rPr>
                                      <w:spacing w:val="-5"/>
                                      <w:sz w:val="20"/>
                                    </w:rPr>
                                    <w:t>89</w:t>
                                  </w:r>
                                </w:p>
                              </w:tc>
                              <w:tc>
                                <w:tcPr>
                                  <w:tcW w:w="1407" w:type="dxa"/>
                                </w:tcPr>
                                <w:p>
                                  <w:pPr>
                                    <w:pStyle w:val="TableParagraph"/>
                                    <w:spacing w:before="26"/>
                                    <w:ind w:right="457"/>
                                    <w:jc w:val="right"/>
                                    <w:rPr>
                                      <w:sz w:val="20"/>
                                    </w:rPr>
                                  </w:pPr>
                                  <w:r>
                                    <w:rPr>
                                      <w:spacing w:val="-5"/>
                                      <w:sz w:val="20"/>
                                    </w:rPr>
                                    <w:t>89</w:t>
                                  </w:r>
                                </w:p>
                              </w:tc>
                              <w:tc>
                                <w:tcPr>
                                  <w:tcW w:w="1289" w:type="dxa"/>
                                </w:tcPr>
                                <w:p>
                                  <w:pPr>
                                    <w:pStyle w:val="TableParagraph"/>
                                    <w:spacing w:before="26"/>
                                    <w:ind w:right="280"/>
                                    <w:jc w:val="right"/>
                                    <w:rPr>
                                      <w:sz w:val="20"/>
                                    </w:rPr>
                                  </w:pPr>
                                  <w:r>
                                    <w:rPr>
                                      <w:spacing w:val="-5"/>
                                      <w:sz w:val="20"/>
                                    </w:rPr>
                                    <w:t>110</w:t>
                                  </w:r>
                                </w:p>
                              </w:tc>
                              <w:tc>
                                <w:tcPr>
                                  <w:tcW w:w="1104" w:type="dxa"/>
                                </w:tcPr>
                                <w:p>
                                  <w:pPr>
                                    <w:pStyle w:val="TableParagraph"/>
                                    <w:spacing w:before="26"/>
                                    <w:ind w:right="155"/>
                                    <w:jc w:val="right"/>
                                    <w:rPr>
                                      <w:sz w:val="20"/>
                                    </w:rPr>
                                  </w:pPr>
                                  <w:r>
                                    <w:rPr>
                                      <w:spacing w:val="-5"/>
                                      <w:sz w:val="20"/>
                                    </w:rPr>
                                    <w:t>110</w:t>
                                  </w:r>
                                </w:p>
                              </w:tc>
                            </w:tr>
                            <w:tr>
                              <w:trPr>
                                <w:trHeight w:val="270" w:hRule="atLeast"/>
                              </w:trPr>
                              <w:tc>
                                <w:tcPr>
                                  <w:tcW w:w="1146" w:type="dxa"/>
                                </w:tcPr>
                                <w:p>
                                  <w:pPr>
                                    <w:pStyle w:val="TableParagraph"/>
                                    <w:spacing w:before="16"/>
                                    <w:ind w:right="274"/>
                                    <w:jc w:val="right"/>
                                    <w:rPr>
                                      <w:sz w:val="20"/>
                                    </w:rPr>
                                  </w:pPr>
                                  <w:r>
                                    <w:rPr>
                                      <w:spacing w:val="-10"/>
                                      <w:sz w:val="20"/>
                                    </w:rPr>
                                    <w:t>4</w:t>
                                  </w:r>
                                </w:p>
                              </w:tc>
                              <w:tc>
                                <w:tcPr>
                                  <w:tcW w:w="1407" w:type="dxa"/>
                                </w:tcPr>
                                <w:p>
                                  <w:pPr>
                                    <w:pStyle w:val="TableParagraph"/>
                                    <w:spacing w:before="16"/>
                                    <w:ind w:right="455"/>
                                    <w:jc w:val="right"/>
                                    <w:rPr>
                                      <w:sz w:val="20"/>
                                    </w:rPr>
                                  </w:pPr>
                                  <w:r>
                                    <w:rPr>
                                      <w:spacing w:val="-10"/>
                                      <w:sz w:val="20"/>
                                    </w:rPr>
                                    <w:t>-</w:t>
                                  </w:r>
                                </w:p>
                              </w:tc>
                              <w:tc>
                                <w:tcPr>
                                  <w:tcW w:w="1289" w:type="dxa"/>
                                </w:tcPr>
                                <w:p>
                                  <w:pPr>
                                    <w:pStyle w:val="TableParagraph"/>
                                    <w:spacing w:before="16"/>
                                    <w:ind w:right="277"/>
                                    <w:jc w:val="right"/>
                                    <w:rPr>
                                      <w:sz w:val="20"/>
                                    </w:rPr>
                                  </w:pPr>
                                  <w:r>
                                    <w:rPr>
                                      <w:spacing w:val="-10"/>
                                      <w:sz w:val="20"/>
                                    </w:rPr>
                                    <w:t>4</w:t>
                                  </w:r>
                                </w:p>
                              </w:tc>
                              <w:tc>
                                <w:tcPr>
                                  <w:tcW w:w="1104" w:type="dxa"/>
                                </w:tcPr>
                                <w:p>
                                  <w:pPr>
                                    <w:pStyle w:val="TableParagraph"/>
                                    <w:spacing w:before="16"/>
                                    <w:ind w:right="153"/>
                                    <w:jc w:val="right"/>
                                    <w:rPr>
                                      <w:sz w:val="20"/>
                                    </w:rPr>
                                  </w:pPr>
                                  <w:r>
                                    <w:rPr>
                                      <w:spacing w:val="-10"/>
                                      <w:sz w:val="20"/>
                                    </w:rPr>
                                    <w:t>-</w:t>
                                  </w:r>
                                </w:p>
                              </w:tc>
                            </w:tr>
                            <w:tr>
                              <w:trPr>
                                <w:trHeight w:val="260" w:hRule="atLeast"/>
                              </w:trPr>
                              <w:tc>
                                <w:tcPr>
                                  <w:tcW w:w="1146" w:type="dxa"/>
                                </w:tcPr>
                                <w:p>
                                  <w:pPr>
                                    <w:pStyle w:val="TableParagraph"/>
                                    <w:spacing w:line="223" w:lineRule="exact" w:before="17"/>
                                    <w:ind w:right="276"/>
                                    <w:jc w:val="right"/>
                                    <w:rPr>
                                      <w:sz w:val="20"/>
                                    </w:rPr>
                                  </w:pPr>
                                  <w:r>
                                    <w:rPr>
                                      <w:spacing w:val="-5"/>
                                      <w:sz w:val="20"/>
                                    </w:rPr>
                                    <w:t>35</w:t>
                                  </w:r>
                                </w:p>
                              </w:tc>
                              <w:tc>
                                <w:tcPr>
                                  <w:tcW w:w="1407" w:type="dxa"/>
                                </w:tcPr>
                                <w:p>
                                  <w:pPr>
                                    <w:pStyle w:val="TableParagraph"/>
                                    <w:spacing w:line="223" w:lineRule="exact" w:before="17"/>
                                    <w:ind w:right="457"/>
                                    <w:jc w:val="right"/>
                                    <w:rPr>
                                      <w:sz w:val="20"/>
                                    </w:rPr>
                                  </w:pPr>
                                  <w:r>
                                    <w:rPr>
                                      <w:spacing w:val="-5"/>
                                      <w:sz w:val="20"/>
                                    </w:rPr>
                                    <w:t>35</w:t>
                                  </w:r>
                                </w:p>
                              </w:tc>
                              <w:tc>
                                <w:tcPr>
                                  <w:tcW w:w="1289" w:type="dxa"/>
                                </w:tcPr>
                                <w:p>
                                  <w:pPr>
                                    <w:pStyle w:val="TableParagraph"/>
                                    <w:spacing w:line="223" w:lineRule="exact" w:before="17"/>
                                    <w:ind w:right="280"/>
                                    <w:jc w:val="right"/>
                                    <w:rPr>
                                      <w:sz w:val="20"/>
                                    </w:rPr>
                                  </w:pPr>
                                  <w:r>
                                    <w:rPr>
                                      <w:spacing w:val="-5"/>
                                      <w:sz w:val="20"/>
                                    </w:rPr>
                                    <w:t>45</w:t>
                                  </w:r>
                                </w:p>
                              </w:tc>
                              <w:tc>
                                <w:tcPr>
                                  <w:tcW w:w="1104" w:type="dxa"/>
                                </w:tcPr>
                                <w:p>
                                  <w:pPr>
                                    <w:pStyle w:val="TableParagraph"/>
                                    <w:spacing w:line="223" w:lineRule="exact" w:before="17"/>
                                    <w:ind w:right="155"/>
                                    <w:jc w:val="right"/>
                                    <w:rPr>
                                      <w:sz w:val="20"/>
                                    </w:rPr>
                                  </w:pPr>
                                  <w:r>
                                    <w:rPr>
                                      <w:spacing w:val="-5"/>
                                      <w:sz w:val="20"/>
                                    </w:rPr>
                                    <w:t>45</w:t>
                                  </w:r>
                                </w:p>
                              </w:tc>
                            </w:tr>
                            <w:tr>
                              <w:trPr>
                                <w:trHeight w:val="479" w:hRule="atLeast"/>
                              </w:trPr>
                              <w:tc>
                                <w:tcPr>
                                  <w:tcW w:w="1146" w:type="dxa"/>
                                </w:tcPr>
                                <w:p>
                                  <w:pPr>
                                    <w:pStyle w:val="TableParagraph"/>
                                    <w:spacing w:before="6"/>
                                    <w:rPr>
                                      <w:sz w:val="20"/>
                                    </w:rPr>
                                  </w:pPr>
                                </w:p>
                                <w:p>
                                  <w:pPr>
                                    <w:pStyle w:val="TableParagraph"/>
                                    <w:spacing w:line="223" w:lineRule="exact"/>
                                    <w:ind w:right="276"/>
                                    <w:jc w:val="right"/>
                                    <w:rPr>
                                      <w:sz w:val="20"/>
                                    </w:rPr>
                                  </w:pPr>
                                  <w:r>
                                    <w:rPr>
                                      <w:spacing w:val="-5"/>
                                      <w:sz w:val="20"/>
                                    </w:rPr>
                                    <w:t>28</w:t>
                                  </w:r>
                                </w:p>
                              </w:tc>
                              <w:tc>
                                <w:tcPr>
                                  <w:tcW w:w="1407" w:type="dxa"/>
                                </w:tcPr>
                                <w:p>
                                  <w:pPr>
                                    <w:pStyle w:val="TableParagraph"/>
                                    <w:spacing w:before="215"/>
                                    <w:ind w:right="409"/>
                                    <w:jc w:val="right"/>
                                    <w:rPr>
                                      <w:sz w:val="20"/>
                                    </w:rPr>
                                  </w:pPr>
                                  <w:r>
                                    <w:rPr>
                                      <w:spacing w:val="-5"/>
                                      <w:sz w:val="20"/>
                                    </w:rPr>
                                    <w:t>20</w:t>
                                  </w:r>
                                </w:p>
                              </w:tc>
                              <w:tc>
                                <w:tcPr>
                                  <w:tcW w:w="1289" w:type="dxa"/>
                                </w:tcPr>
                                <w:p>
                                  <w:pPr>
                                    <w:pStyle w:val="TableParagraph"/>
                                    <w:spacing w:before="215"/>
                                    <w:ind w:right="280"/>
                                    <w:jc w:val="right"/>
                                    <w:rPr>
                                      <w:sz w:val="20"/>
                                    </w:rPr>
                                  </w:pPr>
                                  <w:r>
                                    <w:rPr>
                                      <w:spacing w:val="-5"/>
                                      <w:sz w:val="20"/>
                                    </w:rPr>
                                    <w:t>21</w:t>
                                  </w:r>
                                </w:p>
                              </w:tc>
                              <w:tc>
                                <w:tcPr>
                                  <w:tcW w:w="1104" w:type="dxa"/>
                                </w:tcPr>
                                <w:p>
                                  <w:pPr>
                                    <w:pStyle w:val="TableParagraph"/>
                                    <w:spacing w:before="215"/>
                                    <w:ind w:right="155"/>
                                    <w:jc w:val="right"/>
                                    <w:rPr>
                                      <w:sz w:val="20"/>
                                    </w:rPr>
                                  </w:pPr>
                                  <w:r>
                                    <w:rPr>
                                      <w:spacing w:val="-5"/>
                                      <w:sz w:val="20"/>
                                    </w:rPr>
                                    <w:t>14</w:t>
                                  </w:r>
                                </w:p>
                              </w:tc>
                            </w:tr>
                            <w:tr>
                              <w:trPr>
                                <w:trHeight w:val="287" w:hRule="atLeast"/>
                              </w:trPr>
                              <w:tc>
                                <w:tcPr>
                                  <w:tcW w:w="1146" w:type="dxa"/>
                                </w:tcPr>
                                <w:p>
                                  <w:pPr>
                                    <w:pStyle w:val="TableParagraph"/>
                                    <w:spacing w:before="6"/>
                                    <w:ind w:right="276"/>
                                    <w:jc w:val="right"/>
                                    <w:rPr>
                                      <w:sz w:val="20"/>
                                    </w:rPr>
                                  </w:pPr>
                                  <w:r>
                                    <w:rPr>
                                      <w:spacing w:val="-5"/>
                                      <w:sz w:val="20"/>
                                    </w:rPr>
                                    <w:t>82</w:t>
                                  </w:r>
                                </w:p>
                              </w:tc>
                              <w:tc>
                                <w:tcPr>
                                  <w:tcW w:w="1407" w:type="dxa"/>
                                </w:tcPr>
                                <w:p>
                                  <w:pPr>
                                    <w:pStyle w:val="TableParagraph"/>
                                    <w:spacing w:before="6"/>
                                    <w:ind w:right="409"/>
                                    <w:jc w:val="right"/>
                                    <w:rPr>
                                      <w:sz w:val="20"/>
                                    </w:rPr>
                                  </w:pPr>
                                  <w:r>
                                    <w:rPr>
                                      <w:spacing w:val="-5"/>
                                      <w:sz w:val="20"/>
                                    </w:rPr>
                                    <w:t>82</w:t>
                                  </w:r>
                                </w:p>
                              </w:tc>
                              <w:tc>
                                <w:tcPr>
                                  <w:tcW w:w="1289" w:type="dxa"/>
                                </w:tcPr>
                                <w:p>
                                  <w:pPr>
                                    <w:pStyle w:val="TableParagraph"/>
                                    <w:spacing w:before="6"/>
                                    <w:ind w:right="280"/>
                                    <w:jc w:val="right"/>
                                    <w:rPr>
                                      <w:sz w:val="20"/>
                                    </w:rPr>
                                  </w:pPr>
                                  <w:r>
                                    <w:rPr>
                                      <w:spacing w:val="-5"/>
                                      <w:sz w:val="20"/>
                                    </w:rPr>
                                    <w:t>82</w:t>
                                  </w:r>
                                </w:p>
                              </w:tc>
                              <w:tc>
                                <w:tcPr>
                                  <w:tcW w:w="1104" w:type="dxa"/>
                                </w:tcPr>
                                <w:p>
                                  <w:pPr>
                                    <w:pStyle w:val="TableParagraph"/>
                                    <w:spacing w:before="6"/>
                                    <w:ind w:right="155"/>
                                    <w:jc w:val="right"/>
                                    <w:rPr>
                                      <w:sz w:val="20"/>
                                    </w:rPr>
                                  </w:pPr>
                                  <w:r>
                                    <w:rPr>
                                      <w:spacing w:val="-5"/>
                                      <w:sz w:val="20"/>
                                    </w:rPr>
                                    <w:t>82</w:t>
                                  </w:r>
                                </w:p>
                              </w:tc>
                            </w:tr>
                          </w:tbl>
                          <w:p>
                            <w:pPr>
                              <w:pStyle w:val="BodyText"/>
                            </w:pPr>
                          </w:p>
                        </w:txbxContent>
                      </wps:txbx>
                      <wps:bodyPr wrap="square" lIns="0" tIns="0" rIns="0" bIns="0" rtlCol="0">
                        <a:noAutofit/>
                      </wps:bodyPr>
                    </wps:wsp>
                  </a:graphicData>
                </a:graphic>
              </wp:anchor>
            </w:drawing>
          </mc:Choice>
          <mc:Fallback>
            <w:pict>
              <v:shape style="position:absolute;margin-left:300.799988pt;margin-top:21.890976pt;width:253.25pt;height:131pt;mso-position-horizontal-relative:page;mso-position-vertical-relative:paragraph;z-index:15745536" type="#_x0000_t202" id="docshape8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6"/>
                        <w:gridCol w:w="1407"/>
                        <w:gridCol w:w="1289"/>
                        <w:gridCol w:w="1104"/>
                      </w:tblGrid>
                      <w:tr>
                        <w:trPr>
                          <w:trHeight w:val="245" w:hRule="atLeast"/>
                        </w:trPr>
                        <w:tc>
                          <w:tcPr>
                            <w:tcW w:w="1146" w:type="dxa"/>
                          </w:tcPr>
                          <w:p>
                            <w:pPr>
                              <w:pStyle w:val="TableParagraph"/>
                              <w:spacing w:line="223" w:lineRule="exact"/>
                              <w:ind w:right="276"/>
                              <w:jc w:val="right"/>
                              <w:rPr>
                                <w:b/>
                                <w:sz w:val="20"/>
                              </w:rPr>
                            </w:pPr>
                            <w:r>
                              <w:rPr>
                                <w:b/>
                                <w:spacing w:val="-4"/>
                                <w:sz w:val="20"/>
                              </w:rPr>
                              <w:t>2023</w:t>
                            </w:r>
                          </w:p>
                        </w:tc>
                        <w:tc>
                          <w:tcPr>
                            <w:tcW w:w="1407" w:type="dxa"/>
                          </w:tcPr>
                          <w:p>
                            <w:pPr>
                              <w:pStyle w:val="TableParagraph"/>
                              <w:spacing w:line="223" w:lineRule="exact"/>
                              <w:ind w:right="409"/>
                              <w:jc w:val="right"/>
                              <w:rPr>
                                <w:b/>
                                <w:sz w:val="20"/>
                              </w:rPr>
                            </w:pPr>
                            <w:r>
                              <w:rPr>
                                <w:b/>
                                <w:spacing w:val="-4"/>
                                <w:sz w:val="20"/>
                              </w:rPr>
                              <w:t>2023</w:t>
                            </w:r>
                          </w:p>
                        </w:tc>
                        <w:tc>
                          <w:tcPr>
                            <w:tcW w:w="1289" w:type="dxa"/>
                          </w:tcPr>
                          <w:p>
                            <w:pPr>
                              <w:pStyle w:val="TableParagraph"/>
                              <w:spacing w:line="223" w:lineRule="exact"/>
                              <w:ind w:right="279"/>
                              <w:jc w:val="right"/>
                              <w:rPr>
                                <w:b/>
                                <w:sz w:val="20"/>
                              </w:rPr>
                            </w:pPr>
                            <w:r>
                              <w:rPr>
                                <w:b/>
                                <w:spacing w:val="-4"/>
                                <w:sz w:val="20"/>
                              </w:rPr>
                              <w:t>2022</w:t>
                            </w:r>
                          </w:p>
                        </w:tc>
                        <w:tc>
                          <w:tcPr>
                            <w:tcW w:w="1104" w:type="dxa"/>
                          </w:tcPr>
                          <w:p>
                            <w:pPr>
                              <w:pStyle w:val="TableParagraph"/>
                              <w:spacing w:line="223" w:lineRule="exact"/>
                              <w:ind w:right="104"/>
                              <w:jc w:val="right"/>
                              <w:rPr>
                                <w:b/>
                                <w:sz w:val="20"/>
                              </w:rPr>
                            </w:pPr>
                            <w:r>
                              <w:rPr>
                                <w:b/>
                                <w:spacing w:val="-4"/>
                                <w:sz w:val="20"/>
                              </w:rPr>
                              <w:t>2022</w:t>
                            </w:r>
                          </w:p>
                        </w:tc>
                      </w:tr>
                      <w:tr>
                        <w:trPr>
                          <w:trHeight w:val="270" w:hRule="atLeast"/>
                        </w:trPr>
                        <w:tc>
                          <w:tcPr>
                            <w:tcW w:w="1146" w:type="dxa"/>
                          </w:tcPr>
                          <w:p>
                            <w:pPr>
                              <w:pStyle w:val="TableParagraph"/>
                              <w:spacing w:before="16"/>
                              <w:ind w:right="275"/>
                              <w:jc w:val="right"/>
                              <w:rPr>
                                <w:b/>
                                <w:sz w:val="20"/>
                              </w:rPr>
                            </w:pPr>
                            <w:r>
                              <w:rPr>
                                <w:b/>
                                <w:spacing w:val="-4"/>
                                <w:sz w:val="20"/>
                              </w:rPr>
                              <w:t>Group</w:t>
                            </w:r>
                          </w:p>
                        </w:tc>
                        <w:tc>
                          <w:tcPr>
                            <w:tcW w:w="1407" w:type="dxa"/>
                          </w:tcPr>
                          <w:p>
                            <w:pPr>
                              <w:pStyle w:val="TableParagraph"/>
                              <w:spacing w:before="16"/>
                              <w:ind w:right="409"/>
                              <w:jc w:val="right"/>
                              <w:rPr>
                                <w:b/>
                                <w:sz w:val="20"/>
                              </w:rPr>
                            </w:pPr>
                            <w:r>
                              <w:rPr>
                                <w:b/>
                                <w:spacing w:val="-2"/>
                                <w:sz w:val="20"/>
                              </w:rPr>
                              <w:t>College</w:t>
                            </w:r>
                          </w:p>
                        </w:tc>
                        <w:tc>
                          <w:tcPr>
                            <w:tcW w:w="1289" w:type="dxa"/>
                          </w:tcPr>
                          <w:p>
                            <w:pPr>
                              <w:pStyle w:val="TableParagraph"/>
                              <w:spacing w:before="16"/>
                              <w:ind w:right="278"/>
                              <w:jc w:val="right"/>
                              <w:rPr>
                                <w:b/>
                                <w:sz w:val="20"/>
                              </w:rPr>
                            </w:pPr>
                            <w:r>
                              <w:rPr>
                                <w:b/>
                                <w:spacing w:val="-4"/>
                                <w:sz w:val="20"/>
                              </w:rPr>
                              <w:t>Group</w:t>
                            </w:r>
                          </w:p>
                        </w:tc>
                        <w:tc>
                          <w:tcPr>
                            <w:tcW w:w="1104" w:type="dxa"/>
                          </w:tcPr>
                          <w:p>
                            <w:pPr>
                              <w:pStyle w:val="TableParagraph"/>
                              <w:spacing w:before="16"/>
                              <w:ind w:right="104"/>
                              <w:jc w:val="right"/>
                              <w:rPr>
                                <w:b/>
                                <w:sz w:val="20"/>
                              </w:rPr>
                            </w:pPr>
                            <w:r>
                              <w:rPr>
                                <w:b/>
                                <w:spacing w:val="-2"/>
                                <w:sz w:val="20"/>
                              </w:rPr>
                              <w:t>College</w:t>
                            </w:r>
                          </w:p>
                        </w:tc>
                      </w:tr>
                      <w:tr>
                        <w:trPr>
                          <w:trHeight w:val="260" w:hRule="atLeast"/>
                        </w:trPr>
                        <w:tc>
                          <w:tcPr>
                            <w:tcW w:w="1146" w:type="dxa"/>
                          </w:tcPr>
                          <w:p>
                            <w:pPr>
                              <w:pStyle w:val="TableParagraph"/>
                              <w:spacing w:line="223" w:lineRule="exact" w:before="17"/>
                              <w:ind w:right="276"/>
                              <w:jc w:val="right"/>
                              <w:rPr>
                                <w:b/>
                                <w:sz w:val="20"/>
                              </w:rPr>
                            </w:pPr>
                            <w:r>
                              <w:rPr>
                                <w:b/>
                                <w:spacing w:val="-2"/>
                                <w:sz w:val="20"/>
                              </w:rPr>
                              <w:t>£’000</w:t>
                            </w:r>
                          </w:p>
                        </w:tc>
                        <w:tc>
                          <w:tcPr>
                            <w:tcW w:w="1407" w:type="dxa"/>
                          </w:tcPr>
                          <w:p>
                            <w:pPr>
                              <w:pStyle w:val="TableParagraph"/>
                              <w:spacing w:line="223" w:lineRule="exact" w:before="17"/>
                              <w:ind w:right="409"/>
                              <w:jc w:val="right"/>
                              <w:rPr>
                                <w:b/>
                                <w:sz w:val="20"/>
                              </w:rPr>
                            </w:pPr>
                            <w:r>
                              <w:rPr>
                                <w:b/>
                                <w:spacing w:val="-2"/>
                                <w:sz w:val="20"/>
                              </w:rPr>
                              <w:t>£’000</w:t>
                            </w:r>
                          </w:p>
                        </w:tc>
                        <w:tc>
                          <w:tcPr>
                            <w:tcW w:w="1289" w:type="dxa"/>
                          </w:tcPr>
                          <w:p>
                            <w:pPr>
                              <w:pStyle w:val="TableParagraph"/>
                              <w:spacing w:line="223" w:lineRule="exact" w:before="17"/>
                              <w:ind w:right="279"/>
                              <w:jc w:val="right"/>
                              <w:rPr>
                                <w:b/>
                                <w:sz w:val="20"/>
                              </w:rPr>
                            </w:pPr>
                            <w:r>
                              <w:rPr>
                                <w:b/>
                                <w:spacing w:val="-2"/>
                                <w:sz w:val="20"/>
                              </w:rPr>
                              <w:t>£’000</w:t>
                            </w:r>
                          </w:p>
                        </w:tc>
                        <w:tc>
                          <w:tcPr>
                            <w:tcW w:w="1104" w:type="dxa"/>
                          </w:tcPr>
                          <w:p>
                            <w:pPr>
                              <w:pStyle w:val="TableParagraph"/>
                              <w:spacing w:line="223" w:lineRule="exact" w:before="17"/>
                              <w:ind w:right="104"/>
                              <w:jc w:val="right"/>
                              <w:rPr>
                                <w:b/>
                                <w:sz w:val="20"/>
                              </w:rPr>
                            </w:pPr>
                            <w:r>
                              <w:rPr>
                                <w:b/>
                                <w:spacing w:val="-2"/>
                                <w:sz w:val="20"/>
                              </w:rPr>
                              <w:t>£’000</w:t>
                            </w:r>
                          </w:p>
                        </w:tc>
                      </w:tr>
                      <w:tr>
                        <w:trPr>
                          <w:trHeight w:val="270" w:hRule="atLeast"/>
                        </w:trPr>
                        <w:tc>
                          <w:tcPr>
                            <w:tcW w:w="1146" w:type="dxa"/>
                          </w:tcPr>
                          <w:p>
                            <w:pPr>
                              <w:pStyle w:val="TableParagraph"/>
                              <w:rPr>
                                <w:rFonts w:ascii="Times New Roman"/>
                                <w:sz w:val="20"/>
                              </w:rPr>
                            </w:pPr>
                          </w:p>
                        </w:tc>
                        <w:tc>
                          <w:tcPr>
                            <w:tcW w:w="1407" w:type="dxa"/>
                          </w:tcPr>
                          <w:p>
                            <w:pPr>
                              <w:pStyle w:val="TableParagraph"/>
                              <w:rPr>
                                <w:rFonts w:ascii="Times New Roman"/>
                                <w:sz w:val="20"/>
                              </w:rPr>
                            </w:pPr>
                          </w:p>
                        </w:tc>
                        <w:tc>
                          <w:tcPr>
                            <w:tcW w:w="1289" w:type="dxa"/>
                          </w:tcPr>
                          <w:p>
                            <w:pPr>
                              <w:pStyle w:val="TableParagraph"/>
                              <w:rPr>
                                <w:rFonts w:ascii="Times New Roman"/>
                                <w:sz w:val="20"/>
                              </w:rPr>
                            </w:pPr>
                          </w:p>
                        </w:tc>
                        <w:tc>
                          <w:tcPr>
                            <w:tcW w:w="1104" w:type="dxa"/>
                          </w:tcPr>
                          <w:p>
                            <w:pPr>
                              <w:pStyle w:val="TableParagraph"/>
                              <w:rPr>
                                <w:rFonts w:ascii="Times New Roman"/>
                                <w:sz w:val="20"/>
                              </w:rPr>
                            </w:pPr>
                          </w:p>
                        </w:tc>
                      </w:tr>
                      <w:tr>
                        <w:trPr>
                          <w:trHeight w:val="279" w:hRule="atLeast"/>
                        </w:trPr>
                        <w:tc>
                          <w:tcPr>
                            <w:tcW w:w="1146" w:type="dxa"/>
                          </w:tcPr>
                          <w:p>
                            <w:pPr>
                              <w:pStyle w:val="TableParagraph"/>
                              <w:spacing w:before="26"/>
                              <w:ind w:right="276"/>
                              <w:jc w:val="right"/>
                              <w:rPr>
                                <w:sz w:val="20"/>
                              </w:rPr>
                            </w:pPr>
                            <w:r>
                              <w:rPr>
                                <w:spacing w:val="-5"/>
                                <w:sz w:val="20"/>
                              </w:rPr>
                              <w:t>89</w:t>
                            </w:r>
                          </w:p>
                        </w:tc>
                        <w:tc>
                          <w:tcPr>
                            <w:tcW w:w="1407" w:type="dxa"/>
                          </w:tcPr>
                          <w:p>
                            <w:pPr>
                              <w:pStyle w:val="TableParagraph"/>
                              <w:spacing w:before="26"/>
                              <w:ind w:right="457"/>
                              <w:jc w:val="right"/>
                              <w:rPr>
                                <w:sz w:val="20"/>
                              </w:rPr>
                            </w:pPr>
                            <w:r>
                              <w:rPr>
                                <w:spacing w:val="-5"/>
                                <w:sz w:val="20"/>
                              </w:rPr>
                              <w:t>89</w:t>
                            </w:r>
                          </w:p>
                        </w:tc>
                        <w:tc>
                          <w:tcPr>
                            <w:tcW w:w="1289" w:type="dxa"/>
                          </w:tcPr>
                          <w:p>
                            <w:pPr>
                              <w:pStyle w:val="TableParagraph"/>
                              <w:spacing w:before="26"/>
                              <w:ind w:right="280"/>
                              <w:jc w:val="right"/>
                              <w:rPr>
                                <w:sz w:val="20"/>
                              </w:rPr>
                            </w:pPr>
                            <w:r>
                              <w:rPr>
                                <w:spacing w:val="-5"/>
                                <w:sz w:val="20"/>
                              </w:rPr>
                              <w:t>110</w:t>
                            </w:r>
                          </w:p>
                        </w:tc>
                        <w:tc>
                          <w:tcPr>
                            <w:tcW w:w="1104" w:type="dxa"/>
                          </w:tcPr>
                          <w:p>
                            <w:pPr>
                              <w:pStyle w:val="TableParagraph"/>
                              <w:spacing w:before="26"/>
                              <w:ind w:right="155"/>
                              <w:jc w:val="right"/>
                              <w:rPr>
                                <w:sz w:val="20"/>
                              </w:rPr>
                            </w:pPr>
                            <w:r>
                              <w:rPr>
                                <w:spacing w:val="-5"/>
                                <w:sz w:val="20"/>
                              </w:rPr>
                              <w:t>110</w:t>
                            </w:r>
                          </w:p>
                        </w:tc>
                      </w:tr>
                      <w:tr>
                        <w:trPr>
                          <w:trHeight w:val="270" w:hRule="atLeast"/>
                        </w:trPr>
                        <w:tc>
                          <w:tcPr>
                            <w:tcW w:w="1146" w:type="dxa"/>
                          </w:tcPr>
                          <w:p>
                            <w:pPr>
                              <w:pStyle w:val="TableParagraph"/>
                              <w:spacing w:before="16"/>
                              <w:ind w:right="274"/>
                              <w:jc w:val="right"/>
                              <w:rPr>
                                <w:sz w:val="20"/>
                              </w:rPr>
                            </w:pPr>
                            <w:r>
                              <w:rPr>
                                <w:spacing w:val="-10"/>
                                <w:sz w:val="20"/>
                              </w:rPr>
                              <w:t>4</w:t>
                            </w:r>
                          </w:p>
                        </w:tc>
                        <w:tc>
                          <w:tcPr>
                            <w:tcW w:w="1407" w:type="dxa"/>
                          </w:tcPr>
                          <w:p>
                            <w:pPr>
                              <w:pStyle w:val="TableParagraph"/>
                              <w:spacing w:before="16"/>
                              <w:ind w:right="455"/>
                              <w:jc w:val="right"/>
                              <w:rPr>
                                <w:sz w:val="20"/>
                              </w:rPr>
                            </w:pPr>
                            <w:r>
                              <w:rPr>
                                <w:spacing w:val="-10"/>
                                <w:sz w:val="20"/>
                              </w:rPr>
                              <w:t>-</w:t>
                            </w:r>
                          </w:p>
                        </w:tc>
                        <w:tc>
                          <w:tcPr>
                            <w:tcW w:w="1289" w:type="dxa"/>
                          </w:tcPr>
                          <w:p>
                            <w:pPr>
                              <w:pStyle w:val="TableParagraph"/>
                              <w:spacing w:before="16"/>
                              <w:ind w:right="277"/>
                              <w:jc w:val="right"/>
                              <w:rPr>
                                <w:sz w:val="20"/>
                              </w:rPr>
                            </w:pPr>
                            <w:r>
                              <w:rPr>
                                <w:spacing w:val="-10"/>
                                <w:sz w:val="20"/>
                              </w:rPr>
                              <w:t>4</w:t>
                            </w:r>
                          </w:p>
                        </w:tc>
                        <w:tc>
                          <w:tcPr>
                            <w:tcW w:w="1104" w:type="dxa"/>
                          </w:tcPr>
                          <w:p>
                            <w:pPr>
                              <w:pStyle w:val="TableParagraph"/>
                              <w:spacing w:before="16"/>
                              <w:ind w:right="153"/>
                              <w:jc w:val="right"/>
                              <w:rPr>
                                <w:sz w:val="20"/>
                              </w:rPr>
                            </w:pPr>
                            <w:r>
                              <w:rPr>
                                <w:spacing w:val="-10"/>
                                <w:sz w:val="20"/>
                              </w:rPr>
                              <w:t>-</w:t>
                            </w:r>
                          </w:p>
                        </w:tc>
                      </w:tr>
                      <w:tr>
                        <w:trPr>
                          <w:trHeight w:val="260" w:hRule="atLeast"/>
                        </w:trPr>
                        <w:tc>
                          <w:tcPr>
                            <w:tcW w:w="1146" w:type="dxa"/>
                          </w:tcPr>
                          <w:p>
                            <w:pPr>
                              <w:pStyle w:val="TableParagraph"/>
                              <w:spacing w:line="223" w:lineRule="exact" w:before="17"/>
                              <w:ind w:right="276"/>
                              <w:jc w:val="right"/>
                              <w:rPr>
                                <w:sz w:val="20"/>
                              </w:rPr>
                            </w:pPr>
                            <w:r>
                              <w:rPr>
                                <w:spacing w:val="-5"/>
                                <w:sz w:val="20"/>
                              </w:rPr>
                              <w:t>35</w:t>
                            </w:r>
                          </w:p>
                        </w:tc>
                        <w:tc>
                          <w:tcPr>
                            <w:tcW w:w="1407" w:type="dxa"/>
                          </w:tcPr>
                          <w:p>
                            <w:pPr>
                              <w:pStyle w:val="TableParagraph"/>
                              <w:spacing w:line="223" w:lineRule="exact" w:before="17"/>
                              <w:ind w:right="457"/>
                              <w:jc w:val="right"/>
                              <w:rPr>
                                <w:sz w:val="20"/>
                              </w:rPr>
                            </w:pPr>
                            <w:r>
                              <w:rPr>
                                <w:spacing w:val="-5"/>
                                <w:sz w:val="20"/>
                              </w:rPr>
                              <w:t>35</w:t>
                            </w:r>
                          </w:p>
                        </w:tc>
                        <w:tc>
                          <w:tcPr>
                            <w:tcW w:w="1289" w:type="dxa"/>
                          </w:tcPr>
                          <w:p>
                            <w:pPr>
                              <w:pStyle w:val="TableParagraph"/>
                              <w:spacing w:line="223" w:lineRule="exact" w:before="17"/>
                              <w:ind w:right="280"/>
                              <w:jc w:val="right"/>
                              <w:rPr>
                                <w:sz w:val="20"/>
                              </w:rPr>
                            </w:pPr>
                            <w:r>
                              <w:rPr>
                                <w:spacing w:val="-5"/>
                                <w:sz w:val="20"/>
                              </w:rPr>
                              <w:t>45</w:t>
                            </w:r>
                          </w:p>
                        </w:tc>
                        <w:tc>
                          <w:tcPr>
                            <w:tcW w:w="1104" w:type="dxa"/>
                          </w:tcPr>
                          <w:p>
                            <w:pPr>
                              <w:pStyle w:val="TableParagraph"/>
                              <w:spacing w:line="223" w:lineRule="exact" w:before="17"/>
                              <w:ind w:right="155"/>
                              <w:jc w:val="right"/>
                              <w:rPr>
                                <w:sz w:val="20"/>
                              </w:rPr>
                            </w:pPr>
                            <w:r>
                              <w:rPr>
                                <w:spacing w:val="-5"/>
                                <w:sz w:val="20"/>
                              </w:rPr>
                              <w:t>45</w:t>
                            </w:r>
                          </w:p>
                        </w:tc>
                      </w:tr>
                      <w:tr>
                        <w:trPr>
                          <w:trHeight w:val="479" w:hRule="atLeast"/>
                        </w:trPr>
                        <w:tc>
                          <w:tcPr>
                            <w:tcW w:w="1146" w:type="dxa"/>
                          </w:tcPr>
                          <w:p>
                            <w:pPr>
                              <w:pStyle w:val="TableParagraph"/>
                              <w:spacing w:before="6"/>
                              <w:rPr>
                                <w:sz w:val="20"/>
                              </w:rPr>
                            </w:pPr>
                          </w:p>
                          <w:p>
                            <w:pPr>
                              <w:pStyle w:val="TableParagraph"/>
                              <w:spacing w:line="223" w:lineRule="exact"/>
                              <w:ind w:right="276"/>
                              <w:jc w:val="right"/>
                              <w:rPr>
                                <w:sz w:val="20"/>
                              </w:rPr>
                            </w:pPr>
                            <w:r>
                              <w:rPr>
                                <w:spacing w:val="-5"/>
                                <w:sz w:val="20"/>
                              </w:rPr>
                              <w:t>28</w:t>
                            </w:r>
                          </w:p>
                        </w:tc>
                        <w:tc>
                          <w:tcPr>
                            <w:tcW w:w="1407" w:type="dxa"/>
                          </w:tcPr>
                          <w:p>
                            <w:pPr>
                              <w:pStyle w:val="TableParagraph"/>
                              <w:spacing w:before="215"/>
                              <w:ind w:right="409"/>
                              <w:jc w:val="right"/>
                              <w:rPr>
                                <w:sz w:val="20"/>
                              </w:rPr>
                            </w:pPr>
                            <w:r>
                              <w:rPr>
                                <w:spacing w:val="-5"/>
                                <w:sz w:val="20"/>
                              </w:rPr>
                              <w:t>20</w:t>
                            </w:r>
                          </w:p>
                        </w:tc>
                        <w:tc>
                          <w:tcPr>
                            <w:tcW w:w="1289" w:type="dxa"/>
                          </w:tcPr>
                          <w:p>
                            <w:pPr>
                              <w:pStyle w:val="TableParagraph"/>
                              <w:spacing w:before="215"/>
                              <w:ind w:right="280"/>
                              <w:jc w:val="right"/>
                              <w:rPr>
                                <w:sz w:val="20"/>
                              </w:rPr>
                            </w:pPr>
                            <w:r>
                              <w:rPr>
                                <w:spacing w:val="-5"/>
                                <w:sz w:val="20"/>
                              </w:rPr>
                              <w:t>21</w:t>
                            </w:r>
                          </w:p>
                        </w:tc>
                        <w:tc>
                          <w:tcPr>
                            <w:tcW w:w="1104" w:type="dxa"/>
                          </w:tcPr>
                          <w:p>
                            <w:pPr>
                              <w:pStyle w:val="TableParagraph"/>
                              <w:spacing w:before="215"/>
                              <w:ind w:right="155"/>
                              <w:jc w:val="right"/>
                              <w:rPr>
                                <w:sz w:val="20"/>
                              </w:rPr>
                            </w:pPr>
                            <w:r>
                              <w:rPr>
                                <w:spacing w:val="-5"/>
                                <w:sz w:val="20"/>
                              </w:rPr>
                              <w:t>14</w:t>
                            </w:r>
                          </w:p>
                        </w:tc>
                      </w:tr>
                      <w:tr>
                        <w:trPr>
                          <w:trHeight w:val="287" w:hRule="atLeast"/>
                        </w:trPr>
                        <w:tc>
                          <w:tcPr>
                            <w:tcW w:w="1146" w:type="dxa"/>
                          </w:tcPr>
                          <w:p>
                            <w:pPr>
                              <w:pStyle w:val="TableParagraph"/>
                              <w:spacing w:before="6"/>
                              <w:ind w:right="276"/>
                              <w:jc w:val="right"/>
                              <w:rPr>
                                <w:sz w:val="20"/>
                              </w:rPr>
                            </w:pPr>
                            <w:r>
                              <w:rPr>
                                <w:spacing w:val="-5"/>
                                <w:sz w:val="20"/>
                              </w:rPr>
                              <w:t>82</w:t>
                            </w:r>
                          </w:p>
                        </w:tc>
                        <w:tc>
                          <w:tcPr>
                            <w:tcW w:w="1407" w:type="dxa"/>
                          </w:tcPr>
                          <w:p>
                            <w:pPr>
                              <w:pStyle w:val="TableParagraph"/>
                              <w:spacing w:before="6"/>
                              <w:ind w:right="409"/>
                              <w:jc w:val="right"/>
                              <w:rPr>
                                <w:sz w:val="20"/>
                              </w:rPr>
                            </w:pPr>
                            <w:r>
                              <w:rPr>
                                <w:spacing w:val="-5"/>
                                <w:sz w:val="20"/>
                              </w:rPr>
                              <w:t>82</w:t>
                            </w:r>
                          </w:p>
                        </w:tc>
                        <w:tc>
                          <w:tcPr>
                            <w:tcW w:w="1289" w:type="dxa"/>
                          </w:tcPr>
                          <w:p>
                            <w:pPr>
                              <w:pStyle w:val="TableParagraph"/>
                              <w:spacing w:before="6"/>
                              <w:ind w:right="280"/>
                              <w:jc w:val="right"/>
                              <w:rPr>
                                <w:sz w:val="20"/>
                              </w:rPr>
                            </w:pPr>
                            <w:r>
                              <w:rPr>
                                <w:spacing w:val="-5"/>
                                <w:sz w:val="20"/>
                              </w:rPr>
                              <w:t>82</w:t>
                            </w:r>
                          </w:p>
                        </w:tc>
                        <w:tc>
                          <w:tcPr>
                            <w:tcW w:w="1104" w:type="dxa"/>
                          </w:tcPr>
                          <w:p>
                            <w:pPr>
                              <w:pStyle w:val="TableParagraph"/>
                              <w:spacing w:before="6"/>
                              <w:ind w:right="155"/>
                              <w:jc w:val="right"/>
                              <w:rPr>
                                <w:sz w:val="20"/>
                              </w:rPr>
                            </w:pPr>
                            <w:r>
                              <w:rPr>
                                <w:spacing w:val="-5"/>
                                <w:sz w:val="20"/>
                              </w:rPr>
                              <w:t>82</w:t>
                            </w:r>
                          </w:p>
                        </w:tc>
                      </w:tr>
                    </w:tbl>
                    <w:p>
                      <w:pPr>
                        <w:pStyle w:val="BodyText"/>
                      </w:pPr>
                    </w:p>
                  </w:txbxContent>
                </v:textbox>
                <w10:wrap type="none"/>
              </v:shape>
            </w:pict>
          </mc:Fallback>
        </mc:AlternateContent>
      </w: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p>
      <w:pPr>
        <w:pStyle w:val="BodyText"/>
        <w:rPr>
          <w:b/>
        </w:rPr>
      </w:pPr>
    </w:p>
    <w:p>
      <w:pPr>
        <w:pStyle w:val="BodyText"/>
        <w:rPr>
          <w:b/>
        </w:rPr>
      </w:pPr>
    </w:p>
    <w:p>
      <w:pPr>
        <w:pStyle w:val="BodyText"/>
        <w:spacing w:before="141"/>
        <w:rPr>
          <w:b/>
        </w:rPr>
      </w:pPr>
    </w:p>
    <w:p>
      <w:pPr>
        <w:pStyle w:val="BodyText"/>
        <w:spacing w:line="280" w:lineRule="auto"/>
        <w:ind w:left="1560" w:right="5116" w:hanging="176"/>
      </w:pPr>
      <w:r>
        <w:rPr/>
        <w:t>Auditors remuneration, excluding VAT: Financial statements audit - College Financial</w:t>
      </w:r>
      <w:r>
        <w:rPr>
          <w:spacing w:val="-11"/>
        </w:rPr>
        <w:t> </w:t>
      </w:r>
      <w:r>
        <w:rPr/>
        <w:t>statements</w:t>
      </w:r>
      <w:r>
        <w:rPr>
          <w:spacing w:val="-9"/>
        </w:rPr>
        <w:t> </w:t>
      </w:r>
      <w:r>
        <w:rPr/>
        <w:t>audit</w:t>
      </w:r>
      <w:r>
        <w:rPr>
          <w:spacing w:val="-10"/>
        </w:rPr>
        <w:t> </w:t>
      </w:r>
      <w:r>
        <w:rPr/>
        <w:t>-</w:t>
      </w:r>
      <w:r>
        <w:rPr>
          <w:spacing w:val="-7"/>
        </w:rPr>
        <w:t> </w:t>
      </w:r>
      <w:r>
        <w:rPr/>
        <w:t>subsidiaries Internal audit</w:t>
      </w:r>
    </w:p>
    <w:p>
      <w:pPr>
        <w:pStyle w:val="BodyText"/>
        <w:spacing w:before="4"/>
        <w:ind w:left="1550" w:right="5699"/>
      </w:pPr>
      <w:r>
        <w:rPr/>
        <w:t>Other</w:t>
      </w:r>
      <w:r>
        <w:rPr>
          <w:spacing w:val="-8"/>
        </w:rPr>
        <w:t> </w:t>
      </w:r>
      <w:r>
        <w:rPr/>
        <w:t>services</w:t>
      </w:r>
      <w:r>
        <w:rPr>
          <w:spacing w:val="-8"/>
        </w:rPr>
        <w:t> </w:t>
      </w:r>
      <w:r>
        <w:rPr/>
        <w:t>provided</w:t>
      </w:r>
      <w:r>
        <w:rPr>
          <w:spacing w:val="-9"/>
        </w:rPr>
        <w:t> </w:t>
      </w:r>
      <w:r>
        <w:rPr/>
        <w:t>by</w:t>
      </w:r>
      <w:r>
        <w:rPr>
          <w:spacing w:val="-8"/>
        </w:rPr>
        <w:t> </w:t>
      </w:r>
      <w:r>
        <w:rPr/>
        <w:t>financial statements auditors</w:t>
      </w:r>
    </w:p>
    <w:p>
      <w:pPr>
        <w:pStyle w:val="BodyText"/>
        <w:ind w:left="1385"/>
      </w:pPr>
      <w:r>
        <w:rPr/>
        <mc:AlternateContent>
          <mc:Choice Requires="wps">
            <w:drawing>
              <wp:anchor distT="0" distB="0" distL="0" distR="0" allowOverlap="1" layoutInCell="1" locked="0" behindDoc="1" simplePos="0" relativeHeight="487602688">
                <wp:simplePos x="0" y="0"/>
                <wp:positionH relativeFrom="page">
                  <wp:posOffset>3750564</wp:posOffset>
                </wp:positionH>
                <wp:positionV relativeFrom="paragraph">
                  <wp:posOffset>163409</wp:posOffset>
                </wp:positionV>
                <wp:extent cx="730250" cy="18415"/>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730250" cy="18415"/>
                        </a:xfrm>
                        <a:custGeom>
                          <a:avLst/>
                          <a:gdLst/>
                          <a:ahLst/>
                          <a:cxnLst/>
                          <a:rect l="l" t="t" r="r" b="b"/>
                          <a:pathLst>
                            <a:path w="730250" h="18415">
                              <a:moveTo>
                                <a:pt x="729996" y="12204"/>
                              </a:moveTo>
                              <a:lnTo>
                                <a:pt x="0" y="12204"/>
                              </a:lnTo>
                              <a:lnTo>
                                <a:pt x="0" y="18300"/>
                              </a:lnTo>
                              <a:lnTo>
                                <a:pt x="729996" y="18300"/>
                              </a:lnTo>
                              <a:lnTo>
                                <a:pt x="729996" y="12204"/>
                              </a:lnTo>
                              <a:close/>
                            </a:path>
                            <a:path w="730250" h="18415">
                              <a:moveTo>
                                <a:pt x="729996" y="0"/>
                              </a:moveTo>
                              <a:lnTo>
                                <a:pt x="0" y="0"/>
                              </a:lnTo>
                              <a:lnTo>
                                <a:pt x="0" y="6108"/>
                              </a:lnTo>
                              <a:lnTo>
                                <a:pt x="729996" y="6108"/>
                              </a:lnTo>
                              <a:lnTo>
                                <a:pt x="729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95.320007pt;margin-top:12.866924pt;width:57.5pt;height:1.45pt;mso-position-horizontal-relative:page;mso-position-vertical-relative:paragraph;z-index:-15713792;mso-wrap-distance-left:0;mso-wrap-distance-right:0" id="docshape88" coordorigin="5906,257" coordsize="1150,29" path="m7056,277l5906,277,5906,286,7056,286,7056,277xm7056,257l5906,257,5906,267,7056,267,7056,257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4651248</wp:posOffset>
                </wp:positionH>
                <wp:positionV relativeFrom="paragraph">
                  <wp:posOffset>163409</wp:posOffset>
                </wp:positionV>
                <wp:extent cx="638810" cy="18415"/>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638810" cy="18415"/>
                        </a:xfrm>
                        <a:custGeom>
                          <a:avLst/>
                          <a:gdLst/>
                          <a:ahLst/>
                          <a:cxnLst/>
                          <a:rect l="l" t="t" r="r" b="b"/>
                          <a:pathLst>
                            <a:path w="638810" h="18415">
                              <a:moveTo>
                                <a:pt x="638556" y="12204"/>
                              </a:moveTo>
                              <a:lnTo>
                                <a:pt x="0" y="12204"/>
                              </a:lnTo>
                              <a:lnTo>
                                <a:pt x="0" y="18300"/>
                              </a:lnTo>
                              <a:lnTo>
                                <a:pt x="638556" y="18300"/>
                              </a:lnTo>
                              <a:lnTo>
                                <a:pt x="638556" y="12204"/>
                              </a:lnTo>
                              <a:close/>
                            </a:path>
                            <a:path w="638810" h="18415">
                              <a:moveTo>
                                <a:pt x="638556" y="0"/>
                              </a:moveTo>
                              <a:lnTo>
                                <a:pt x="0" y="0"/>
                              </a:lnTo>
                              <a:lnTo>
                                <a:pt x="0" y="6108"/>
                              </a:lnTo>
                              <a:lnTo>
                                <a:pt x="638556" y="6108"/>
                              </a:lnTo>
                              <a:lnTo>
                                <a:pt x="638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6.240021pt;margin-top:12.866924pt;width:50.3pt;height:1.45pt;mso-position-horizontal-relative:page;mso-position-vertical-relative:paragraph;z-index:-15713280;mso-wrap-distance-left:0;mso-wrap-distance-right:0" id="docshape89" coordorigin="7325,257" coordsize="1006,29" path="m8330,277l7325,277,7325,286,8330,286,8330,277xm8330,257l7325,257,7325,267,8330,267,8330,257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3712">
                <wp:simplePos x="0" y="0"/>
                <wp:positionH relativeFrom="page">
                  <wp:posOffset>5551932</wp:posOffset>
                </wp:positionH>
                <wp:positionV relativeFrom="paragraph">
                  <wp:posOffset>163409</wp:posOffset>
                </wp:positionV>
                <wp:extent cx="638810" cy="18415"/>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638810" cy="18415"/>
                        </a:xfrm>
                        <a:custGeom>
                          <a:avLst/>
                          <a:gdLst/>
                          <a:ahLst/>
                          <a:cxnLst/>
                          <a:rect l="l" t="t" r="r" b="b"/>
                          <a:pathLst>
                            <a:path w="638810" h="18415">
                              <a:moveTo>
                                <a:pt x="638556" y="12204"/>
                              </a:moveTo>
                              <a:lnTo>
                                <a:pt x="0" y="12204"/>
                              </a:lnTo>
                              <a:lnTo>
                                <a:pt x="0" y="18300"/>
                              </a:lnTo>
                              <a:lnTo>
                                <a:pt x="638556" y="18300"/>
                              </a:lnTo>
                              <a:lnTo>
                                <a:pt x="638556" y="12204"/>
                              </a:lnTo>
                              <a:close/>
                            </a:path>
                            <a:path w="638810" h="18415">
                              <a:moveTo>
                                <a:pt x="638556" y="0"/>
                              </a:moveTo>
                              <a:lnTo>
                                <a:pt x="0" y="0"/>
                              </a:lnTo>
                              <a:lnTo>
                                <a:pt x="0" y="6108"/>
                              </a:lnTo>
                              <a:lnTo>
                                <a:pt x="638556" y="6108"/>
                              </a:lnTo>
                              <a:lnTo>
                                <a:pt x="638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7.160034pt;margin-top:12.866924pt;width:50.3pt;height:1.45pt;mso-position-horizontal-relative:page;mso-position-vertical-relative:paragraph;z-index:-15712768;mso-wrap-distance-left:0;mso-wrap-distance-right:0" id="docshape90" coordorigin="8743,257" coordsize="1006,29" path="m9749,277l8743,277,8743,286,9749,286,9749,277xm9749,257l8743,257,8743,267,9749,267,9749,257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6361176</wp:posOffset>
                </wp:positionH>
                <wp:positionV relativeFrom="paragraph">
                  <wp:posOffset>163409</wp:posOffset>
                </wp:positionV>
                <wp:extent cx="640080" cy="18415"/>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640080" cy="18415"/>
                        </a:xfrm>
                        <a:custGeom>
                          <a:avLst/>
                          <a:gdLst/>
                          <a:ahLst/>
                          <a:cxnLst/>
                          <a:rect l="l" t="t" r="r" b="b"/>
                          <a:pathLst>
                            <a:path w="640080" h="18415">
                              <a:moveTo>
                                <a:pt x="640080" y="12204"/>
                              </a:moveTo>
                              <a:lnTo>
                                <a:pt x="0" y="12204"/>
                              </a:lnTo>
                              <a:lnTo>
                                <a:pt x="0" y="18300"/>
                              </a:lnTo>
                              <a:lnTo>
                                <a:pt x="640080" y="18300"/>
                              </a:lnTo>
                              <a:lnTo>
                                <a:pt x="640080" y="12204"/>
                              </a:lnTo>
                              <a:close/>
                            </a:path>
                            <a:path w="640080" h="18415">
                              <a:moveTo>
                                <a:pt x="640080" y="0"/>
                              </a:moveTo>
                              <a:lnTo>
                                <a:pt x="0" y="0"/>
                              </a:lnTo>
                              <a:lnTo>
                                <a:pt x="0" y="6108"/>
                              </a:lnTo>
                              <a:lnTo>
                                <a:pt x="640080" y="6108"/>
                              </a:lnTo>
                              <a:lnTo>
                                <a:pt x="640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0.880035pt;margin-top:12.866924pt;width:50.4pt;height:1.45pt;mso-position-horizontal-relative:page;mso-position-vertical-relative:paragraph;z-index:-15712256;mso-wrap-distance-left:0;mso-wrap-distance-right:0" id="docshape91" coordorigin="10018,257" coordsize="1008,29" path="m11026,277l10018,277,10018,286,11026,286,11026,277xm11026,257l10018,257,10018,267,11026,267,11026,257xe" filled="true" fillcolor="#000000" stroked="false">
                <v:path arrowok="t"/>
                <v:fill type="solid"/>
                <w10:wrap type="topAndBottom"/>
              </v:shape>
            </w:pict>
          </mc:Fallback>
        </mc:AlternateContent>
      </w:r>
      <w:r>
        <w:rPr/>
        <w:t>Operating</w:t>
      </w:r>
      <w:r>
        <w:rPr>
          <w:spacing w:val="-9"/>
        </w:rPr>
        <w:t> </w:t>
      </w:r>
      <w:r>
        <w:rPr/>
        <w:t>lease</w:t>
      </w:r>
      <w:r>
        <w:rPr>
          <w:spacing w:val="-9"/>
        </w:rPr>
        <w:t> </w:t>
      </w:r>
      <w:r>
        <w:rPr>
          <w:spacing w:val="-2"/>
        </w:rPr>
        <w:t>rentals</w:t>
      </w:r>
    </w:p>
    <w:p>
      <w:pPr>
        <w:pStyle w:val="BodyText"/>
        <w:spacing w:after="0"/>
        <w:sectPr>
          <w:pgSz w:w="11910" w:h="16850"/>
          <w:pgMar w:header="727" w:footer="702" w:top="1520" w:bottom="900" w:left="566" w:right="708"/>
        </w:sectPr>
      </w:pPr>
    </w:p>
    <w:p>
      <w:pPr>
        <w:pStyle w:val="BodyText"/>
        <w:spacing w:before="152" w:after="1"/>
      </w:pPr>
      <w:r>
        <w:rPr/>
        <mc:AlternateContent>
          <mc:Choice Requires="wps">
            <w:drawing>
              <wp:anchor distT="0" distB="0" distL="0" distR="0" allowOverlap="1" layoutInCell="1" locked="0" behindDoc="0" simplePos="0" relativeHeight="15746048">
                <wp:simplePos x="0" y="0"/>
                <wp:positionH relativeFrom="page">
                  <wp:posOffset>882396</wp:posOffset>
                </wp:positionH>
                <wp:positionV relativeFrom="page">
                  <wp:posOffset>966203</wp:posOffset>
                </wp:positionV>
                <wp:extent cx="5797550" cy="635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15746048" id="docshape96" filled="true" fillcolor="#000000" stroked="false">
                <v:fill type="solid"/>
                <w10:wrap type="none"/>
              </v:rect>
            </w:pict>
          </mc:Fallback>
        </mc:AlternateContent>
      </w:r>
    </w:p>
    <w:tbl>
      <w:tblPr>
        <w:tblW w:w="0" w:type="auto"/>
        <w:jc w:val="left"/>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73"/>
        <w:gridCol w:w="2833"/>
        <w:gridCol w:w="1158"/>
      </w:tblGrid>
      <w:tr>
        <w:trPr>
          <w:trHeight w:val="376" w:hRule="atLeast"/>
        </w:trPr>
        <w:tc>
          <w:tcPr>
            <w:tcW w:w="6173" w:type="dxa"/>
          </w:tcPr>
          <w:p>
            <w:pPr>
              <w:pStyle w:val="TableParagraph"/>
              <w:tabs>
                <w:tab w:pos="427" w:val="left" w:leader="none"/>
              </w:tabs>
              <w:spacing w:line="247" w:lineRule="exact"/>
              <w:ind w:right="1720"/>
              <w:jc w:val="right"/>
              <w:rPr>
                <w:b/>
                <w:sz w:val="22"/>
              </w:rPr>
            </w:pPr>
            <w:bookmarkStart w:name="8. Other operating expenses (continued)" w:id="10"/>
            <w:bookmarkEnd w:id="10"/>
            <w:r>
              <w:rPr/>
            </w:r>
            <w:r>
              <w:rPr>
                <w:b/>
                <w:spacing w:val="-5"/>
                <w:sz w:val="22"/>
              </w:rPr>
              <w:t>8.</w:t>
            </w:r>
            <w:r>
              <w:rPr>
                <w:b/>
                <w:sz w:val="22"/>
              </w:rPr>
              <w:tab/>
              <w:t>Other</w:t>
            </w:r>
            <w:r>
              <w:rPr>
                <w:b/>
                <w:spacing w:val="-6"/>
                <w:sz w:val="22"/>
              </w:rPr>
              <w:t> </w:t>
            </w:r>
            <w:r>
              <w:rPr>
                <w:b/>
                <w:sz w:val="22"/>
              </w:rPr>
              <w:t>operating</w:t>
            </w:r>
            <w:r>
              <w:rPr>
                <w:b/>
                <w:spacing w:val="-7"/>
                <w:sz w:val="22"/>
              </w:rPr>
              <w:t> </w:t>
            </w:r>
            <w:r>
              <w:rPr>
                <w:b/>
                <w:sz w:val="22"/>
              </w:rPr>
              <w:t>expenses</w:t>
            </w:r>
            <w:r>
              <w:rPr>
                <w:b/>
                <w:spacing w:val="-6"/>
                <w:sz w:val="22"/>
              </w:rPr>
              <w:t> </w:t>
            </w:r>
            <w:r>
              <w:rPr>
                <w:b/>
                <w:spacing w:val="-2"/>
                <w:sz w:val="22"/>
              </w:rPr>
              <w:t>(continued)</w:t>
            </w:r>
          </w:p>
        </w:tc>
        <w:tc>
          <w:tcPr>
            <w:tcW w:w="3991" w:type="dxa"/>
            <w:gridSpan w:val="2"/>
            <w:vMerge w:val="restart"/>
          </w:tcPr>
          <w:p>
            <w:pPr>
              <w:pStyle w:val="TableParagraph"/>
              <w:rPr>
                <w:rFonts w:ascii="Times New Roman"/>
                <w:sz w:val="20"/>
              </w:rPr>
            </w:pPr>
          </w:p>
        </w:tc>
      </w:tr>
      <w:tr>
        <w:trPr>
          <w:trHeight w:val="505" w:hRule="atLeast"/>
        </w:trPr>
        <w:tc>
          <w:tcPr>
            <w:tcW w:w="6173" w:type="dxa"/>
          </w:tcPr>
          <w:p>
            <w:pPr>
              <w:pStyle w:val="TableParagraph"/>
              <w:spacing w:before="123"/>
              <w:ind w:right="1778"/>
              <w:jc w:val="right"/>
              <w:rPr>
                <w:b/>
                <w:sz w:val="22"/>
              </w:rPr>
            </w:pPr>
            <w:r>
              <w:rPr>
                <w:b/>
                <w:sz w:val="22"/>
              </w:rPr>
              <w:t>Access</w:t>
            </w:r>
            <w:r>
              <w:rPr>
                <w:b/>
                <w:spacing w:val="-6"/>
                <w:sz w:val="22"/>
              </w:rPr>
              <w:t> </w:t>
            </w:r>
            <w:r>
              <w:rPr>
                <w:b/>
                <w:sz w:val="22"/>
              </w:rPr>
              <w:t>and</w:t>
            </w:r>
            <w:r>
              <w:rPr>
                <w:b/>
                <w:spacing w:val="-8"/>
                <w:sz w:val="22"/>
              </w:rPr>
              <w:t> </w:t>
            </w:r>
            <w:r>
              <w:rPr>
                <w:b/>
                <w:sz w:val="22"/>
              </w:rPr>
              <w:t>participation</w:t>
            </w:r>
            <w:r>
              <w:rPr>
                <w:b/>
                <w:spacing w:val="-5"/>
                <w:sz w:val="22"/>
              </w:rPr>
              <w:t> </w:t>
            </w:r>
            <w:r>
              <w:rPr>
                <w:b/>
                <w:spacing w:val="-2"/>
                <w:sz w:val="22"/>
              </w:rPr>
              <w:t>expenditure</w:t>
            </w:r>
          </w:p>
        </w:tc>
        <w:tc>
          <w:tcPr>
            <w:tcW w:w="3991" w:type="dxa"/>
            <w:gridSpan w:val="2"/>
            <w:vMerge/>
            <w:tcBorders>
              <w:top w:val="nil"/>
            </w:tcBorders>
          </w:tcPr>
          <w:p>
            <w:pPr>
              <w:rPr>
                <w:sz w:val="2"/>
                <w:szCs w:val="2"/>
              </w:rPr>
            </w:pPr>
          </w:p>
        </w:tc>
      </w:tr>
      <w:tr>
        <w:trPr>
          <w:trHeight w:val="1402" w:hRule="atLeast"/>
        </w:trPr>
        <w:tc>
          <w:tcPr>
            <w:tcW w:w="6173" w:type="dxa"/>
          </w:tcPr>
          <w:p>
            <w:pPr>
              <w:pStyle w:val="TableParagraph"/>
              <w:rPr>
                <w:rFonts w:ascii="Times New Roman"/>
                <w:sz w:val="20"/>
              </w:rPr>
            </w:pPr>
          </w:p>
        </w:tc>
        <w:tc>
          <w:tcPr>
            <w:tcW w:w="2833" w:type="dxa"/>
          </w:tcPr>
          <w:p>
            <w:pPr>
              <w:pStyle w:val="TableParagraph"/>
              <w:spacing w:before="121"/>
              <w:ind w:right="227"/>
              <w:jc w:val="right"/>
              <w:rPr>
                <w:b/>
                <w:sz w:val="20"/>
              </w:rPr>
            </w:pPr>
            <w:r>
              <w:rPr>
                <w:b/>
                <w:spacing w:val="-4"/>
                <w:sz w:val="20"/>
              </w:rPr>
              <w:t>2023</w:t>
            </w:r>
          </w:p>
          <w:p>
            <w:pPr>
              <w:pStyle w:val="TableParagraph"/>
              <w:spacing w:before="1"/>
              <w:ind w:right="225"/>
              <w:jc w:val="right"/>
              <w:rPr>
                <w:b/>
                <w:sz w:val="20"/>
              </w:rPr>
            </w:pPr>
            <w:r>
              <w:rPr>
                <w:b/>
                <w:spacing w:val="-4"/>
                <w:sz w:val="20"/>
              </w:rPr>
              <w:t>Group</w:t>
            </w:r>
          </w:p>
          <w:p>
            <w:pPr>
              <w:pStyle w:val="TableParagraph"/>
              <w:ind w:left="1883" w:right="225" w:firstLine="367"/>
              <w:jc w:val="right"/>
              <w:rPr>
                <w:b/>
                <w:sz w:val="20"/>
              </w:rPr>
            </w:pPr>
            <w:r>
              <w:rPr>
                <w:b/>
                <w:spacing w:val="-4"/>
                <w:sz w:val="20"/>
              </w:rPr>
              <w:t>and </w:t>
            </w:r>
            <w:r>
              <w:rPr>
                <w:b/>
                <w:spacing w:val="-2"/>
                <w:sz w:val="20"/>
              </w:rPr>
              <w:t>College</w:t>
            </w:r>
          </w:p>
          <w:p>
            <w:pPr>
              <w:pStyle w:val="TableParagraph"/>
              <w:spacing w:before="1"/>
              <w:ind w:right="227"/>
              <w:jc w:val="right"/>
              <w:rPr>
                <w:b/>
                <w:sz w:val="20"/>
              </w:rPr>
            </w:pPr>
            <w:r>
              <w:rPr>
                <w:b/>
                <w:spacing w:val="-2"/>
                <w:sz w:val="20"/>
              </w:rPr>
              <w:t>£’000</w:t>
            </w:r>
          </w:p>
        </w:tc>
        <w:tc>
          <w:tcPr>
            <w:tcW w:w="1158" w:type="dxa"/>
          </w:tcPr>
          <w:p>
            <w:pPr>
              <w:pStyle w:val="TableParagraph"/>
              <w:spacing w:before="121"/>
              <w:ind w:right="156"/>
              <w:jc w:val="right"/>
              <w:rPr>
                <w:b/>
                <w:sz w:val="20"/>
              </w:rPr>
            </w:pPr>
            <w:r>
              <w:rPr>
                <w:b/>
                <w:spacing w:val="-4"/>
                <w:sz w:val="20"/>
              </w:rPr>
              <w:t>2022</w:t>
            </w:r>
          </w:p>
          <w:p>
            <w:pPr>
              <w:pStyle w:val="TableParagraph"/>
              <w:spacing w:before="1"/>
              <w:ind w:right="155"/>
              <w:jc w:val="right"/>
              <w:rPr>
                <w:b/>
                <w:sz w:val="20"/>
              </w:rPr>
            </w:pPr>
            <w:r>
              <w:rPr>
                <w:b/>
                <w:spacing w:val="-4"/>
                <w:sz w:val="20"/>
              </w:rPr>
              <w:t>Group</w:t>
            </w:r>
          </w:p>
          <w:p>
            <w:pPr>
              <w:pStyle w:val="TableParagraph"/>
              <w:ind w:left="279" w:right="155" w:firstLine="333"/>
              <w:jc w:val="right"/>
              <w:rPr>
                <w:b/>
                <w:sz w:val="20"/>
              </w:rPr>
            </w:pPr>
            <w:r>
              <w:rPr>
                <w:b/>
                <w:spacing w:val="-4"/>
                <w:sz w:val="20"/>
              </w:rPr>
              <w:t>And </w:t>
            </w:r>
            <w:r>
              <w:rPr>
                <w:b/>
                <w:spacing w:val="-2"/>
                <w:sz w:val="20"/>
              </w:rPr>
              <w:t>College</w:t>
            </w:r>
          </w:p>
          <w:p>
            <w:pPr>
              <w:pStyle w:val="TableParagraph"/>
              <w:spacing w:before="1"/>
              <w:ind w:right="156"/>
              <w:jc w:val="right"/>
              <w:rPr>
                <w:b/>
                <w:sz w:val="20"/>
              </w:rPr>
            </w:pPr>
            <w:r>
              <w:rPr>
                <w:b/>
                <w:spacing w:val="-2"/>
                <w:sz w:val="20"/>
              </w:rPr>
              <w:t>£’000</w:t>
            </w:r>
          </w:p>
        </w:tc>
      </w:tr>
      <w:tr>
        <w:trPr>
          <w:trHeight w:val="373" w:hRule="atLeast"/>
        </w:trPr>
        <w:tc>
          <w:tcPr>
            <w:tcW w:w="6173" w:type="dxa"/>
          </w:tcPr>
          <w:p>
            <w:pPr>
              <w:pStyle w:val="TableParagraph"/>
              <w:spacing w:before="122"/>
              <w:ind w:left="1010"/>
              <w:rPr>
                <w:sz w:val="20"/>
              </w:rPr>
            </w:pPr>
            <w:r>
              <w:rPr>
                <w:sz w:val="20"/>
              </w:rPr>
              <w:t>Access</w:t>
            </w:r>
            <w:r>
              <w:rPr>
                <w:spacing w:val="-6"/>
                <w:sz w:val="20"/>
              </w:rPr>
              <w:t> </w:t>
            </w:r>
            <w:r>
              <w:rPr>
                <w:spacing w:val="-2"/>
                <w:sz w:val="20"/>
              </w:rPr>
              <w:t>Investment</w:t>
            </w:r>
          </w:p>
        </w:tc>
        <w:tc>
          <w:tcPr>
            <w:tcW w:w="2833" w:type="dxa"/>
          </w:tcPr>
          <w:p>
            <w:pPr>
              <w:pStyle w:val="TableParagraph"/>
              <w:spacing w:line="219" w:lineRule="exact" w:before="134"/>
              <w:ind w:right="227"/>
              <w:jc w:val="right"/>
              <w:rPr>
                <w:sz w:val="20"/>
              </w:rPr>
            </w:pPr>
            <w:r>
              <w:rPr>
                <w:spacing w:val="-5"/>
                <w:sz w:val="20"/>
              </w:rPr>
              <w:t>117</w:t>
            </w:r>
          </w:p>
        </w:tc>
        <w:tc>
          <w:tcPr>
            <w:tcW w:w="1158" w:type="dxa"/>
          </w:tcPr>
          <w:p>
            <w:pPr>
              <w:pStyle w:val="TableParagraph"/>
              <w:spacing w:line="219" w:lineRule="exact" w:before="134"/>
              <w:ind w:right="156"/>
              <w:jc w:val="right"/>
              <w:rPr>
                <w:sz w:val="20"/>
              </w:rPr>
            </w:pPr>
            <w:r>
              <w:rPr>
                <w:spacing w:val="-5"/>
                <w:sz w:val="20"/>
              </w:rPr>
              <w:t>210</w:t>
            </w:r>
          </w:p>
        </w:tc>
      </w:tr>
      <w:tr>
        <w:trPr>
          <w:trHeight w:val="253" w:hRule="atLeast"/>
        </w:trPr>
        <w:tc>
          <w:tcPr>
            <w:tcW w:w="6173" w:type="dxa"/>
          </w:tcPr>
          <w:p>
            <w:pPr>
              <w:pStyle w:val="TableParagraph"/>
              <w:spacing w:before="1"/>
              <w:ind w:right="1749"/>
              <w:jc w:val="right"/>
              <w:rPr>
                <w:sz w:val="20"/>
              </w:rPr>
            </w:pPr>
            <w:r>
              <w:rPr>
                <w:sz w:val="20"/>
              </w:rPr>
              <w:t>Financial</w:t>
            </w:r>
            <w:r>
              <w:rPr>
                <w:spacing w:val="-10"/>
                <w:sz w:val="20"/>
              </w:rPr>
              <w:t> </w:t>
            </w:r>
            <w:r>
              <w:rPr>
                <w:sz w:val="20"/>
              </w:rPr>
              <w:t>Support</w:t>
            </w:r>
            <w:r>
              <w:rPr>
                <w:spacing w:val="-8"/>
                <w:sz w:val="20"/>
              </w:rPr>
              <w:t> </w:t>
            </w:r>
            <w:r>
              <w:rPr>
                <w:sz w:val="20"/>
              </w:rPr>
              <w:t>provided</w:t>
            </w:r>
            <w:r>
              <w:rPr>
                <w:spacing w:val="-4"/>
                <w:sz w:val="20"/>
              </w:rPr>
              <w:t> </w:t>
            </w:r>
            <w:r>
              <w:rPr>
                <w:sz w:val="20"/>
              </w:rPr>
              <w:t>to</w:t>
            </w:r>
            <w:r>
              <w:rPr>
                <w:spacing w:val="-8"/>
                <w:sz w:val="20"/>
              </w:rPr>
              <w:t> </w:t>
            </w:r>
            <w:r>
              <w:rPr>
                <w:spacing w:val="-2"/>
                <w:sz w:val="20"/>
              </w:rPr>
              <w:t>students</w:t>
            </w:r>
          </w:p>
        </w:tc>
        <w:tc>
          <w:tcPr>
            <w:tcW w:w="2833" w:type="dxa"/>
          </w:tcPr>
          <w:p>
            <w:pPr>
              <w:pStyle w:val="TableParagraph"/>
              <w:spacing w:line="220" w:lineRule="exact" w:before="13"/>
              <w:ind w:right="227"/>
              <w:jc w:val="right"/>
              <w:rPr>
                <w:sz w:val="20"/>
              </w:rPr>
            </w:pPr>
            <w:r>
              <w:rPr>
                <w:spacing w:val="-5"/>
                <w:sz w:val="20"/>
              </w:rPr>
              <w:t>150</w:t>
            </w:r>
          </w:p>
        </w:tc>
        <w:tc>
          <w:tcPr>
            <w:tcW w:w="1158" w:type="dxa"/>
          </w:tcPr>
          <w:p>
            <w:pPr>
              <w:pStyle w:val="TableParagraph"/>
              <w:spacing w:line="220" w:lineRule="exact" w:before="13"/>
              <w:ind w:right="156"/>
              <w:jc w:val="right"/>
              <w:rPr>
                <w:sz w:val="20"/>
              </w:rPr>
            </w:pPr>
            <w:r>
              <w:rPr>
                <w:spacing w:val="-5"/>
                <w:sz w:val="20"/>
              </w:rPr>
              <w:t>69</w:t>
            </w:r>
          </w:p>
        </w:tc>
      </w:tr>
      <w:tr>
        <w:trPr>
          <w:trHeight w:val="314" w:hRule="atLeast"/>
        </w:trPr>
        <w:tc>
          <w:tcPr>
            <w:tcW w:w="6173" w:type="dxa"/>
          </w:tcPr>
          <w:p>
            <w:pPr>
              <w:pStyle w:val="TableParagraph"/>
              <w:spacing w:before="2"/>
              <w:ind w:left="1010"/>
              <w:rPr>
                <w:sz w:val="20"/>
              </w:rPr>
            </w:pPr>
            <w:r>
              <w:rPr>
                <w:sz w:val="20"/>
              </w:rPr>
              <w:t>Support</w:t>
            </w:r>
            <w:r>
              <w:rPr>
                <w:spacing w:val="-8"/>
                <w:sz w:val="20"/>
              </w:rPr>
              <w:t> </w:t>
            </w:r>
            <w:r>
              <w:rPr>
                <w:sz w:val="20"/>
              </w:rPr>
              <w:t>for</w:t>
            </w:r>
            <w:r>
              <w:rPr>
                <w:spacing w:val="-6"/>
                <w:sz w:val="20"/>
              </w:rPr>
              <w:t> </w:t>
            </w:r>
            <w:r>
              <w:rPr>
                <w:sz w:val="20"/>
              </w:rPr>
              <w:t>disabled</w:t>
            </w:r>
            <w:r>
              <w:rPr>
                <w:spacing w:val="-7"/>
                <w:sz w:val="20"/>
              </w:rPr>
              <w:t> </w:t>
            </w:r>
            <w:r>
              <w:rPr>
                <w:spacing w:val="-2"/>
                <w:sz w:val="20"/>
              </w:rPr>
              <w:t>students</w:t>
            </w:r>
          </w:p>
        </w:tc>
        <w:tc>
          <w:tcPr>
            <w:tcW w:w="2833" w:type="dxa"/>
          </w:tcPr>
          <w:p>
            <w:pPr>
              <w:pStyle w:val="TableParagraph"/>
              <w:tabs>
                <w:tab w:pos="2382" w:val="left" w:leader="none"/>
              </w:tabs>
              <w:spacing w:before="14"/>
              <w:ind w:left="1722"/>
              <w:rPr>
                <w:sz w:val="20"/>
              </w:rPr>
            </w:pPr>
            <w:r>
              <w:rPr>
                <w:sz w:val="20"/>
                <w:u w:val="single"/>
              </w:rPr>
              <w:tab/>
            </w:r>
            <w:r>
              <w:rPr>
                <w:spacing w:val="-5"/>
                <w:sz w:val="20"/>
                <w:u w:val="single"/>
              </w:rPr>
              <w:t>14</w:t>
            </w:r>
            <w:r>
              <w:rPr>
                <w:spacing w:val="80"/>
                <w:sz w:val="20"/>
                <w:u w:val="single"/>
              </w:rPr>
              <w:t> </w:t>
            </w:r>
          </w:p>
        </w:tc>
        <w:tc>
          <w:tcPr>
            <w:tcW w:w="1158" w:type="dxa"/>
          </w:tcPr>
          <w:p>
            <w:pPr>
              <w:pStyle w:val="TableParagraph"/>
              <w:tabs>
                <w:tab w:pos="659" w:val="left" w:leader="none"/>
              </w:tabs>
              <w:spacing w:before="14"/>
              <w:ind w:right="46"/>
              <w:jc w:val="right"/>
              <w:rPr>
                <w:sz w:val="20"/>
              </w:rPr>
            </w:pPr>
            <w:r>
              <w:rPr>
                <w:sz w:val="20"/>
                <w:u w:val="single"/>
              </w:rPr>
              <w:tab/>
            </w:r>
            <w:r>
              <w:rPr>
                <w:spacing w:val="-5"/>
                <w:sz w:val="20"/>
                <w:u w:val="single"/>
              </w:rPr>
              <w:t>10</w:t>
            </w:r>
            <w:r>
              <w:rPr>
                <w:spacing w:val="80"/>
                <w:sz w:val="20"/>
                <w:u w:val="single"/>
              </w:rPr>
              <w:t> </w:t>
            </w:r>
          </w:p>
        </w:tc>
      </w:tr>
      <w:tr>
        <w:trPr>
          <w:trHeight w:val="435" w:hRule="atLeast"/>
        </w:trPr>
        <w:tc>
          <w:tcPr>
            <w:tcW w:w="6173" w:type="dxa"/>
          </w:tcPr>
          <w:p>
            <w:pPr>
              <w:pStyle w:val="TableParagraph"/>
              <w:rPr>
                <w:rFonts w:ascii="Times New Roman"/>
                <w:sz w:val="20"/>
              </w:rPr>
            </w:pPr>
          </w:p>
        </w:tc>
        <w:tc>
          <w:tcPr>
            <w:tcW w:w="2833" w:type="dxa"/>
          </w:tcPr>
          <w:p>
            <w:pPr>
              <w:pStyle w:val="TableParagraph"/>
              <w:spacing w:before="62"/>
              <w:ind w:right="227"/>
              <w:jc w:val="right"/>
              <w:rPr>
                <w:sz w:val="20"/>
              </w:rPr>
            </w:pPr>
            <w:r>
              <w:rPr>
                <w:sz w:val="20"/>
              </w:rPr>
              <mc:AlternateContent>
                <mc:Choice Requires="wps">
                  <w:drawing>
                    <wp:anchor distT="0" distB="0" distL="0" distR="0" allowOverlap="1" layoutInCell="1" locked="0" behindDoc="0" simplePos="0" relativeHeight="15746560">
                      <wp:simplePos x="0" y="0"/>
                      <wp:positionH relativeFrom="column">
                        <wp:posOffset>1084534</wp:posOffset>
                      </wp:positionH>
                      <wp:positionV relativeFrom="paragraph">
                        <wp:posOffset>257554</wp:posOffset>
                      </wp:positionV>
                      <wp:extent cx="640080" cy="18415"/>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640080" cy="18415"/>
                                <a:chExt cx="640080" cy="18415"/>
                              </a:xfrm>
                            </wpg:grpSpPr>
                            <wps:wsp>
                              <wps:cNvPr id="108" name="Graphic 108"/>
                              <wps:cNvSpPr/>
                              <wps:spPr>
                                <a:xfrm>
                                  <a:off x="0" y="0"/>
                                  <a:ext cx="640080" cy="18415"/>
                                </a:xfrm>
                                <a:custGeom>
                                  <a:avLst/>
                                  <a:gdLst/>
                                  <a:ahLst/>
                                  <a:cxnLst/>
                                  <a:rect l="l" t="t" r="r" b="b"/>
                                  <a:pathLst>
                                    <a:path w="640080" h="18415">
                                      <a:moveTo>
                                        <a:pt x="640080" y="12192"/>
                                      </a:moveTo>
                                      <a:lnTo>
                                        <a:pt x="0" y="12192"/>
                                      </a:lnTo>
                                      <a:lnTo>
                                        <a:pt x="0" y="18288"/>
                                      </a:lnTo>
                                      <a:lnTo>
                                        <a:pt x="640080" y="18288"/>
                                      </a:lnTo>
                                      <a:lnTo>
                                        <a:pt x="640080" y="12192"/>
                                      </a:lnTo>
                                      <a:close/>
                                    </a:path>
                                    <a:path w="640080" h="18415">
                                      <a:moveTo>
                                        <a:pt x="640080" y="0"/>
                                      </a:moveTo>
                                      <a:lnTo>
                                        <a:pt x="0" y="0"/>
                                      </a:lnTo>
                                      <a:lnTo>
                                        <a:pt x="0" y="6096"/>
                                      </a:lnTo>
                                      <a:lnTo>
                                        <a:pt x="640080" y="6096"/>
                                      </a:lnTo>
                                      <a:lnTo>
                                        <a:pt x="640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5.396408pt;margin-top:20.279865pt;width:50.4pt;height:1.45pt;mso-position-horizontal-relative:column;mso-position-vertical-relative:paragraph;z-index:15746560" id="docshapegroup97" coordorigin="1708,406" coordsize="1008,29">
                      <v:shape style="position:absolute;left:1707;top:405;width:1008;height:29" id="docshape98" coordorigin="1708,406" coordsize="1008,29" path="m2716,425l1708,425,1708,434,2716,434,2716,425xm2716,406l1708,406,1708,415,2716,415,2716,406xe" filled="true" fillcolor="#000000" stroked="false">
                        <v:path arrowok="t"/>
                        <v:fill type="solid"/>
                      </v:shape>
                      <w10:wrap type="none"/>
                    </v:group>
                  </w:pict>
                </mc:Fallback>
              </mc:AlternateContent>
            </w:r>
            <w:r>
              <w:rPr>
                <w:spacing w:val="-5"/>
                <w:sz w:val="20"/>
              </w:rPr>
              <w:t>281</w:t>
            </w:r>
          </w:p>
        </w:tc>
        <w:tc>
          <w:tcPr>
            <w:tcW w:w="1158" w:type="dxa"/>
          </w:tcPr>
          <w:p>
            <w:pPr>
              <w:pStyle w:val="TableParagraph"/>
              <w:spacing w:before="62"/>
              <w:ind w:right="156"/>
              <w:jc w:val="right"/>
              <w:rPr>
                <w:sz w:val="20"/>
              </w:rPr>
            </w:pPr>
            <w:r>
              <w:rPr>
                <w:sz w:val="20"/>
              </w:rPr>
              <mc:AlternateContent>
                <mc:Choice Requires="wps">
                  <w:drawing>
                    <wp:anchor distT="0" distB="0" distL="0" distR="0" allowOverlap="1" layoutInCell="1" locked="0" behindDoc="0" simplePos="0" relativeHeight="15747072">
                      <wp:simplePos x="0" y="0"/>
                      <wp:positionH relativeFrom="column">
                        <wp:posOffset>65531</wp:posOffset>
                      </wp:positionH>
                      <wp:positionV relativeFrom="paragraph">
                        <wp:posOffset>257554</wp:posOffset>
                      </wp:positionV>
                      <wp:extent cx="638810" cy="18415"/>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638810" cy="18415"/>
                                <a:chExt cx="638810" cy="18415"/>
                              </a:xfrm>
                            </wpg:grpSpPr>
                            <wps:wsp>
                              <wps:cNvPr id="110" name="Graphic 110"/>
                              <wps:cNvSpPr/>
                              <wps:spPr>
                                <a:xfrm>
                                  <a:off x="0" y="0"/>
                                  <a:ext cx="638810" cy="18415"/>
                                </a:xfrm>
                                <a:custGeom>
                                  <a:avLst/>
                                  <a:gdLst/>
                                  <a:ahLst/>
                                  <a:cxnLst/>
                                  <a:rect l="l" t="t" r="r" b="b"/>
                                  <a:pathLst>
                                    <a:path w="638810" h="18415">
                                      <a:moveTo>
                                        <a:pt x="638556" y="12192"/>
                                      </a:moveTo>
                                      <a:lnTo>
                                        <a:pt x="0" y="12192"/>
                                      </a:lnTo>
                                      <a:lnTo>
                                        <a:pt x="0" y="18288"/>
                                      </a:lnTo>
                                      <a:lnTo>
                                        <a:pt x="638556" y="18288"/>
                                      </a:lnTo>
                                      <a:lnTo>
                                        <a:pt x="638556" y="12192"/>
                                      </a:lnTo>
                                      <a:close/>
                                    </a:path>
                                    <a:path w="638810" h="18415">
                                      <a:moveTo>
                                        <a:pt x="638556" y="0"/>
                                      </a:moveTo>
                                      <a:lnTo>
                                        <a:pt x="0" y="0"/>
                                      </a:lnTo>
                                      <a:lnTo>
                                        <a:pt x="0" y="6096"/>
                                      </a:lnTo>
                                      <a:lnTo>
                                        <a:pt x="638556" y="6096"/>
                                      </a:lnTo>
                                      <a:lnTo>
                                        <a:pt x="6385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16pt;margin-top:20.279865pt;width:50.3pt;height:1.45pt;mso-position-horizontal-relative:column;mso-position-vertical-relative:paragraph;z-index:15747072" id="docshapegroup99" coordorigin="103,406" coordsize="1006,29">
                      <v:shape style="position:absolute;left:103;top:405;width:1006;height:29" id="docshape100" coordorigin="103,406" coordsize="1006,29" path="m1109,425l103,425,103,434,1109,434,1109,425xm1109,406l103,406,103,415,1109,415,1109,406xe" filled="true" fillcolor="#000000" stroked="false">
                        <v:path arrowok="t"/>
                        <v:fill type="solid"/>
                      </v:shape>
                      <w10:wrap type="none"/>
                    </v:group>
                  </w:pict>
                </mc:Fallback>
              </mc:AlternateContent>
            </w:r>
            <w:r>
              <w:rPr>
                <w:spacing w:val="-5"/>
                <w:sz w:val="20"/>
              </w:rPr>
              <w:t>289</w:t>
            </w:r>
          </w:p>
        </w:tc>
      </w:tr>
    </w:tbl>
    <w:p>
      <w:pPr>
        <w:pStyle w:val="BodyText"/>
        <w:spacing w:before="24"/>
      </w:pPr>
    </w:p>
    <w:p>
      <w:pPr>
        <w:pStyle w:val="BodyText"/>
        <w:ind w:left="852" w:right="140"/>
        <w:jc w:val="both"/>
      </w:pPr>
      <w:r>
        <w:rPr/>
        <w:t>The College’s access and participation plan is available on the College’s website at www.hull-</w:t>
      </w:r>
      <w:r>
        <w:rPr>
          <w:spacing w:val="-2"/>
        </w:rPr>
        <w:t>college.ac.uk/study/degree-level/regulations-office-for-students-and-policies-and-procedures.</w:t>
      </w:r>
    </w:p>
    <w:p>
      <w:pPr>
        <w:pStyle w:val="BodyText"/>
        <w:spacing w:before="20"/>
      </w:pPr>
    </w:p>
    <w:p>
      <w:pPr>
        <w:tabs>
          <w:tab w:pos="7313" w:val="left" w:leader="none"/>
        </w:tabs>
        <w:spacing w:before="0" w:after="49"/>
        <w:ind w:left="6362" w:right="0" w:firstLine="0"/>
        <w:jc w:val="left"/>
        <w:rPr>
          <w:b/>
          <w:sz w:val="20"/>
        </w:rPr>
      </w:pPr>
      <w:r>
        <w:rPr>
          <w:b/>
          <w:spacing w:val="-2"/>
          <w:sz w:val="20"/>
        </w:rPr>
        <w:t>Total</w:t>
      </w:r>
      <w:r>
        <w:rPr>
          <w:b/>
          <w:sz w:val="20"/>
        </w:rPr>
        <w:tab/>
        <w:t>Individual</w:t>
      </w:r>
      <w:r>
        <w:rPr>
          <w:b/>
          <w:spacing w:val="-10"/>
          <w:sz w:val="20"/>
        </w:rPr>
        <w:t> </w:t>
      </w:r>
      <w:r>
        <w:rPr>
          <w:b/>
          <w:sz w:val="20"/>
        </w:rPr>
        <w:t>items</w:t>
      </w:r>
      <w:r>
        <w:rPr>
          <w:b/>
          <w:spacing w:val="-9"/>
          <w:sz w:val="20"/>
        </w:rPr>
        <w:t> </w:t>
      </w:r>
      <w:r>
        <w:rPr>
          <w:b/>
          <w:sz w:val="20"/>
        </w:rPr>
        <w:t>above</w:t>
      </w:r>
      <w:r>
        <w:rPr>
          <w:b/>
          <w:spacing w:val="-9"/>
          <w:sz w:val="20"/>
        </w:rPr>
        <w:t> </w:t>
      </w:r>
      <w:r>
        <w:rPr>
          <w:b/>
          <w:spacing w:val="-2"/>
          <w:sz w:val="20"/>
        </w:rPr>
        <w:t>£5,000</w:t>
      </w:r>
    </w:p>
    <w:tbl>
      <w:tblPr>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20"/>
        <w:gridCol w:w="1529"/>
        <w:gridCol w:w="1456"/>
        <w:gridCol w:w="1594"/>
      </w:tblGrid>
      <w:tr>
        <w:trPr>
          <w:trHeight w:val="515" w:hRule="atLeast"/>
        </w:trPr>
        <w:tc>
          <w:tcPr>
            <w:tcW w:w="4520" w:type="dxa"/>
          </w:tcPr>
          <w:p>
            <w:pPr>
              <w:pStyle w:val="TableParagraph"/>
              <w:rPr>
                <w:rFonts w:ascii="Times New Roman"/>
                <w:sz w:val="20"/>
              </w:rPr>
            </w:pPr>
          </w:p>
        </w:tc>
        <w:tc>
          <w:tcPr>
            <w:tcW w:w="1529" w:type="dxa"/>
          </w:tcPr>
          <w:p>
            <w:pPr>
              <w:pStyle w:val="TableParagraph"/>
              <w:spacing w:before="12"/>
              <w:rPr>
                <w:b/>
                <w:sz w:val="20"/>
              </w:rPr>
            </w:pPr>
          </w:p>
          <w:p>
            <w:pPr>
              <w:pStyle w:val="TableParagraph"/>
              <w:ind w:right="541"/>
              <w:jc w:val="right"/>
              <w:rPr>
                <w:b/>
                <w:sz w:val="20"/>
              </w:rPr>
            </w:pPr>
            <w:r>
              <w:rPr>
                <w:b/>
                <w:spacing w:val="-10"/>
                <w:sz w:val="20"/>
              </w:rPr>
              <w:t>£</w:t>
            </w:r>
          </w:p>
        </w:tc>
        <w:tc>
          <w:tcPr>
            <w:tcW w:w="1456" w:type="dxa"/>
          </w:tcPr>
          <w:p>
            <w:pPr>
              <w:pStyle w:val="TableParagraph"/>
              <w:spacing w:line="223" w:lineRule="exact"/>
              <w:ind w:right="155"/>
              <w:jc w:val="right"/>
              <w:rPr>
                <w:b/>
                <w:sz w:val="20"/>
              </w:rPr>
            </w:pPr>
            <w:r>
              <w:rPr>
                <w:b/>
                <w:spacing w:val="-2"/>
                <w:sz w:val="20"/>
              </w:rPr>
              <w:t>Amount</w:t>
            </w:r>
          </w:p>
          <w:p>
            <w:pPr>
              <w:pStyle w:val="TableParagraph"/>
              <w:spacing w:before="19"/>
              <w:ind w:right="154"/>
              <w:jc w:val="right"/>
              <w:rPr>
                <w:b/>
                <w:sz w:val="20"/>
              </w:rPr>
            </w:pPr>
            <w:r>
              <w:rPr>
                <w:b/>
                <w:spacing w:val="-10"/>
                <w:sz w:val="20"/>
              </w:rPr>
              <w:t>£</w:t>
            </w:r>
          </w:p>
        </w:tc>
        <w:tc>
          <w:tcPr>
            <w:tcW w:w="1594" w:type="dxa"/>
          </w:tcPr>
          <w:p>
            <w:pPr>
              <w:pStyle w:val="TableParagraph"/>
              <w:spacing w:line="223" w:lineRule="exact"/>
              <w:ind w:right="52"/>
              <w:jc w:val="right"/>
              <w:rPr>
                <w:b/>
                <w:sz w:val="20"/>
              </w:rPr>
            </w:pPr>
            <w:r>
              <w:rPr>
                <w:b/>
                <w:spacing w:val="-2"/>
                <w:sz w:val="20"/>
              </w:rPr>
              <w:t>Reason</w:t>
            </w:r>
          </w:p>
        </w:tc>
      </w:tr>
      <w:tr>
        <w:trPr>
          <w:trHeight w:val="729" w:hRule="atLeast"/>
        </w:trPr>
        <w:tc>
          <w:tcPr>
            <w:tcW w:w="4520" w:type="dxa"/>
          </w:tcPr>
          <w:p>
            <w:pPr>
              <w:pStyle w:val="TableParagraph"/>
              <w:spacing w:before="36"/>
              <w:ind w:left="50"/>
              <w:rPr>
                <w:sz w:val="20"/>
              </w:rPr>
            </w:pPr>
            <w:r>
              <w:rPr>
                <w:spacing w:val="-2"/>
                <w:sz w:val="20"/>
              </w:rPr>
              <w:t>Compensation</w:t>
            </w:r>
            <w:r>
              <w:rPr>
                <w:spacing w:val="9"/>
                <w:sz w:val="20"/>
              </w:rPr>
              <w:t> </w:t>
            </w:r>
            <w:r>
              <w:rPr>
                <w:spacing w:val="-2"/>
                <w:sz w:val="20"/>
              </w:rPr>
              <w:t>payment</w:t>
            </w:r>
          </w:p>
        </w:tc>
        <w:tc>
          <w:tcPr>
            <w:tcW w:w="1529" w:type="dxa"/>
          </w:tcPr>
          <w:p>
            <w:pPr>
              <w:pStyle w:val="TableParagraph"/>
              <w:spacing w:before="36"/>
              <w:ind w:right="544"/>
              <w:jc w:val="right"/>
              <w:rPr>
                <w:sz w:val="20"/>
              </w:rPr>
            </w:pPr>
            <w:r>
              <w:rPr>
                <w:spacing w:val="-2"/>
                <w:sz w:val="20"/>
              </w:rPr>
              <w:t>55,750</w:t>
            </w:r>
          </w:p>
        </w:tc>
        <w:tc>
          <w:tcPr>
            <w:tcW w:w="1456" w:type="dxa"/>
          </w:tcPr>
          <w:p>
            <w:pPr>
              <w:pStyle w:val="TableParagraph"/>
              <w:spacing w:before="36"/>
              <w:ind w:left="687"/>
              <w:rPr>
                <w:sz w:val="20"/>
              </w:rPr>
            </w:pPr>
            <w:r>
              <w:rPr>
                <w:spacing w:val="-2"/>
                <w:sz w:val="20"/>
              </w:rPr>
              <w:t>28,000</w:t>
            </w:r>
          </w:p>
          <w:p>
            <w:pPr>
              <w:pStyle w:val="TableParagraph"/>
              <w:spacing w:before="1"/>
              <w:rPr>
                <w:b/>
                <w:sz w:val="20"/>
              </w:rPr>
            </w:pPr>
          </w:p>
          <w:p>
            <w:pPr>
              <w:pStyle w:val="TableParagraph"/>
              <w:spacing w:line="213" w:lineRule="exact"/>
              <w:ind w:left="687"/>
              <w:rPr>
                <w:sz w:val="20"/>
              </w:rPr>
            </w:pPr>
            <w:r>
              <w:rPr>
                <w:spacing w:val="-2"/>
                <w:sz w:val="20"/>
              </w:rPr>
              <w:t>27,750</w:t>
            </w:r>
          </w:p>
        </w:tc>
        <w:tc>
          <w:tcPr>
            <w:tcW w:w="1594" w:type="dxa"/>
          </w:tcPr>
          <w:p>
            <w:pPr>
              <w:pStyle w:val="TableParagraph"/>
              <w:spacing w:before="36"/>
              <w:ind w:right="48"/>
              <w:jc w:val="right"/>
              <w:rPr>
                <w:sz w:val="20"/>
              </w:rPr>
            </w:pPr>
            <w:r>
              <w:rPr>
                <w:sz w:val="20"/>
              </w:rPr>
              <w:t>Learner</w:t>
            </w:r>
            <w:r>
              <w:rPr>
                <w:spacing w:val="-9"/>
                <w:sz w:val="20"/>
              </w:rPr>
              <w:t> </w:t>
            </w:r>
            <w:r>
              <w:rPr>
                <w:spacing w:val="-2"/>
                <w:sz w:val="20"/>
              </w:rPr>
              <w:t>dispute</w:t>
            </w:r>
          </w:p>
          <w:p>
            <w:pPr>
              <w:pStyle w:val="TableParagraph"/>
              <w:spacing w:line="230" w:lineRule="atLeast"/>
              <w:ind w:left="155" w:right="48" w:firstLine="520"/>
              <w:jc w:val="right"/>
              <w:rPr>
                <w:sz w:val="20"/>
              </w:rPr>
            </w:pPr>
            <w:r>
              <w:rPr>
                <w:spacing w:val="-2"/>
                <w:sz w:val="20"/>
              </w:rPr>
              <w:t>resolution </w:t>
            </w:r>
            <w:r>
              <w:rPr>
                <w:sz w:val="20"/>
              </w:rPr>
              <w:t>Learner</w:t>
            </w:r>
            <w:r>
              <w:rPr>
                <w:spacing w:val="-9"/>
                <w:sz w:val="20"/>
              </w:rPr>
              <w:t> </w:t>
            </w:r>
            <w:r>
              <w:rPr>
                <w:spacing w:val="-2"/>
                <w:sz w:val="20"/>
              </w:rPr>
              <w:t>dispute</w:t>
            </w:r>
          </w:p>
        </w:tc>
      </w:tr>
      <w:tr>
        <w:trPr>
          <w:trHeight w:val="344" w:hRule="atLeast"/>
        </w:trPr>
        <w:tc>
          <w:tcPr>
            <w:tcW w:w="4520" w:type="dxa"/>
          </w:tcPr>
          <w:p>
            <w:pPr>
              <w:pStyle w:val="TableParagraph"/>
              <w:rPr>
                <w:rFonts w:ascii="Times New Roman"/>
                <w:sz w:val="20"/>
              </w:rPr>
            </w:pPr>
          </w:p>
        </w:tc>
        <w:tc>
          <w:tcPr>
            <w:tcW w:w="1529" w:type="dxa"/>
          </w:tcPr>
          <w:p>
            <w:pPr>
              <w:pStyle w:val="TableParagraph"/>
              <w:rPr>
                <w:rFonts w:ascii="Times New Roman"/>
                <w:sz w:val="20"/>
              </w:rPr>
            </w:pPr>
          </w:p>
        </w:tc>
        <w:tc>
          <w:tcPr>
            <w:tcW w:w="1456" w:type="dxa"/>
          </w:tcPr>
          <w:p>
            <w:pPr>
              <w:pStyle w:val="TableParagraph"/>
              <w:rPr>
                <w:rFonts w:ascii="Times New Roman"/>
                <w:sz w:val="20"/>
              </w:rPr>
            </w:pPr>
          </w:p>
        </w:tc>
        <w:tc>
          <w:tcPr>
            <w:tcW w:w="1594" w:type="dxa"/>
          </w:tcPr>
          <w:p>
            <w:pPr>
              <w:pStyle w:val="TableParagraph"/>
              <w:spacing w:line="225" w:lineRule="exact"/>
              <w:ind w:right="51"/>
              <w:jc w:val="right"/>
              <w:rPr>
                <w:sz w:val="20"/>
              </w:rPr>
            </w:pPr>
            <w:r>
              <w:rPr>
                <w:spacing w:val="-2"/>
                <w:sz w:val="20"/>
              </w:rPr>
              <w:t>resolution</w:t>
            </w:r>
          </w:p>
        </w:tc>
      </w:tr>
      <w:tr>
        <w:trPr>
          <w:trHeight w:val="500" w:hRule="atLeast"/>
        </w:trPr>
        <w:tc>
          <w:tcPr>
            <w:tcW w:w="4520" w:type="dxa"/>
          </w:tcPr>
          <w:p>
            <w:pPr>
              <w:pStyle w:val="TableParagraph"/>
              <w:spacing w:before="112"/>
              <w:ind w:left="50"/>
              <w:rPr>
                <w:sz w:val="20"/>
              </w:rPr>
            </w:pPr>
            <w:r>
              <w:rPr>
                <w:sz w:val="20"/>
              </w:rPr>
              <w:t>Write</w:t>
            </w:r>
            <w:r>
              <w:rPr>
                <w:spacing w:val="-6"/>
                <w:sz w:val="20"/>
              </w:rPr>
              <w:t> </w:t>
            </w:r>
            <w:r>
              <w:rPr>
                <w:sz w:val="20"/>
              </w:rPr>
              <w:t>off</w:t>
            </w:r>
            <w:r>
              <w:rPr>
                <w:spacing w:val="-5"/>
                <w:sz w:val="20"/>
              </w:rPr>
              <w:t> </w:t>
            </w:r>
            <w:r>
              <w:rPr>
                <w:sz w:val="20"/>
              </w:rPr>
              <w:t>and</w:t>
            </w:r>
            <w:r>
              <w:rPr>
                <w:spacing w:val="-5"/>
                <w:sz w:val="20"/>
              </w:rPr>
              <w:t> </w:t>
            </w:r>
            <w:r>
              <w:rPr>
                <w:spacing w:val="-2"/>
                <w:sz w:val="20"/>
              </w:rPr>
              <w:t>losses</w:t>
            </w:r>
          </w:p>
        </w:tc>
        <w:tc>
          <w:tcPr>
            <w:tcW w:w="1529" w:type="dxa"/>
          </w:tcPr>
          <w:p>
            <w:pPr>
              <w:pStyle w:val="TableParagraph"/>
              <w:spacing w:before="112"/>
              <w:ind w:right="542"/>
              <w:jc w:val="right"/>
              <w:rPr>
                <w:sz w:val="20"/>
              </w:rPr>
            </w:pPr>
            <w:r>
              <w:rPr>
                <w:spacing w:val="-10"/>
                <w:sz w:val="20"/>
              </w:rPr>
              <w:t>-</w:t>
            </w:r>
          </w:p>
        </w:tc>
        <w:tc>
          <w:tcPr>
            <w:tcW w:w="1456" w:type="dxa"/>
          </w:tcPr>
          <w:p>
            <w:pPr>
              <w:pStyle w:val="TableParagraph"/>
              <w:spacing w:before="112"/>
              <w:ind w:right="155"/>
              <w:jc w:val="right"/>
              <w:rPr>
                <w:sz w:val="20"/>
              </w:rPr>
            </w:pPr>
            <w:r>
              <w:rPr>
                <w:spacing w:val="-10"/>
                <w:sz w:val="20"/>
              </w:rPr>
              <w:t>-</w:t>
            </w:r>
          </w:p>
        </w:tc>
        <w:tc>
          <w:tcPr>
            <w:tcW w:w="1594" w:type="dxa"/>
          </w:tcPr>
          <w:p>
            <w:pPr>
              <w:pStyle w:val="TableParagraph"/>
              <w:spacing w:before="112"/>
              <w:ind w:right="50"/>
              <w:jc w:val="right"/>
              <w:rPr>
                <w:sz w:val="20"/>
              </w:rPr>
            </w:pPr>
            <w:r>
              <w:rPr>
                <w:spacing w:val="-10"/>
                <w:sz w:val="20"/>
              </w:rPr>
              <w:t>-</w:t>
            </w:r>
          </w:p>
        </w:tc>
      </w:tr>
      <w:tr>
        <w:trPr>
          <w:trHeight w:val="580" w:hRule="atLeast"/>
        </w:trPr>
        <w:tc>
          <w:tcPr>
            <w:tcW w:w="4520" w:type="dxa"/>
          </w:tcPr>
          <w:p>
            <w:pPr>
              <w:pStyle w:val="TableParagraph"/>
              <w:spacing w:before="151"/>
              <w:ind w:left="50"/>
              <w:rPr>
                <w:sz w:val="20"/>
              </w:rPr>
            </w:pPr>
            <w:r>
              <w:rPr>
                <w:sz w:val="20"/>
              </w:rPr>
              <w:t>Guarantees,</w:t>
            </w:r>
            <w:r>
              <w:rPr>
                <w:spacing w:val="-9"/>
                <w:sz w:val="20"/>
              </w:rPr>
              <w:t> </w:t>
            </w:r>
            <w:r>
              <w:rPr>
                <w:sz w:val="20"/>
              </w:rPr>
              <w:t>letters</w:t>
            </w:r>
            <w:r>
              <w:rPr>
                <w:spacing w:val="-7"/>
                <w:sz w:val="20"/>
              </w:rPr>
              <w:t> </w:t>
            </w:r>
            <w:r>
              <w:rPr>
                <w:sz w:val="20"/>
              </w:rPr>
              <w:t>of</w:t>
            </w:r>
            <w:r>
              <w:rPr>
                <w:spacing w:val="-6"/>
                <w:sz w:val="20"/>
              </w:rPr>
              <w:t> </w:t>
            </w:r>
            <w:r>
              <w:rPr>
                <w:sz w:val="20"/>
              </w:rPr>
              <w:t>comfort</w:t>
            </w:r>
            <w:r>
              <w:rPr>
                <w:spacing w:val="-8"/>
                <w:sz w:val="20"/>
              </w:rPr>
              <w:t> </w:t>
            </w:r>
            <w:r>
              <w:rPr>
                <w:sz w:val="20"/>
              </w:rPr>
              <w:t>and</w:t>
            </w:r>
            <w:r>
              <w:rPr>
                <w:spacing w:val="-7"/>
                <w:sz w:val="20"/>
              </w:rPr>
              <w:t> </w:t>
            </w:r>
            <w:r>
              <w:rPr>
                <w:spacing w:val="-2"/>
                <w:sz w:val="20"/>
              </w:rPr>
              <w:t>indemnities</w:t>
            </w:r>
          </w:p>
        </w:tc>
        <w:tc>
          <w:tcPr>
            <w:tcW w:w="1529" w:type="dxa"/>
          </w:tcPr>
          <w:p>
            <w:pPr>
              <w:pStyle w:val="TableParagraph"/>
              <w:spacing w:before="151"/>
              <w:ind w:right="542"/>
              <w:jc w:val="right"/>
              <w:rPr>
                <w:sz w:val="20"/>
              </w:rPr>
            </w:pPr>
            <w:r>
              <w:rPr>
                <w:spacing w:val="-10"/>
                <w:sz w:val="20"/>
              </w:rPr>
              <w:t>-</w:t>
            </w:r>
          </w:p>
        </w:tc>
        <w:tc>
          <w:tcPr>
            <w:tcW w:w="1456" w:type="dxa"/>
          </w:tcPr>
          <w:p>
            <w:pPr>
              <w:pStyle w:val="TableParagraph"/>
              <w:spacing w:before="151"/>
              <w:ind w:right="155"/>
              <w:jc w:val="right"/>
              <w:rPr>
                <w:sz w:val="20"/>
              </w:rPr>
            </w:pPr>
            <w:r>
              <w:rPr>
                <w:spacing w:val="-10"/>
                <w:sz w:val="20"/>
              </w:rPr>
              <w:t>-</w:t>
            </w:r>
          </w:p>
        </w:tc>
        <w:tc>
          <w:tcPr>
            <w:tcW w:w="1594" w:type="dxa"/>
          </w:tcPr>
          <w:p>
            <w:pPr>
              <w:pStyle w:val="TableParagraph"/>
              <w:spacing w:before="151"/>
              <w:ind w:right="50"/>
              <w:jc w:val="right"/>
              <w:rPr>
                <w:sz w:val="20"/>
              </w:rPr>
            </w:pPr>
            <w:r>
              <w:rPr>
                <w:spacing w:val="-10"/>
                <w:sz w:val="20"/>
              </w:rPr>
              <w:t>-</w:t>
            </w:r>
          </w:p>
        </w:tc>
      </w:tr>
      <w:tr>
        <w:trPr>
          <w:trHeight w:val="638" w:hRule="atLeast"/>
        </w:trPr>
        <w:tc>
          <w:tcPr>
            <w:tcW w:w="4520" w:type="dxa"/>
          </w:tcPr>
          <w:p>
            <w:pPr>
              <w:pStyle w:val="TableParagraph"/>
              <w:spacing w:before="192"/>
              <w:ind w:left="50"/>
              <w:rPr>
                <w:sz w:val="20"/>
              </w:rPr>
            </w:pPr>
            <w:r>
              <w:rPr>
                <w:sz w:val="20"/>
              </w:rPr>
              <w:t>Ex-gratia</w:t>
            </w:r>
            <w:r>
              <w:rPr>
                <w:spacing w:val="-14"/>
                <w:sz w:val="20"/>
              </w:rPr>
              <w:t> </w:t>
            </w:r>
            <w:r>
              <w:rPr>
                <w:spacing w:val="-2"/>
                <w:sz w:val="20"/>
              </w:rPr>
              <w:t>payments</w:t>
            </w:r>
          </w:p>
        </w:tc>
        <w:tc>
          <w:tcPr>
            <w:tcW w:w="1529" w:type="dxa"/>
          </w:tcPr>
          <w:p>
            <w:pPr>
              <w:pStyle w:val="TableParagraph"/>
              <w:spacing w:before="192"/>
              <w:ind w:right="542"/>
              <w:jc w:val="right"/>
              <w:rPr>
                <w:sz w:val="20"/>
              </w:rPr>
            </w:pPr>
            <w:r>
              <w:rPr>
                <w:spacing w:val="-10"/>
                <w:sz w:val="20"/>
              </w:rPr>
              <w:t>-</w:t>
            </w:r>
          </w:p>
        </w:tc>
        <w:tc>
          <w:tcPr>
            <w:tcW w:w="1456" w:type="dxa"/>
          </w:tcPr>
          <w:p>
            <w:pPr>
              <w:pStyle w:val="TableParagraph"/>
              <w:spacing w:before="192"/>
              <w:ind w:right="155"/>
              <w:jc w:val="right"/>
              <w:rPr>
                <w:sz w:val="20"/>
              </w:rPr>
            </w:pPr>
            <w:r>
              <w:rPr>
                <w:spacing w:val="-10"/>
                <w:sz w:val="20"/>
              </w:rPr>
              <w:t>-</w:t>
            </w:r>
          </w:p>
        </w:tc>
        <w:tc>
          <w:tcPr>
            <w:tcW w:w="1594" w:type="dxa"/>
          </w:tcPr>
          <w:p>
            <w:pPr>
              <w:pStyle w:val="TableParagraph"/>
              <w:spacing w:before="192"/>
              <w:ind w:right="50"/>
              <w:jc w:val="right"/>
              <w:rPr>
                <w:sz w:val="20"/>
              </w:rPr>
            </w:pPr>
            <w:r>
              <w:rPr>
                <w:spacing w:val="-10"/>
                <w:sz w:val="20"/>
              </w:rPr>
              <w:t>-</w:t>
            </w:r>
          </w:p>
        </w:tc>
      </w:tr>
      <w:tr>
        <w:trPr>
          <w:trHeight w:val="438" w:hRule="atLeast"/>
        </w:trPr>
        <w:tc>
          <w:tcPr>
            <w:tcW w:w="4520" w:type="dxa"/>
          </w:tcPr>
          <w:p>
            <w:pPr>
              <w:pStyle w:val="TableParagraph"/>
              <w:spacing w:line="210" w:lineRule="exact" w:before="209"/>
              <w:ind w:left="50"/>
              <w:rPr>
                <w:sz w:val="20"/>
              </w:rPr>
            </w:pPr>
            <w:r>
              <w:rPr>
                <w:spacing w:val="-2"/>
                <w:sz w:val="20"/>
              </w:rPr>
              <w:t>Total</w:t>
            </w:r>
          </w:p>
        </w:tc>
        <w:tc>
          <w:tcPr>
            <w:tcW w:w="1529" w:type="dxa"/>
          </w:tcPr>
          <w:p>
            <w:pPr>
              <w:pStyle w:val="TableParagraph"/>
              <w:spacing w:line="210" w:lineRule="exact" w:before="209"/>
              <w:ind w:right="544"/>
              <w:jc w:val="right"/>
              <w:rPr>
                <w:sz w:val="20"/>
              </w:rPr>
            </w:pPr>
            <w:r>
              <w:rPr>
                <w:spacing w:val="-2"/>
                <w:sz w:val="20"/>
              </w:rPr>
              <w:t>55,750</w:t>
            </w:r>
          </w:p>
        </w:tc>
        <w:tc>
          <w:tcPr>
            <w:tcW w:w="1456" w:type="dxa"/>
          </w:tcPr>
          <w:p>
            <w:pPr>
              <w:pStyle w:val="TableParagraph"/>
              <w:spacing w:line="210" w:lineRule="exact" w:before="209"/>
              <w:ind w:right="157"/>
              <w:jc w:val="right"/>
              <w:rPr>
                <w:sz w:val="20"/>
              </w:rPr>
            </w:pPr>
            <w:r>
              <w:rPr>
                <w:spacing w:val="-2"/>
                <w:sz w:val="20"/>
              </w:rPr>
              <w:t>55,750</w:t>
            </w:r>
          </w:p>
        </w:tc>
        <w:tc>
          <w:tcPr>
            <w:tcW w:w="1594" w:type="dxa"/>
          </w:tcPr>
          <w:p>
            <w:pPr>
              <w:pStyle w:val="TableParagraph"/>
              <w:rPr>
                <w:rFonts w:ascii="Times New Roman"/>
                <w:sz w:val="20"/>
              </w:rPr>
            </w:pPr>
          </w:p>
        </w:tc>
      </w:tr>
    </w:tbl>
    <w:p>
      <w:pPr>
        <w:pStyle w:val="BodyText"/>
        <w:spacing w:before="201"/>
        <w:rPr>
          <w:b/>
        </w:rPr>
      </w:pPr>
    </w:p>
    <w:p>
      <w:pPr>
        <w:pStyle w:val="BodyText"/>
        <w:spacing w:before="1"/>
        <w:ind w:left="852" w:right="140"/>
        <w:jc w:val="both"/>
      </w:pPr>
      <w:r>
        <w:rPr/>
        <w:t>The</w:t>
      </w:r>
      <w:r>
        <w:rPr>
          <w:spacing w:val="-9"/>
        </w:rPr>
        <w:t> </w:t>
      </w:r>
      <w:r>
        <w:rPr/>
        <w:t>College</w:t>
      </w:r>
      <w:r>
        <w:rPr>
          <w:spacing w:val="-9"/>
        </w:rPr>
        <w:t> </w:t>
      </w:r>
      <w:r>
        <w:rPr/>
        <w:t>received</w:t>
      </w:r>
      <w:r>
        <w:rPr>
          <w:spacing w:val="-9"/>
        </w:rPr>
        <w:t> </w:t>
      </w:r>
      <w:r>
        <w:rPr/>
        <w:t>two</w:t>
      </w:r>
      <w:r>
        <w:rPr>
          <w:spacing w:val="-9"/>
        </w:rPr>
        <w:t> </w:t>
      </w:r>
      <w:r>
        <w:rPr/>
        <w:t>learners’</w:t>
      </w:r>
      <w:r>
        <w:rPr>
          <w:spacing w:val="-9"/>
        </w:rPr>
        <w:t> </w:t>
      </w:r>
      <w:r>
        <w:rPr/>
        <w:t>complaints</w:t>
      </w:r>
      <w:r>
        <w:rPr>
          <w:spacing w:val="-7"/>
        </w:rPr>
        <w:t> </w:t>
      </w:r>
      <w:r>
        <w:rPr/>
        <w:t>in</w:t>
      </w:r>
      <w:r>
        <w:rPr>
          <w:spacing w:val="-9"/>
        </w:rPr>
        <w:t> </w:t>
      </w:r>
      <w:r>
        <w:rPr/>
        <w:t>relation</w:t>
      </w:r>
      <w:r>
        <w:rPr>
          <w:spacing w:val="-9"/>
        </w:rPr>
        <w:t> </w:t>
      </w:r>
      <w:r>
        <w:rPr/>
        <w:t>to</w:t>
      </w:r>
      <w:r>
        <w:rPr>
          <w:spacing w:val="-9"/>
        </w:rPr>
        <w:t> </w:t>
      </w:r>
      <w:r>
        <w:rPr/>
        <w:t>services</w:t>
      </w:r>
      <w:r>
        <w:rPr>
          <w:spacing w:val="-7"/>
        </w:rPr>
        <w:t> </w:t>
      </w:r>
      <w:r>
        <w:rPr/>
        <w:t>provided</w:t>
      </w:r>
      <w:r>
        <w:rPr>
          <w:spacing w:val="-7"/>
        </w:rPr>
        <w:t> </w:t>
      </w:r>
      <w:r>
        <w:rPr/>
        <w:t>in</w:t>
      </w:r>
      <w:r>
        <w:rPr>
          <w:spacing w:val="-9"/>
        </w:rPr>
        <w:t> </w:t>
      </w:r>
      <w:r>
        <w:rPr/>
        <w:t>2019.</w:t>
      </w:r>
      <w:r>
        <w:rPr>
          <w:spacing w:val="-9"/>
        </w:rPr>
        <w:t> </w:t>
      </w:r>
      <w:r>
        <w:rPr/>
        <w:t>The</w:t>
      </w:r>
      <w:r>
        <w:rPr>
          <w:spacing w:val="-9"/>
        </w:rPr>
        <w:t> </w:t>
      </w:r>
      <w:r>
        <w:rPr/>
        <w:t>College</w:t>
      </w:r>
      <w:r>
        <w:rPr>
          <w:spacing w:val="-9"/>
        </w:rPr>
        <w:t> </w:t>
      </w:r>
      <w:r>
        <w:rPr/>
        <w:t>completed a VFM exercise and obtained legal advice which resulted in the College awarding compensation payment amounting to circa £56,000 or £28,000 per learner. The Corporation approved the above payments.</w:t>
      </w:r>
    </w:p>
    <w:p>
      <w:pPr>
        <w:pStyle w:val="BodyText"/>
        <w:spacing w:before="26"/>
      </w:pPr>
    </w:p>
    <w:p>
      <w:pPr>
        <w:pStyle w:val="Heading5"/>
        <w:numPr>
          <w:ilvl w:val="0"/>
          <w:numId w:val="15"/>
        </w:numPr>
        <w:tabs>
          <w:tab w:pos="852" w:val="left" w:leader="none"/>
        </w:tabs>
        <w:spacing w:line="240" w:lineRule="auto" w:before="0" w:after="0"/>
        <w:ind w:left="852" w:right="0" w:hanging="427"/>
        <w:jc w:val="left"/>
      </w:pPr>
      <w:r>
        <w:rPr/>
        <w:t>Interest</w:t>
      </w:r>
      <w:r>
        <w:rPr>
          <w:spacing w:val="-3"/>
        </w:rPr>
        <w:t> </w:t>
      </w:r>
      <w:r>
        <w:rPr/>
        <w:t>and</w:t>
      </w:r>
      <w:r>
        <w:rPr>
          <w:spacing w:val="-6"/>
        </w:rPr>
        <w:t> </w:t>
      </w:r>
      <w:r>
        <w:rPr/>
        <w:t>other</w:t>
      </w:r>
      <w:r>
        <w:rPr>
          <w:spacing w:val="-5"/>
        </w:rPr>
        <w:t> </w:t>
      </w:r>
      <w:r>
        <w:rPr/>
        <w:t>finance</w:t>
      </w:r>
      <w:r>
        <w:rPr>
          <w:spacing w:val="-4"/>
        </w:rPr>
        <w:t> </w:t>
      </w:r>
      <w:r>
        <w:rPr>
          <w:spacing w:val="-2"/>
        </w:rPr>
        <w:t>costs</w:t>
      </w:r>
    </w:p>
    <w:p>
      <w:pPr>
        <w:pStyle w:val="BodyText"/>
        <w:spacing w:before="36"/>
        <w:rPr>
          <w:b/>
          <w:sz w:val="22"/>
        </w:rPr>
      </w:pPr>
    </w:p>
    <w:p>
      <w:pPr>
        <w:pStyle w:val="Heading6"/>
        <w:tabs>
          <w:tab w:pos="8417" w:val="left" w:leader="none"/>
        </w:tabs>
        <w:spacing w:after="49"/>
        <w:ind w:left="5899"/>
        <w:jc w:val="left"/>
      </w:pPr>
      <w:r>
        <w:rPr/>
        <w:t>Year</w:t>
      </w:r>
      <w:r>
        <w:rPr>
          <w:spacing w:val="-7"/>
        </w:rPr>
        <w:t> </w:t>
      </w:r>
      <w:r>
        <w:rPr/>
        <w:t>ended</w:t>
      </w:r>
      <w:r>
        <w:rPr>
          <w:spacing w:val="-4"/>
        </w:rPr>
        <w:t> </w:t>
      </w:r>
      <w:r>
        <w:rPr/>
        <w:t>31</w:t>
      </w:r>
      <w:r>
        <w:rPr>
          <w:spacing w:val="-4"/>
        </w:rPr>
        <w:t> July</w:t>
      </w:r>
      <w:r>
        <w:rPr/>
        <w:tab/>
        <w:t>Year</w:t>
      </w:r>
      <w:r>
        <w:rPr>
          <w:spacing w:val="-7"/>
        </w:rPr>
        <w:t> </w:t>
      </w:r>
      <w:r>
        <w:rPr/>
        <w:t>ended</w:t>
      </w:r>
      <w:r>
        <w:rPr>
          <w:spacing w:val="-4"/>
        </w:rPr>
        <w:t> </w:t>
      </w:r>
      <w:r>
        <w:rPr/>
        <w:t>31</w:t>
      </w:r>
      <w:r>
        <w:rPr>
          <w:spacing w:val="-4"/>
        </w:rPr>
        <w:t> July</w:t>
      </w:r>
    </w:p>
    <w:tbl>
      <w:tblPr>
        <w:tblW w:w="0" w:type="auto"/>
        <w:jc w:val="left"/>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2"/>
        <w:gridCol w:w="1001"/>
        <w:gridCol w:w="276"/>
        <w:gridCol w:w="998"/>
        <w:gridCol w:w="244"/>
        <w:gridCol w:w="998"/>
        <w:gridCol w:w="276"/>
        <w:gridCol w:w="1001"/>
      </w:tblGrid>
      <w:tr>
        <w:trPr>
          <w:trHeight w:val="776" w:hRule="atLeast"/>
        </w:trPr>
        <w:tc>
          <w:tcPr>
            <w:tcW w:w="4442" w:type="dxa"/>
          </w:tcPr>
          <w:p>
            <w:pPr>
              <w:pStyle w:val="TableParagraph"/>
              <w:rPr>
                <w:rFonts w:ascii="Times New Roman"/>
                <w:sz w:val="20"/>
              </w:rPr>
            </w:pPr>
          </w:p>
        </w:tc>
        <w:tc>
          <w:tcPr>
            <w:tcW w:w="1001" w:type="dxa"/>
          </w:tcPr>
          <w:p>
            <w:pPr>
              <w:pStyle w:val="TableParagraph"/>
              <w:spacing w:line="223" w:lineRule="exact"/>
              <w:ind w:right="110"/>
              <w:jc w:val="right"/>
              <w:rPr>
                <w:b/>
                <w:sz w:val="20"/>
              </w:rPr>
            </w:pPr>
            <w:r>
              <w:rPr>
                <w:b/>
                <w:spacing w:val="-4"/>
                <w:sz w:val="20"/>
              </w:rPr>
              <w:t>2023</w:t>
            </w:r>
          </w:p>
          <w:p>
            <w:pPr>
              <w:pStyle w:val="TableParagraph"/>
              <w:spacing w:before="39"/>
              <w:ind w:right="109"/>
              <w:jc w:val="right"/>
              <w:rPr>
                <w:b/>
                <w:sz w:val="20"/>
              </w:rPr>
            </w:pPr>
            <w:r>
              <w:rPr>
                <w:b/>
                <w:spacing w:val="-4"/>
                <w:sz w:val="20"/>
              </w:rPr>
              <w:t>Group</w:t>
            </w:r>
          </w:p>
          <w:p>
            <w:pPr>
              <w:pStyle w:val="TableParagraph"/>
              <w:spacing w:line="223" w:lineRule="exact" w:before="41"/>
              <w:ind w:right="110"/>
              <w:jc w:val="right"/>
              <w:rPr>
                <w:b/>
                <w:sz w:val="20"/>
              </w:rPr>
            </w:pPr>
            <w:r>
              <w:rPr>
                <w:b/>
                <w:spacing w:val="-2"/>
                <w:sz w:val="20"/>
              </w:rPr>
              <w:t>£’000</w:t>
            </w:r>
          </w:p>
        </w:tc>
        <w:tc>
          <w:tcPr>
            <w:tcW w:w="276" w:type="dxa"/>
          </w:tcPr>
          <w:p>
            <w:pPr>
              <w:pStyle w:val="TableParagraph"/>
              <w:rPr>
                <w:rFonts w:ascii="Times New Roman"/>
                <w:sz w:val="20"/>
              </w:rPr>
            </w:pPr>
          </w:p>
        </w:tc>
        <w:tc>
          <w:tcPr>
            <w:tcW w:w="998" w:type="dxa"/>
          </w:tcPr>
          <w:p>
            <w:pPr>
              <w:pStyle w:val="TableParagraph"/>
              <w:spacing w:line="223" w:lineRule="exact"/>
              <w:ind w:right="107"/>
              <w:jc w:val="right"/>
              <w:rPr>
                <w:b/>
                <w:sz w:val="20"/>
              </w:rPr>
            </w:pPr>
            <w:r>
              <w:rPr>
                <w:b/>
                <w:spacing w:val="-4"/>
                <w:sz w:val="20"/>
              </w:rPr>
              <w:t>2023</w:t>
            </w:r>
          </w:p>
          <w:p>
            <w:pPr>
              <w:pStyle w:val="TableParagraph"/>
              <w:spacing w:before="39"/>
              <w:ind w:right="107"/>
              <w:jc w:val="right"/>
              <w:rPr>
                <w:b/>
                <w:sz w:val="20"/>
              </w:rPr>
            </w:pPr>
            <w:r>
              <w:rPr>
                <w:b/>
                <w:spacing w:val="-2"/>
                <w:sz w:val="20"/>
              </w:rPr>
              <w:t>College</w:t>
            </w:r>
          </w:p>
          <w:p>
            <w:pPr>
              <w:pStyle w:val="TableParagraph"/>
              <w:spacing w:line="223" w:lineRule="exact" w:before="41"/>
              <w:ind w:right="107"/>
              <w:jc w:val="right"/>
              <w:rPr>
                <w:b/>
                <w:sz w:val="20"/>
              </w:rPr>
            </w:pPr>
            <w:r>
              <w:rPr>
                <w:b/>
                <w:spacing w:val="-2"/>
                <w:sz w:val="20"/>
              </w:rPr>
              <w:t>£’000</w:t>
            </w:r>
          </w:p>
        </w:tc>
        <w:tc>
          <w:tcPr>
            <w:tcW w:w="244" w:type="dxa"/>
          </w:tcPr>
          <w:p>
            <w:pPr>
              <w:pStyle w:val="TableParagraph"/>
              <w:rPr>
                <w:rFonts w:ascii="Times New Roman"/>
                <w:sz w:val="20"/>
              </w:rPr>
            </w:pPr>
          </w:p>
        </w:tc>
        <w:tc>
          <w:tcPr>
            <w:tcW w:w="998" w:type="dxa"/>
          </w:tcPr>
          <w:p>
            <w:pPr>
              <w:pStyle w:val="TableParagraph"/>
              <w:spacing w:line="223" w:lineRule="exact"/>
              <w:ind w:right="109"/>
              <w:jc w:val="right"/>
              <w:rPr>
                <w:b/>
                <w:sz w:val="20"/>
              </w:rPr>
            </w:pPr>
            <w:r>
              <w:rPr>
                <w:b/>
                <w:spacing w:val="-4"/>
                <w:sz w:val="20"/>
              </w:rPr>
              <w:t>2022</w:t>
            </w:r>
          </w:p>
          <w:p>
            <w:pPr>
              <w:pStyle w:val="TableParagraph"/>
              <w:spacing w:before="39"/>
              <w:ind w:right="107"/>
              <w:jc w:val="right"/>
              <w:rPr>
                <w:b/>
                <w:sz w:val="20"/>
              </w:rPr>
            </w:pPr>
            <w:r>
              <w:rPr>
                <w:b/>
                <w:spacing w:val="-4"/>
                <w:sz w:val="20"/>
              </w:rPr>
              <w:t>Group</w:t>
            </w:r>
          </w:p>
          <w:p>
            <w:pPr>
              <w:pStyle w:val="TableParagraph"/>
              <w:spacing w:line="223" w:lineRule="exact" w:before="41"/>
              <w:ind w:right="109"/>
              <w:jc w:val="right"/>
              <w:rPr>
                <w:b/>
                <w:sz w:val="20"/>
              </w:rPr>
            </w:pPr>
            <w:r>
              <w:rPr>
                <w:b/>
                <w:spacing w:val="-2"/>
                <w:sz w:val="20"/>
              </w:rPr>
              <w:t>£’000</w:t>
            </w:r>
          </w:p>
        </w:tc>
        <w:tc>
          <w:tcPr>
            <w:tcW w:w="276" w:type="dxa"/>
          </w:tcPr>
          <w:p>
            <w:pPr>
              <w:pStyle w:val="TableParagraph"/>
              <w:rPr>
                <w:rFonts w:ascii="Times New Roman"/>
                <w:sz w:val="20"/>
              </w:rPr>
            </w:pPr>
          </w:p>
        </w:tc>
        <w:tc>
          <w:tcPr>
            <w:tcW w:w="1001" w:type="dxa"/>
          </w:tcPr>
          <w:p>
            <w:pPr>
              <w:pStyle w:val="TableParagraph"/>
              <w:spacing w:line="223" w:lineRule="exact"/>
              <w:ind w:right="106"/>
              <w:jc w:val="right"/>
              <w:rPr>
                <w:b/>
                <w:sz w:val="20"/>
              </w:rPr>
            </w:pPr>
            <w:r>
              <w:rPr>
                <w:b/>
                <w:spacing w:val="-4"/>
                <w:sz w:val="20"/>
              </w:rPr>
              <w:t>2022</w:t>
            </w:r>
          </w:p>
          <w:p>
            <w:pPr>
              <w:pStyle w:val="TableParagraph"/>
              <w:spacing w:before="39"/>
              <w:ind w:right="106"/>
              <w:jc w:val="right"/>
              <w:rPr>
                <w:b/>
                <w:sz w:val="20"/>
              </w:rPr>
            </w:pPr>
            <w:r>
              <w:rPr>
                <w:b/>
                <w:spacing w:val="-2"/>
                <w:sz w:val="20"/>
              </w:rPr>
              <w:t>College</w:t>
            </w:r>
          </w:p>
          <w:p>
            <w:pPr>
              <w:pStyle w:val="TableParagraph"/>
              <w:spacing w:line="223" w:lineRule="exact" w:before="41"/>
              <w:ind w:right="106"/>
              <w:jc w:val="right"/>
              <w:rPr>
                <w:b/>
                <w:sz w:val="20"/>
              </w:rPr>
            </w:pPr>
            <w:r>
              <w:rPr>
                <w:b/>
                <w:spacing w:val="-2"/>
                <w:sz w:val="20"/>
              </w:rPr>
              <w:t>£’000</w:t>
            </w:r>
          </w:p>
        </w:tc>
      </w:tr>
      <w:tr>
        <w:trPr>
          <w:trHeight w:val="277" w:hRule="atLeast"/>
        </w:trPr>
        <w:tc>
          <w:tcPr>
            <w:tcW w:w="4442" w:type="dxa"/>
          </w:tcPr>
          <w:p>
            <w:pPr>
              <w:pStyle w:val="TableParagraph"/>
              <w:spacing w:before="6"/>
              <w:ind w:left="50"/>
              <w:rPr>
                <w:sz w:val="20"/>
              </w:rPr>
            </w:pPr>
            <w:r>
              <w:rPr>
                <w:spacing w:val="-2"/>
                <w:sz w:val="20"/>
              </w:rPr>
              <w:t>Net</w:t>
            </w:r>
            <w:r>
              <w:rPr>
                <w:spacing w:val="-9"/>
                <w:sz w:val="20"/>
              </w:rPr>
              <w:t> </w:t>
            </w:r>
            <w:r>
              <w:rPr>
                <w:spacing w:val="-2"/>
                <w:sz w:val="20"/>
              </w:rPr>
              <w:t>interest</w:t>
            </w:r>
            <w:r>
              <w:rPr>
                <w:spacing w:val="-8"/>
                <w:sz w:val="20"/>
              </w:rPr>
              <w:t> </w:t>
            </w:r>
            <w:r>
              <w:rPr>
                <w:spacing w:val="-2"/>
                <w:sz w:val="20"/>
              </w:rPr>
              <w:t>on</w:t>
            </w:r>
            <w:r>
              <w:rPr>
                <w:spacing w:val="-6"/>
                <w:sz w:val="20"/>
              </w:rPr>
              <w:t> </w:t>
            </w:r>
            <w:r>
              <w:rPr>
                <w:spacing w:val="-2"/>
                <w:sz w:val="20"/>
              </w:rPr>
              <w:t>defined</w:t>
            </w:r>
            <w:r>
              <w:rPr>
                <w:spacing w:val="-9"/>
                <w:sz w:val="20"/>
              </w:rPr>
              <w:t> </w:t>
            </w:r>
            <w:r>
              <w:rPr>
                <w:spacing w:val="-2"/>
                <w:sz w:val="20"/>
              </w:rPr>
              <w:t>pension</w:t>
            </w:r>
            <w:r>
              <w:rPr>
                <w:spacing w:val="-8"/>
                <w:sz w:val="20"/>
              </w:rPr>
              <w:t> </w:t>
            </w:r>
            <w:r>
              <w:rPr>
                <w:spacing w:val="-2"/>
                <w:sz w:val="20"/>
              </w:rPr>
              <w:t>scheme</w:t>
            </w:r>
            <w:r>
              <w:rPr>
                <w:spacing w:val="-8"/>
                <w:sz w:val="20"/>
              </w:rPr>
              <w:t> </w:t>
            </w:r>
            <w:r>
              <w:rPr>
                <w:spacing w:val="-2"/>
                <w:sz w:val="20"/>
              </w:rPr>
              <w:t>(note</w:t>
            </w:r>
            <w:r>
              <w:rPr>
                <w:spacing w:val="-9"/>
                <w:sz w:val="20"/>
              </w:rPr>
              <w:t> </w:t>
            </w:r>
            <w:r>
              <w:rPr>
                <w:spacing w:val="-5"/>
                <w:sz w:val="20"/>
              </w:rPr>
              <w:t>18)</w:t>
            </w:r>
          </w:p>
        </w:tc>
        <w:tc>
          <w:tcPr>
            <w:tcW w:w="1001" w:type="dxa"/>
            <w:tcBorders>
              <w:bottom w:val="single" w:sz="4" w:space="0" w:color="000000"/>
            </w:tcBorders>
          </w:tcPr>
          <w:p>
            <w:pPr>
              <w:pStyle w:val="TableParagraph"/>
              <w:spacing w:before="25"/>
              <w:ind w:right="109"/>
              <w:jc w:val="right"/>
              <w:rPr>
                <w:sz w:val="20"/>
              </w:rPr>
            </w:pPr>
            <w:r>
              <w:rPr>
                <w:spacing w:val="-10"/>
                <w:sz w:val="20"/>
              </w:rPr>
              <w:t>-</w:t>
            </w:r>
          </w:p>
        </w:tc>
        <w:tc>
          <w:tcPr>
            <w:tcW w:w="276" w:type="dxa"/>
          </w:tcPr>
          <w:p>
            <w:pPr>
              <w:pStyle w:val="TableParagraph"/>
              <w:rPr>
                <w:rFonts w:ascii="Times New Roman"/>
                <w:sz w:val="20"/>
              </w:rPr>
            </w:pPr>
          </w:p>
        </w:tc>
        <w:tc>
          <w:tcPr>
            <w:tcW w:w="998" w:type="dxa"/>
            <w:tcBorders>
              <w:bottom w:val="single" w:sz="4" w:space="0" w:color="000000"/>
            </w:tcBorders>
          </w:tcPr>
          <w:p>
            <w:pPr>
              <w:pStyle w:val="TableParagraph"/>
              <w:spacing w:before="25"/>
              <w:ind w:right="154"/>
              <w:jc w:val="right"/>
              <w:rPr>
                <w:sz w:val="20"/>
              </w:rPr>
            </w:pPr>
            <w:r>
              <w:rPr>
                <w:spacing w:val="-10"/>
                <w:sz w:val="20"/>
              </w:rPr>
              <w:t>-</w:t>
            </w:r>
          </w:p>
        </w:tc>
        <w:tc>
          <w:tcPr>
            <w:tcW w:w="244" w:type="dxa"/>
          </w:tcPr>
          <w:p>
            <w:pPr>
              <w:pStyle w:val="TableParagraph"/>
              <w:rPr>
                <w:rFonts w:ascii="Times New Roman"/>
                <w:sz w:val="20"/>
              </w:rPr>
            </w:pPr>
          </w:p>
        </w:tc>
        <w:tc>
          <w:tcPr>
            <w:tcW w:w="998" w:type="dxa"/>
            <w:tcBorders>
              <w:bottom w:val="single" w:sz="4" w:space="0" w:color="000000"/>
            </w:tcBorders>
          </w:tcPr>
          <w:p>
            <w:pPr>
              <w:pStyle w:val="TableParagraph"/>
              <w:spacing w:before="25"/>
              <w:ind w:right="109"/>
              <w:jc w:val="right"/>
              <w:rPr>
                <w:sz w:val="20"/>
              </w:rPr>
            </w:pPr>
            <w:r>
              <w:rPr>
                <w:spacing w:val="-5"/>
                <w:sz w:val="20"/>
              </w:rPr>
              <w:t>398</w:t>
            </w:r>
          </w:p>
        </w:tc>
        <w:tc>
          <w:tcPr>
            <w:tcW w:w="276" w:type="dxa"/>
          </w:tcPr>
          <w:p>
            <w:pPr>
              <w:pStyle w:val="TableParagraph"/>
              <w:rPr>
                <w:rFonts w:ascii="Times New Roman"/>
                <w:sz w:val="20"/>
              </w:rPr>
            </w:pPr>
          </w:p>
        </w:tc>
        <w:tc>
          <w:tcPr>
            <w:tcW w:w="1001" w:type="dxa"/>
            <w:tcBorders>
              <w:bottom w:val="single" w:sz="4" w:space="0" w:color="000000"/>
            </w:tcBorders>
          </w:tcPr>
          <w:p>
            <w:pPr>
              <w:pStyle w:val="TableParagraph"/>
              <w:spacing w:before="25"/>
              <w:ind w:right="157"/>
              <w:jc w:val="right"/>
              <w:rPr>
                <w:sz w:val="20"/>
              </w:rPr>
            </w:pPr>
            <w:r>
              <w:rPr>
                <w:spacing w:val="-5"/>
                <w:sz w:val="20"/>
              </w:rPr>
              <w:t>398</w:t>
            </w:r>
          </w:p>
        </w:tc>
      </w:tr>
      <w:tr>
        <w:trPr>
          <w:trHeight w:val="270" w:hRule="atLeast"/>
        </w:trPr>
        <w:tc>
          <w:tcPr>
            <w:tcW w:w="4442" w:type="dxa"/>
          </w:tcPr>
          <w:p>
            <w:pPr>
              <w:pStyle w:val="TableParagraph"/>
              <w:spacing w:before="18"/>
              <w:ind w:left="50"/>
              <w:rPr>
                <w:b/>
                <w:sz w:val="20"/>
              </w:rPr>
            </w:pPr>
            <w:r>
              <w:rPr>
                <w:b/>
                <w:spacing w:val="-2"/>
                <w:sz w:val="20"/>
              </w:rPr>
              <w:t>Total</w:t>
            </w:r>
          </w:p>
        </w:tc>
        <w:tc>
          <w:tcPr>
            <w:tcW w:w="1001" w:type="dxa"/>
            <w:tcBorders>
              <w:top w:val="single" w:sz="4" w:space="0" w:color="000000"/>
              <w:bottom w:val="double" w:sz="4" w:space="0" w:color="000000"/>
            </w:tcBorders>
          </w:tcPr>
          <w:p>
            <w:pPr>
              <w:pStyle w:val="TableParagraph"/>
              <w:spacing w:before="18"/>
              <w:ind w:right="109"/>
              <w:jc w:val="right"/>
              <w:rPr>
                <w:sz w:val="20"/>
              </w:rPr>
            </w:pPr>
            <w:r>
              <w:rPr>
                <w:spacing w:val="-10"/>
                <w:sz w:val="20"/>
              </w:rPr>
              <w:t>-</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4"/>
              <w:jc w:val="right"/>
              <w:rPr>
                <w:sz w:val="20"/>
              </w:rPr>
            </w:pPr>
            <w:r>
              <w:rPr>
                <w:spacing w:val="-10"/>
                <w:sz w:val="20"/>
              </w:rPr>
              <w:t>-</w:t>
            </w:r>
          </w:p>
        </w:tc>
        <w:tc>
          <w:tcPr>
            <w:tcW w:w="244"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9"/>
              <w:jc w:val="right"/>
              <w:rPr>
                <w:sz w:val="20"/>
              </w:rPr>
            </w:pPr>
            <w:r>
              <w:rPr>
                <w:spacing w:val="-5"/>
                <w:sz w:val="20"/>
              </w:rPr>
              <w:t>398</w:t>
            </w:r>
          </w:p>
        </w:tc>
        <w:tc>
          <w:tcPr>
            <w:tcW w:w="276"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57"/>
              <w:jc w:val="right"/>
              <w:rPr>
                <w:sz w:val="20"/>
              </w:rPr>
            </w:pPr>
            <w:r>
              <w:rPr>
                <w:spacing w:val="-5"/>
                <w:sz w:val="20"/>
              </w:rPr>
              <w:t>398</w:t>
            </w:r>
          </w:p>
        </w:tc>
      </w:tr>
    </w:tbl>
    <w:p>
      <w:pPr>
        <w:pStyle w:val="TableParagraph"/>
        <w:spacing w:after="0"/>
        <w:jc w:val="right"/>
        <w:rPr>
          <w:sz w:val="20"/>
        </w:rPr>
        <w:sectPr>
          <w:headerReference w:type="default" r:id="rId42"/>
          <w:footerReference w:type="default" r:id="rId43"/>
          <w:pgSz w:w="11910" w:h="16850"/>
          <w:pgMar w:header="727" w:footer="702" w:top="2080" w:bottom="900" w:left="566" w:right="708"/>
        </w:sectPr>
      </w:pPr>
    </w:p>
    <w:p>
      <w:pPr>
        <w:pStyle w:val="BodyText"/>
        <w:spacing w:before="52"/>
        <w:rPr>
          <w:b/>
        </w:rPr>
      </w:pPr>
      <w:r>
        <w:rPr>
          <w:b/>
        </w:rPr>
        <mc:AlternateContent>
          <mc:Choice Requires="wps">
            <w:drawing>
              <wp:anchor distT="0" distB="0" distL="0" distR="0" allowOverlap="1" layoutInCell="1" locked="0" behindDoc="0" simplePos="0" relativeHeight="15748096">
                <wp:simplePos x="0" y="0"/>
                <wp:positionH relativeFrom="page">
                  <wp:posOffset>882396</wp:posOffset>
                </wp:positionH>
                <wp:positionV relativeFrom="page">
                  <wp:posOffset>966203</wp:posOffset>
                </wp:positionV>
                <wp:extent cx="5617845" cy="635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5617845" cy="6350"/>
                        </a:xfrm>
                        <a:custGeom>
                          <a:avLst/>
                          <a:gdLst/>
                          <a:ahLst/>
                          <a:cxnLst/>
                          <a:rect l="l" t="t" r="r" b="b"/>
                          <a:pathLst>
                            <a:path w="5617845" h="6350">
                              <a:moveTo>
                                <a:pt x="5617464" y="0"/>
                              </a:moveTo>
                              <a:lnTo>
                                <a:pt x="0" y="0"/>
                              </a:lnTo>
                              <a:lnTo>
                                <a:pt x="0" y="6108"/>
                              </a:lnTo>
                              <a:lnTo>
                                <a:pt x="5617464" y="6108"/>
                              </a:lnTo>
                              <a:lnTo>
                                <a:pt x="5617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42.32pt;height:.481pt;mso-position-horizontal-relative:page;mso-position-vertical-relative:page;z-index:15748096" id="docshape104" filled="true" fillcolor="#000000" stroked="false">
                <v:fill type="solid"/>
                <w10:wrap type="none"/>
              </v:rect>
            </w:pict>
          </mc:Fallback>
        </mc:AlternateContent>
      </w:r>
    </w:p>
    <w:tbl>
      <w:tblPr>
        <w:tblW w:w="0" w:type="auto"/>
        <w:jc w:val="left"/>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8"/>
        <w:gridCol w:w="2526"/>
        <w:gridCol w:w="1151"/>
      </w:tblGrid>
      <w:tr>
        <w:trPr>
          <w:trHeight w:val="376" w:hRule="atLeast"/>
        </w:trPr>
        <w:tc>
          <w:tcPr>
            <w:tcW w:w="5388" w:type="dxa"/>
          </w:tcPr>
          <w:p>
            <w:pPr>
              <w:pStyle w:val="TableParagraph"/>
              <w:spacing w:line="247" w:lineRule="exact"/>
              <w:ind w:left="50"/>
              <w:rPr>
                <w:b/>
                <w:sz w:val="22"/>
              </w:rPr>
            </w:pPr>
            <w:r>
              <w:rPr>
                <w:b/>
                <w:sz w:val="22"/>
              </w:rPr>
              <w:t>10.</w:t>
            </w:r>
            <w:r>
              <w:rPr>
                <w:b/>
                <w:spacing w:val="55"/>
                <w:sz w:val="22"/>
              </w:rPr>
              <w:t> </w:t>
            </w:r>
            <w:r>
              <w:rPr>
                <w:b/>
                <w:sz w:val="22"/>
              </w:rPr>
              <w:t>Taxation</w:t>
            </w:r>
            <w:r>
              <w:rPr>
                <w:b/>
                <w:spacing w:val="-3"/>
                <w:sz w:val="22"/>
              </w:rPr>
              <w:t> </w:t>
            </w:r>
            <w:r>
              <w:rPr>
                <w:b/>
                <w:sz w:val="22"/>
              </w:rPr>
              <w:t>–</w:t>
            </w:r>
            <w:r>
              <w:rPr>
                <w:b/>
                <w:spacing w:val="-3"/>
                <w:sz w:val="22"/>
              </w:rPr>
              <w:t> </w:t>
            </w:r>
            <w:r>
              <w:rPr>
                <w:b/>
                <w:spacing w:val="-4"/>
                <w:sz w:val="22"/>
              </w:rPr>
              <w:t>Group</w:t>
            </w:r>
          </w:p>
        </w:tc>
        <w:tc>
          <w:tcPr>
            <w:tcW w:w="3677" w:type="dxa"/>
            <w:gridSpan w:val="2"/>
          </w:tcPr>
          <w:p>
            <w:pPr>
              <w:pStyle w:val="TableParagraph"/>
              <w:rPr>
                <w:rFonts w:ascii="Times New Roman"/>
                <w:sz w:val="20"/>
              </w:rPr>
            </w:pPr>
          </w:p>
        </w:tc>
      </w:tr>
      <w:tr>
        <w:trPr>
          <w:trHeight w:val="816" w:hRule="atLeast"/>
        </w:trPr>
        <w:tc>
          <w:tcPr>
            <w:tcW w:w="5388" w:type="dxa"/>
          </w:tcPr>
          <w:p>
            <w:pPr>
              <w:pStyle w:val="TableParagraph"/>
              <w:rPr>
                <w:b/>
                <w:sz w:val="20"/>
              </w:rPr>
            </w:pPr>
          </w:p>
          <w:p>
            <w:pPr>
              <w:pStyle w:val="TableParagraph"/>
              <w:spacing w:before="123"/>
              <w:rPr>
                <w:b/>
                <w:sz w:val="20"/>
              </w:rPr>
            </w:pPr>
          </w:p>
          <w:p>
            <w:pPr>
              <w:pStyle w:val="TableParagraph"/>
              <w:spacing w:line="213" w:lineRule="exact"/>
              <w:ind w:left="897"/>
              <w:rPr>
                <w:sz w:val="20"/>
              </w:rPr>
            </w:pPr>
            <w:r>
              <w:rPr>
                <w:sz w:val="20"/>
              </w:rPr>
              <w:t>Current</w:t>
            </w:r>
            <w:r>
              <w:rPr>
                <w:spacing w:val="-11"/>
                <w:sz w:val="20"/>
              </w:rPr>
              <w:t> </w:t>
            </w:r>
            <w:r>
              <w:rPr>
                <w:spacing w:val="-5"/>
                <w:sz w:val="20"/>
              </w:rPr>
              <w:t>tax</w:t>
            </w:r>
          </w:p>
        </w:tc>
        <w:tc>
          <w:tcPr>
            <w:tcW w:w="2526" w:type="dxa"/>
          </w:tcPr>
          <w:p>
            <w:pPr>
              <w:pStyle w:val="TableParagraph"/>
              <w:spacing w:before="122"/>
              <w:ind w:left="1482"/>
              <w:rPr>
                <w:b/>
                <w:sz w:val="20"/>
              </w:rPr>
            </w:pPr>
            <w:r>
              <w:rPr>
                <w:b/>
                <w:spacing w:val="-4"/>
                <w:sz w:val="20"/>
              </w:rPr>
              <w:t>2023</w:t>
            </w:r>
          </w:p>
          <w:p>
            <w:pPr>
              <w:pStyle w:val="TableParagraph"/>
              <w:spacing w:before="1"/>
              <w:ind w:left="1425"/>
              <w:rPr>
                <w:b/>
                <w:sz w:val="20"/>
              </w:rPr>
            </w:pPr>
            <w:r>
              <w:rPr>
                <w:b/>
                <w:spacing w:val="-2"/>
                <w:sz w:val="20"/>
              </w:rPr>
              <w:t>£’000</w:t>
            </w:r>
          </w:p>
        </w:tc>
        <w:tc>
          <w:tcPr>
            <w:tcW w:w="1151" w:type="dxa"/>
          </w:tcPr>
          <w:p>
            <w:pPr>
              <w:pStyle w:val="TableParagraph"/>
              <w:spacing w:before="122"/>
              <w:ind w:left="656"/>
              <w:rPr>
                <w:b/>
                <w:sz w:val="20"/>
              </w:rPr>
            </w:pPr>
            <w:r>
              <w:rPr>
                <w:b/>
                <w:spacing w:val="-4"/>
                <w:sz w:val="20"/>
              </w:rPr>
              <w:t>2022</w:t>
            </w:r>
          </w:p>
          <w:p>
            <w:pPr>
              <w:pStyle w:val="TableParagraph"/>
              <w:spacing w:before="1"/>
              <w:ind w:left="598"/>
              <w:rPr>
                <w:b/>
                <w:sz w:val="20"/>
              </w:rPr>
            </w:pPr>
            <w:r>
              <w:rPr>
                <w:b/>
                <w:spacing w:val="-2"/>
                <w:sz w:val="20"/>
              </w:rPr>
              <w:t>£’000</w:t>
            </w:r>
          </w:p>
        </w:tc>
      </w:tr>
      <w:tr>
        <w:trPr>
          <w:trHeight w:val="225" w:hRule="atLeast"/>
        </w:trPr>
        <w:tc>
          <w:tcPr>
            <w:tcW w:w="5388" w:type="dxa"/>
          </w:tcPr>
          <w:p>
            <w:pPr>
              <w:pStyle w:val="TableParagraph"/>
              <w:spacing w:line="205" w:lineRule="exact"/>
              <w:ind w:left="1120"/>
              <w:rPr>
                <w:sz w:val="20"/>
              </w:rPr>
            </w:pPr>
            <w:r>
              <w:rPr>
                <w:sz w:val="20"/>
              </w:rPr>
              <w:t>United</w:t>
            </w:r>
            <w:r>
              <w:rPr>
                <w:spacing w:val="-9"/>
                <w:sz w:val="20"/>
              </w:rPr>
              <w:t> </w:t>
            </w:r>
            <w:r>
              <w:rPr>
                <w:sz w:val="20"/>
              </w:rPr>
              <w:t>Kingdom</w:t>
            </w:r>
            <w:r>
              <w:rPr>
                <w:spacing w:val="-9"/>
                <w:sz w:val="20"/>
              </w:rPr>
              <w:t> </w:t>
            </w:r>
            <w:r>
              <w:rPr>
                <w:sz w:val="20"/>
              </w:rPr>
              <w:t>Corporation</w:t>
            </w:r>
            <w:r>
              <w:rPr>
                <w:spacing w:val="-11"/>
                <w:sz w:val="20"/>
              </w:rPr>
              <w:t> </w:t>
            </w:r>
            <w:r>
              <w:rPr>
                <w:spacing w:val="-5"/>
                <w:sz w:val="20"/>
              </w:rPr>
              <w:t>tax</w:t>
            </w:r>
          </w:p>
        </w:tc>
        <w:tc>
          <w:tcPr>
            <w:tcW w:w="2526" w:type="dxa"/>
          </w:tcPr>
          <w:p>
            <w:pPr>
              <w:pStyle w:val="TableParagraph"/>
              <w:spacing w:line="205" w:lineRule="exact"/>
              <w:ind w:right="598"/>
              <w:jc w:val="right"/>
              <w:rPr>
                <w:sz w:val="20"/>
              </w:rPr>
            </w:pPr>
            <w:r>
              <w:rPr>
                <w:spacing w:val="-10"/>
                <w:sz w:val="20"/>
              </w:rPr>
              <w:t>-</w:t>
            </w:r>
          </w:p>
        </w:tc>
        <w:tc>
          <w:tcPr>
            <w:tcW w:w="1151" w:type="dxa"/>
          </w:tcPr>
          <w:p>
            <w:pPr>
              <w:pStyle w:val="TableParagraph"/>
              <w:spacing w:line="205" w:lineRule="exact"/>
              <w:ind w:right="49"/>
              <w:jc w:val="right"/>
              <w:rPr>
                <w:sz w:val="20"/>
              </w:rPr>
            </w:pPr>
            <w:r>
              <w:rPr>
                <w:spacing w:val="-10"/>
                <w:sz w:val="20"/>
              </w:rPr>
              <w:t>-</w:t>
            </w:r>
          </w:p>
        </w:tc>
      </w:tr>
    </w:tbl>
    <w:p>
      <w:pPr>
        <w:pStyle w:val="BodyText"/>
        <w:spacing w:before="2"/>
        <w:rPr>
          <w:b/>
        </w:rPr>
      </w:pPr>
    </w:p>
    <w:p>
      <w:pPr>
        <w:pStyle w:val="BodyText"/>
        <w:ind w:right="6989"/>
        <w:jc w:val="center"/>
      </w:pPr>
      <w:r>
        <w:rPr/>
        <w:t>Deferred</w:t>
      </w:r>
      <w:r>
        <w:rPr>
          <w:spacing w:val="-11"/>
        </w:rPr>
        <w:t> </w:t>
      </w:r>
      <w:r>
        <w:rPr>
          <w:spacing w:val="-5"/>
        </w:rPr>
        <w:t>tax</w:t>
      </w:r>
    </w:p>
    <w:p>
      <w:pPr>
        <w:pStyle w:val="BodyText"/>
        <w:tabs>
          <w:tab w:pos="5390" w:val="left" w:leader="none"/>
          <w:tab w:pos="6489" w:val="left" w:leader="none"/>
          <w:tab w:pos="6950" w:val="left" w:leader="none"/>
          <w:tab w:pos="8189" w:val="left" w:leader="none"/>
        </w:tabs>
        <w:ind w:left="362"/>
        <w:jc w:val="center"/>
      </w:pPr>
      <w:r>
        <w:rPr/>
        <w:t>Origination</w:t>
      </w:r>
      <w:r>
        <w:rPr>
          <w:spacing w:val="-6"/>
        </w:rPr>
        <w:t> </w:t>
      </w:r>
      <w:r>
        <w:rPr/>
        <w:t>and</w:t>
      </w:r>
      <w:r>
        <w:rPr>
          <w:spacing w:val="-7"/>
        </w:rPr>
        <w:t> </w:t>
      </w:r>
      <w:r>
        <w:rPr/>
        <w:t>reversal</w:t>
      </w:r>
      <w:r>
        <w:rPr>
          <w:spacing w:val="-6"/>
        </w:rPr>
        <w:t> </w:t>
      </w:r>
      <w:r>
        <w:rPr/>
        <w:t>of</w:t>
      </w:r>
      <w:r>
        <w:rPr>
          <w:spacing w:val="-7"/>
        </w:rPr>
        <w:t> </w:t>
      </w:r>
      <w:r>
        <w:rPr/>
        <w:t>timing</w:t>
      </w:r>
      <w:r>
        <w:rPr>
          <w:spacing w:val="-7"/>
        </w:rPr>
        <w:t> </w:t>
      </w:r>
      <w:r>
        <w:rPr>
          <w:spacing w:val="-2"/>
        </w:rPr>
        <w:t>differences</w:t>
      </w:r>
      <w:r>
        <w:rPr/>
        <w:tab/>
      </w:r>
      <w:r>
        <w:rPr>
          <w:u w:val="single"/>
        </w:rPr>
        <w:tab/>
        <w:t>-</w:t>
      </w:r>
      <w:r>
        <w:rPr>
          <w:spacing w:val="40"/>
          <w:u w:val="single"/>
        </w:rPr>
        <w:t> </w:t>
      </w:r>
      <w:r>
        <w:rPr>
          <w:u w:val="none"/>
        </w:rPr>
        <w:tab/>
      </w:r>
      <w:r>
        <w:rPr>
          <w:u w:val="single"/>
        </w:rPr>
        <w:tab/>
      </w:r>
      <w:r>
        <w:rPr>
          <w:spacing w:val="-10"/>
          <w:u w:val="single"/>
        </w:rPr>
        <w:t>-</w:t>
      </w:r>
      <w:r>
        <w:rPr>
          <w:spacing w:val="80"/>
          <w:u w:val="single"/>
        </w:rPr>
        <w:t> </w:t>
      </w:r>
    </w:p>
    <w:p>
      <w:pPr>
        <w:pStyle w:val="BodyText"/>
        <w:spacing w:before="10"/>
      </w:pPr>
    </w:p>
    <w:p>
      <w:pPr>
        <w:tabs>
          <w:tab w:pos="5376" w:val="left" w:leader="none"/>
          <w:tab w:pos="6489" w:val="left" w:leader="none"/>
          <w:tab w:pos="6936" w:val="left" w:leader="none"/>
          <w:tab w:pos="8189" w:val="left" w:leader="none"/>
        </w:tabs>
        <w:spacing w:before="1"/>
        <w:ind w:left="139" w:right="0" w:firstLine="0"/>
        <w:jc w:val="center"/>
        <w:rPr>
          <w:sz w:val="20"/>
        </w:rPr>
      </w:pPr>
      <w:r>
        <w:rPr>
          <w:b/>
          <w:sz w:val="20"/>
        </w:rPr>
        <w:t>Total</w:t>
      </w:r>
      <w:r>
        <w:rPr>
          <w:b/>
          <w:spacing w:val="-6"/>
          <w:sz w:val="20"/>
        </w:rPr>
        <w:t> </w:t>
      </w:r>
      <w:r>
        <w:rPr>
          <w:b/>
          <w:sz w:val="20"/>
        </w:rPr>
        <w:t>tax</w:t>
      </w:r>
      <w:r>
        <w:rPr>
          <w:b/>
          <w:spacing w:val="-5"/>
          <w:sz w:val="20"/>
        </w:rPr>
        <w:t> </w:t>
      </w:r>
      <w:r>
        <w:rPr>
          <w:b/>
          <w:sz w:val="20"/>
        </w:rPr>
        <w:t>on</w:t>
      </w:r>
      <w:r>
        <w:rPr>
          <w:b/>
          <w:spacing w:val="-4"/>
          <w:sz w:val="20"/>
        </w:rPr>
        <w:t> </w:t>
      </w:r>
      <w:r>
        <w:rPr>
          <w:b/>
          <w:spacing w:val="-2"/>
          <w:sz w:val="20"/>
        </w:rPr>
        <w:t>Surplus/deficit</w:t>
      </w:r>
      <w:r>
        <w:rPr>
          <w:b/>
          <w:sz w:val="20"/>
        </w:rPr>
        <w:tab/>
      </w:r>
      <w:r>
        <w:rPr>
          <w:sz w:val="20"/>
          <w:u w:val="double"/>
        </w:rPr>
        <w:tab/>
        <w:t>-</w:t>
      </w:r>
      <w:r>
        <w:rPr>
          <w:spacing w:val="40"/>
          <w:sz w:val="20"/>
          <w:u w:val="double"/>
        </w:rPr>
        <w:t> </w:t>
      </w:r>
      <w:r>
        <w:rPr>
          <w:sz w:val="20"/>
          <w:u w:val="none"/>
        </w:rPr>
        <w:tab/>
      </w:r>
      <w:r>
        <w:rPr>
          <w:sz w:val="20"/>
          <w:u w:val="double"/>
        </w:rPr>
        <w:tab/>
      </w:r>
      <w:r>
        <w:rPr>
          <w:spacing w:val="-10"/>
          <w:sz w:val="20"/>
          <w:u w:val="double"/>
        </w:rPr>
        <w:t>-</w:t>
      </w:r>
      <w:r>
        <w:rPr>
          <w:spacing w:val="80"/>
          <w:sz w:val="20"/>
          <w:u w:val="double"/>
        </w:rPr>
        <w:t> </w:t>
      </w:r>
    </w:p>
    <w:p>
      <w:pPr>
        <w:pStyle w:val="BodyText"/>
        <w:spacing w:before="31"/>
        <w:rPr>
          <w:sz w:val="22"/>
        </w:rPr>
      </w:pPr>
    </w:p>
    <w:p>
      <w:pPr>
        <w:pStyle w:val="Heading5"/>
        <w:numPr>
          <w:ilvl w:val="0"/>
          <w:numId w:val="16"/>
        </w:numPr>
        <w:tabs>
          <w:tab w:pos="850" w:val="left" w:leader="none"/>
        </w:tabs>
        <w:spacing w:line="240" w:lineRule="auto" w:before="0" w:after="0"/>
        <w:ind w:left="850" w:right="0" w:hanging="425"/>
        <w:jc w:val="left"/>
      </w:pPr>
      <w:r>
        <w:rPr/>
        <w:t>Tangible</w:t>
      </w:r>
      <w:r>
        <w:rPr>
          <w:spacing w:val="-6"/>
        </w:rPr>
        <w:t> </w:t>
      </w:r>
      <w:r>
        <w:rPr/>
        <w:t>fixed</w:t>
      </w:r>
      <w:r>
        <w:rPr>
          <w:spacing w:val="-3"/>
        </w:rPr>
        <w:t> </w:t>
      </w:r>
      <w:r>
        <w:rPr/>
        <w:t>assets</w:t>
      </w:r>
      <w:r>
        <w:rPr>
          <w:spacing w:val="-6"/>
        </w:rPr>
        <w:t> </w:t>
      </w:r>
      <w:r>
        <w:rPr/>
        <w:t>(Group</w:t>
      </w:r>
      <w:r>
        <w:rPr>
          <w:spacing w:val="-5"/>
        </w:rPr>
        <w:t> </w:t>
      </w:r>
      <w:r>
        <w:rPr/>
        <w:t>and</w:t>
      </w:r>
      <w:r>
        <w:rPr>
          <w:spacing w:val="-3"/>
        </w:rPr>
        <w:t> </w:t>
      </w:r>
      <w:r>
        <w:rPr>
          <w:spacing w:val="-2"/>
        </w:rPr>
        <w:t>College)</w:t>
      </w:r>
    </w:p>
    <w:p>
      <w:pPr>
        <w:pStyle w:val="BodyText"/>
        <w:spacing w:before="27" w:after="1"/>
        <w:rPr>
          <w:b/>
        </w:rPr>
      </w:pPr>
    </w:p>
    <w:tbl>
      <w:tblPr>
        <w:tblW w:w="0" w:type="auto"/>
        <w:jc w:val="left"/>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67"/>
        <w:gridCol w:w="1342"/>
        <w:gridCol w:w="262"/>
        <w:gridCol w:w="1287"/>
        <w:gridCol w:w="262"/>
        <w:gridCol w:w="1455"/>
      </w:tblGrid>
      <w:tr>
        <w:trPr>
          <w:trHeight w:val="687" w:hRule="atLeast"/>
        </w:trPr>
        <w:tc>
          <w:tcPr>
            <w:tcW w:w="3667" w:type="dxa"/>
            <w:vMerge w:val="restart"/>
          </w:tcPr>
          <w:p>
            <w:pPr>
              <w:pStyle w:val="TableParagraph"/>
              <w:rPr>
                <w:rFonts w:ascii="Times New Roman"/>
                <w:sz w:val="20"/>
              </w:rPr>
            </w:pPr>
          </w:p>
        </w:tc>
        <w:tc>
          <w:tcPr>
            <w:tcW w:w="1342" w:type="dxa"/>
          </w:tcPr>
          <w:p>
            <w:pPr>
              <w:pStyle w:val="TableParagraph"/>
              <w:ind w:left="412" w:right="103" w:hanging="22"/>
              <w:rPr>
                <w:b/>
                <w:sz w:val="20"/>
              </w:rPr>
            </w:pPr>
            <w:r>
              <w:rPr>
                <w:b/>
                <w:spacing w:val="-2"/>
                <w:sz w:val="20"/>
              </w:rPr>
              <w:t>Freehold </w:t>
            </w:r>
            <w:r>
              <w:rPr>
                <w:b/>
                <w:sz w:val="20"/>
              </w:rPr>
              <w:t>land</w:t>
            </w:r>
            <w:r>
              <w:rPr>
                <w:b/>
                <w:spacing w:val="-7"/>
                <w:sz w:val="20"/>
              </w:rPr>
              <w:t> </w:t>
            </w:r>
            <w:r>
              <w:rPr>
                <w:b/>
                <w:spacing w:val="-5"/>
                <w:sz w:val="20"/>
              </w:rPr>
              <w:t>and</w:t>
            </w:r>
          </w:p>
          <w:p>
            <w:pPr>
              <w:pStyle w:val="TableParagraph"/>
              <w:spacing w:line="214" w:lineRule="exact"/>
              <w:ind w:left="345"/>
              <w:rPr>
                <w:b/>
                <w:sz w:val="20"/>
              </w:rPr>
            </w:pPr>
            <w:r>
              <w:rPr>
                <w:b/>
                <w:spacing w:val="-2"/>
                <w:sz w:val="20"/>
              </w:rPr>
              <w:t>buildings</w:t>
            </w:r>
          </w:p>
        </w:tc>
        <w:tc>
          <w:tcPr>
            <w:tcW w:w="262" w:type="dxa"/>
          </w:tcPr>
          <w:p>
            <w:pPr>
              <w:pStyle w:val="TableParagraph"/>
              <w:rPr>
                <w:rFonts w:ascii="Times New Roman"/>
                <w:sz w:val="20"/>
              </w:rPr>
            </w:pPr>
          </w:p>
        </w:tc>
        <w:tc>
          <w:tcPr>
            <w:tcW w:w="1287" w:type="dxa"/>
          </w:tcPr>
          <w:p>
            <w:pPr>
              <w:pStyle w:val="TableParagraph"/>
              <w:spacing w:before="223"/>
              <w:rPr>
                <w:b/>
                <w:sz w:val="20"/>
              </w:rPr>
            </w:pPr>
          </w:p>
          <w:p>
            <w:pPr>
              <w:pStyle w:val="TableParagraph"/>
              <w:spacing w:line="214" w:lineRule="exact"/>
              <w:ind w:left="142"/>
              <w:rPr>
                <w:b/>
                <w:sz w:val="20"/>
              </w:rPr>
            </w:pPr>
            <w:r>
              <w:rPr>
                <w:b/>
                <w:spacing w:val="-2"/>
                <w:sz w:val="20"/>
              </w:rPr>
              <w:t>Equipment</w:t>
            </w:r>
          </w:p>
        </w:tc>
        <w:tc>
          <w:tcPr>
            <w:tcW w:w="262" w:type="dxa"/>
          </w:tcPr>
          <w:p>
            <w:pPr>
              <w:pStyle w:val="TableParagraph"/>
              <w:rPr>
                <w:rFonts w:ascii="Times New Roman"/>
                <w:sz w:val="20"/>
              </w:rPr>
            </w:pPr>
          </w:p>
        </w:tc>
        <w:tc>
          <w:tcPr>
            <w:tcW w:w="1455" w:type="dxa"/>
          </w:tcPr>
          <w:p>
            <w:pPr>
              <w:pStyle w:val="TableParagraph"/>
              <w:spacing w:before="223"/>
              <w:rPr>
                <w:b/>
                <w:sz w:val="20"/>
              </w:rPr>
            </w:pPr>
          </w:p>
          <w:p>
            <w:pPr>
              <w:pStyle w:val="TableParagraph"/>
              <w:spacing w:line="214" w:lineRule="exact"/>
              <w:ind w:left="866"/>
              <w:rPr>
                <w:b/>
                <w:sz w:val="20"/>
              </w:rPr>
            </w:pPr>
            <w:r>
              <w:rPr>
                <w:b/>
                <w:spacing w:val="-2"/>
                <w:sz w:val="20"/>
              </w:rPr>
              <w:t>Total</w:t>
            </w:r>
          </w:p>
        </w:tc>
      </w:tr>
      <w:tr>
        <w:trPr>
          <w:trHeight w:val="356" w:hRule="atLeast"/>
        </w:trPr>
        <w:tc>
          <w:tcPr>
            <w:tcW w:w="3667" w:type="dxa"/>
            <w:vMerge/>
            <w:tcBorders>
              <w:top w:val="nil"/>
            </w:tcBorders>
          </w:tcPr>
          <w:p>
            <w:pPr>
              <w:rPr>
                <w:sz w:val="2"/>
                <w:szCs w:val="2"/>
              </w:rPr>
            </w:pPr>
          </w:p>
        </w:tc>
        <w:tc>
          <w:tcPr>
            <w:tcW w:w="1342" w:type="dxa"/>
          </w:tcPr>
          <w:p>
            <w:pPr>
              <w:pStyle w:val="TableParagraph"/>
              <w:spacing w:line="227" w:lineRule="exact"/>
              <w:ind w:right="108"/>
              <w:jc w:val="right"/>
              <w:rPr>
                <w:b/>
                <w:sz w:val="20"/>
              </w:rPr>
            </w:pPr>
            <w:r>
              <w:rPr>
                <w:b/>
                <w:spacing w:val="-2"/>
                <w:sz w:val="20"/>
              </w:rPr>
              <w:t>£’000</w:t>
            </w:r>
          </w:p>
        </w:tc>
        <w:tc>
          <w:tcPr>
            <w:tcW w:w="262" w:type="dxa"/>
          </w:tcPr>
          <w:p>
            <w:pPr>
              <w:pStyle w:val="TableParagraph"/>
              <w:rPr>
                <w:rFonts w:ascii="Times New Roman"/>
                <w:sz w:val="20"/>
              </w:rPr>
            </w:pPr>
          </w:p>
        </w:tc>
        <w:tc>
          <w:tcPr>
            <w:tcW w:w="1287" w:type="dxa"/>
          </w:tcPr>
          <w:p>
            <w:pPr>
              <w:pStyle w:val="TableParagraph"/>
              <w:spacing w:line="227" w:lineRule="exact"/>
              <w:ind w:right="109"/>
              <w:jc w:val="right"/>
              <w:rPr>
                <w:b/>
                <w:sz w:val="20"/>
              </w:rPr>
            </w:pPr>
            <w:r>
              <w:rPr>
                <w:b/>
                <w:spacing w:val="-2"/>
                <w:sz w:val="20"/>
              </w:rPr>
              <w:t>£’000</w:t>
            </w:r>
          </w:p>
        </w:tc>
        <w:tc>
          <w:tcPr>
            <w:tcW w:w="262" w:type="dxa"/>
          </w:tcPr>
          <w:p>
            <w:pPr>
              <w:pStyle w:val="TableParagraph"/>
              <w:rPr>
                <w:rFonts w:ascii="Times New Roman"/>
                <w:sz w:val="20"/>
              </w:rPr>
            </w:pPr>
          </w:p>
        </w:tc>
        <w:tc>
          <w:tcPr>
            <w:tcW w:w="1455" w:type="dxa"/>
          </w:tcPr>
          <w:p>
            <w:pPr>
              <w:pStyle w:val="TableParagraph"/>
              <w:spacing w:line="227" w:lineRule="exact"/>
              <w:ind w:left="842"/>
              <w:rPr>
                <w:b/>
                <w:sz w:val="20"/>
              </w:rPr>
            </w:pPr>
            <w:r>
              <w:rPr>
                <w:b/>
                <w:spacing w:val="-2"/>
                <w:sz w:val="20"/>
              </w:rPr>
              <w:t>£’000</w:t>
            </w:r>
          </w:p>
        </w:tc>
      </w:tr>
      <w:tr>
        <w:trPr>
          <w:trHeight w:val="586" w:hRule="atLeast"/>
        </w:trPr>
        <w:tc>
          <w:tcPr>
            <w:tcW w:w="3667" w:type="dxa"/>
          </w:tcPr>
          <w:p>
            <w:pPr>
              <w:pStyle w:val="TableParagraph"/>
              <w:spacing w:before="122"/>
              <w:ind w:left="50"/>
              <w:rPr>
                <w:b/>
                <w:sz w:val="20"/>
              </w:rPr>
            </w:pPr>
            <w:r>
              <w:rPr>
                <w:b/>
                <w:sz w:val="20"/>
              </w:rPr>
              <w:t>Cost</w:t>
            </w:r>
            <w:r>
              <w:rPr>
                <w:b/>
                <w:spacing w:val="-4"/>
                <w:sz w:val="20"/>
              </w:rPr>
              <w:t> </w:t>
            </w:r>
            <w:r>
              <w:rPr>
                <w:b/>
                <w:sz w:val="20"/>
              </w:rPr>
              <w:t>or</w:t>
            </w:r>
            <w:r>
              <w:rPr>
                <w:b/>
                <w:spacing w:val="-6"/>
                <w:sz w:val="20"/>
              </w:rPr>
              <w:t> </w:t>
            </w:r>
            <w:r>
              <w:rPr>
                <w:b/>
                <w:spacing w:val="-2"/>
                <w:sz w:val="20"/>
              </w:rPr>
              <w:t>valuation</w:t>
            </w:r>
          </w:p>
          <w:p>
            <w:pPr>
              <w:pStyle w:val="TableParagraph"/>
              <w:spacing w:line="214" w:lineRule="exact" w:before="1"/>
              <w:ind w:left="50"/>
              <w:rPr>
                <w:sz w:val="20"/>
              </w:rPr>
            </w:pPr>
            <w:r>
              <w:rPr>
                <w:sz w:val="20"/>
              </w:rPr>
              <w:t>At</w:t>
            </w:r>
            <w:r>
              <w:rPr>
                <w:spacing w:val="-5"/>
                <w:sz w:val="20"/>
              </w:rPr>
              <w:t> </w:t>
            </w:r>
            <w:r>
              <w:rPr>
                <w:sz w:val="20"/>
              </w:rPr>
              <w:t>1</w:t>
            </w:r>
            <w:r>
              <w:rPr>
                <w:spacing w:val="-2"/>
                <w:sz w:val="20"/>
              </w:rPr>
              <w:t> </w:t>
            </w:r>
            <w:r>
              <w:rPr>
                <w:sz w:val="20"/>
              </w:rPr>
              <w:t>August</w:t>
            </w:r>
            <w:r>
              <w:rPr>
                <w:spacing w:val="-5"/>
                <w:sz w:val="20"/>
              </w:rPr>
              <w:t> </w:t>
            </w:r>
            <w:r>
              <w:rPr>
                <w:spacing w:val="-4"/>
                <w:sz w:val="20"/>
              </w:rPr>
              <w:t>2022</w:t>
            </w:r>
          </w:p>
        </w:tc>
        <w:tc>
          <w:tcPr>
            <w:tcW w:w="1342" w:type="dxa"/>
          </w:tcPr>
          <w:p>
            <w:pPr>
              <w:pStyle w:val="TableParagraph"/>
              <w:spacing w:before="123"/>
              <w:rPr>
                <w:b/>
                <w:sz w:val="20"/>
              </w:rPr>
            </w:pPr>
          </w:p>
          <w:p>
            <w:pPr>
              <w:pStyle w:val="TableParagraph"/>
              <w:spacing w:line="214" w:lineRule="exact"/>
              <w:ind w:right="109"/>
              <w:jc w:val="right"/>
              <w:rPr>
                <w:sz w:val="20"/>
              </w:rPr>
            </w:pPr>
            <w:r>
              <w:rPr>
                <w:spacing w:val="-2"/>
                <w:sz w:val="20"/>
              </w:rPr>
              <w:t>50,494</w:t>
            </w:r>
          </w:p>
        </w:tc>
        <w:tc>
          <w:tcPr>
            <w:tcW w:w="262" w:type="dxa"/>
          </w:tcPr>
          <w:p>
            <w:pPr>
              <w:pStyle w:val="TableParagraph"/>
              <w:rPr>
                <w:rFonts w:ascii="Times New Roman"/>
                <w:sz w:val="20"/>
              </w:rPr>
            </w:pPr>
          </w:p>
        </w:tc>
        <w:tc>
          <w:tcPr>
            <w:tcW w:w="1287" w:type="dxa"/>
          </w:tcPr>
          <w:p>
            <w:pPr>
              <w:pStyle w:val="TableParagraph"/>
              <w:spacing w:before="123"/>
              <w:rPr>
                <w:b/>
                <w:sz w:val="20"/>
              </w:rPr>
            </w:pPr>
          </w:p>
          <w:p>
            <w:pPr>
              <w:pStyle w:val="TableParagraph"/>
              <w:spacing w:line="214" w:lineRule="exact"/>
              <w:ind w:right="110"/>
              <w:jc w:val="right"/>
              <w:rPr>
                <w:sz w:val="20"/>
              </w:rPr>
            </w:pPr>
            <w:r>
              <w:rPr>
                <w:spacing w:val="-2"/>
                <w:sz w:val="20"/>
              </w:rPr>
              <w:t>20,236</w:t>
            </w:r>
          </w:p>
        </w:tc>
        <w:tc>
          <w:tcPr>
            <w:tcW w:w="262" w:type="dxa"/>
          </w:tcPr>
          <w:p>
            <w:pPr>
              <w:pStyle w:val="TableParagraph"/>
              <w:rPr>
                <w:rFonts w:ascii="Times New Roman"/>
                <w:sz w:val="20"/>
              </w:rPr>
            </w:pPr>
          </w:p>
        </w:tc>
        <w:tc>
          <w:tcPr>
            <w:tcW w:w="1455" w:type="dxa"/>
          </w:tcPr>
          <w:p>
            <w:pPr>
              <w:pStyle w:val="TableParagraph"/>
              <w:spacing w:before="123"/>
              <w:rPr>
                <w:b/>
                <w:sz w:val="20"/>
              </w:rPr>
            </w:pPr>
          </w:p>
          <w:p>
            <w:pPr>
              <w:pStyle w:val="TableParagraph"/>
              <w:spacing w:line="214" w:lineRule="exact"/>
              <w:ind w:left="732"/>
              <w:rPr>
                <w:sz w:val="20"/>
              </w:rPr>
            </w:pPr>
            <w:r>
              <w:rPr>
                <w:spacing w:val="-2"/>
                <w:sz w:val="20"/>
              </w:rPr>
              <w:t>70,730</w:t>
            </w:r>
          </w:p>
        </w:tc>
      </w:tr>
      <w:tr>
        <w:trPr>
          <w:trHeight w:val="349" w:hRule="atLeast"/>
        </w:trPr>
        <w:tc>
          <w:tcPr>
            <w:tcW w:w="3667" w:type="dxa"/>
          </w:tcPr>
          <w:p>
            <w:pPr>
              <w:pStyle w:val="TableParagraph"/>
              <w:spacing w:line="227" w:lineRule="exact"/>
              <w:ind w:left="50"/>
              <w:rPr>
                <w:sz w:val="20"/>
              </w:rPr>
            </w:pPr>
            <w:r>
              <w:rPr>
                <w:spacing w:val="-2"/>
                <w:sz w:val="20"/>
              </w:rPr>
              <w:t>Additions</w:t>
            </w:r>
          </w:p>
        </w:tc>
        <w:tc>
          <w:tcPr>
            <w:tcW w:w="1342" w:type="dxa"/>
          </w:tcPr>
          <w:p>
            <w:pPr>
              <w:pStyle w:val="TableParagraph"/>
              <w:tabs>
                <w:tab w:pos="717" w:val="left" w:leader="none"/>
              </w:tabs>
              <w:spacing w:line="227" w:lineRule="exact"/>
              <w:jc w:val="right"/>
              <w:rPr>
                <w:sz w:val="20"/>
              </w:rPr>
            </w:pPr>
            <w:r>
              <w:rPr>
                <w:sz w:val="20"/>
                <w:u w:val="single"/>
              </w:rPr>
              <w:tab/>
            </w:r>
            <w:r>
              <w:rPr>
                <w:spacing w:val="-2"/>
                <w:sz w:val="20"/>
                <w:u w:val="single"/>
              </w:rPr>
              <w:t>1,139</w:t>
            </w:r>
            <w:r>
              <w:rPr>
                <w:spacing w:val="80"/>
                <w:sz w:val="20"/>
                <w:u w:val="single"/>
              </w:rPr>
              <w:t> </w:t>
            </w:r>
          </w:p>
        </w:tc>
        <w:tc>
          <w:tcPr>
            <w:tcW w:w="262" w:type="dxa"/>
          </w:tcPr>
          <w:p>
            <w:pPr>
              <w:pStyle w:val="TableParagraph"/>
              <w:rPr>
                <w:rFonts w:ascii="Times New Roman"/>
                <w:sz w:val="20"/>
              </w:rPr>
            </w:pPr>
          </w:p>
        </w:tc>
        <w:tc>
          <w:tcPr>
            <w:tcW w:w="1287" w:type="dxa"/>
          </w:tcPr>
          <w:p>
            <w:pPr>
              <w:pStyle w:val="TableParagraph"/>
              <w:tabs>
                <w:tab w:pos="830" w:val="left" w:leader="none"/>
              </w:tabs>
              <w:spacing w:line="227" w:lineRule="exact"/>
              <w:ind w:right="1"/>
              <w:jc w:val="right"/>
              <w:rPr>
                <w:sz w:val="20"/>
              </w:rPr>
            </w:pPr>
            <w:r>
              <w:rPr>
                <w:sz w:val="20"/>
                <w:u w:val="single"/>
              </w:rPr>
              <w:tab/>
            </w:r>
            <w:r>
              <w:rPr>
                <w:spacing w:val="-5"/>
                <w:sz w:val="20"/>
                <w:u w:val="single"/>
              </w:rPr>
              <w:t>979</w:t>
            </w:r>
            <w:r>
              <w:rPr>
                <w:spacing w:val="80"/>
                <w:sz w:val="20"/>
                <w:u w:val="single"/>
              </w:rPr>
              <w:t> </w:t>
            </w:r>
          </w:p>
        </w:tc>
        <w:tc>
          <w:tcPr>
            <w:tcW w:w="262" w:type="dxa"/>
          </w:tcPr>
          <w:p>
            <w:pPr>
              <w:pStyle w:val="TableParagraph"/>
              <w:rPr>
                <w:rFonts w:ascii="Times New Roman"/>
                <w:sz w:val="20"/>
              </w:rPr>
            </w:pPr>
          </w:p>
        </w:tc>
        <w:tc>
          <w:tcPr>
            <w:tcW w:w="1455" w:type="dxa"/>
          </w:tcPr>
          <w:p>
            <w:pPr>
              <w:pStyle w:val="TableParagraph"/>
              <w:tabs>
                <w:tab w:pos="842" w:val="left" w:leader="none"/>
              </w:tabs>
              <w:spacing w:line="227" w:lineRule="exact"/>
              <w:ind w:left="12"/>
              <w:rPr>
                <w:sz w:val="20"/>
              </w:rPr>
            </w:pPr>
            <w:r>
              <w:rPr>
                <w:sz w:val="20"/>
                <w:u w:val="single"/>
              </w:rPr>
              <w:tab/>
            </w:r>
            <w:r>
              <w:rPr>
                <w:spacing w:val="-2"/>
                <w:sz w:val="20"/>
                <w:u w:val="single"/>
              </w:rPr>
              <w:t>2,118</w:t>
            </w:r>
            <w:r>
              <w:rPr>
                <w:spacing w:val="80"/>
                <w:sz w:val="20"/>
                <w:u w:val="single"/>
              </w:rPr>
              <w:t> </w:t>
            </w:r>
          </w:p>
        </w:tc>
      </w:tr>
      <w:tr>
        <w:trPr>
          <w:trHeight w:val="480" w:hRule="atLeast"/>
        </w:trPr>
        <w:tc>
          <w:tcPr>
            <w:tcW w:w="3667" w:type="dxa"/>
          </w:tcPr>
          <w:p>
            <w:pPr>
              <w:pStyle w:val="TableParagraph"/>
              <w:spacing w:before="115"/>
              <w:ind w:left="50"/>
              <w:rPr>
                <w:sz w:val="20"/>
              </w:rPr>
            </w:pPr>
            <w:r>
              <w:rPr>
                <w:sz w:val="20"/>
              </w:rPr>
              <w:t>At</w:t>
            </w:r>
            <w:r>
              <w:rPr>
                <w:spacing w:val="-4"/>
                <w:sz w:val="20"/>
              </w:rPr>
              <w:t> </w:t>
            </w:r>
            <w:r>
              <w:rPr>
                <w:sz w:val="20"/>
              </w:rPr>
              <w:t>31</w:t>
            </w:r>
            <w:r>
              <w:rPr>
                <w:spacing w:val="-4"/>
                <w:sz w:val="20"/>
              </w:rPr>
              <w:t> </w:t>
            </w:r>
            <w:r>
              <w:rPr>
                <w:sz w:val="20"/>
              </w:rPr>
              <w:t>July</w:t>
            </w:r>
            <w:r>
              <w:rPr>
                <w:spacing w:val="-3"/>
                <w:sz w:val="20"/>
              </w:rPr>
              <w:t> </w:t>
            </w:r>
            <w:r>
              <w:rPr>
                <w:spacing w:val="-4"/>
                <w:sz w:val="20"/>
              </w:rPr>
              <w:t>2023</w:t>
            </w:r>
          </w:p>
        </w:tc>
        <w:tc>
          <w:tcPr>
            <w:tcW w:w="1342" w:type="dxa"/>
          </w:tcPr>
          <w:p>
            <w:pPr>
              <w:pStyle w:val="TableParagraph"/>
              <w:tabs>
                <w:tab w:pos="607" w:val="left" w:leader="none"/>
              </w:tabs>
              <w:spacing w:before="115"/>
              <w:jc w:val="right"/>
              <w:rPr>
                <w:sz w:val="20"/>
              </w:rPr>
            </w:pPr>
            <w:r>
              <w:rPr>
                <w:sz w:val="20"/>
                <w:u w:val="double"/>
              </w:rPr>
              <w:tab/>
            </w:r>
            <w:r>
              <w:rPr>
                <w:spacing w:val="-2"/>
                <w:sz w:val="20"/>
                <w:u w:val="double"/>
              </w:rPr>
              <w:t>51,633</w:t>
            </w:r>
            <w:r>
              <w:rPr>
                <w:spacing w:val="80"/>
                <w:sz w:val="20"/>
                <w:u w:val="double"/>
              </w:rPr>
              <w:t> </w:t>
            </w:r>
          </w:p>
        </w:tc>
        <w:tc>
          <w:tcPr>
            <w:tcW w:w="262" w:type="dxa"/>
          </w:tcPr>
          <w:p>
            <w:pPr>
              <w:pStyle w:val="TableParagraph"/>
              <w:rPr>
                <w:rFonts w:ascii="Times New Roman"/>
                <w:sz w:val="20"/>
              </w:rPr>
            </w:pPr>
          </w:p>
        </w:tc>
        <w:tc>
          <w:tcPr>
            <w:tcW w:w="1287" w:type="dxa"/>
          </w:tcPr>
          <w:p>
            <w:pPr>
              <w:pStyle w:val="TableParagraph"/>
              <w:tabs>
                <w:tab w:pos="551" w:val="left" w:leader="none"/>
              </w:tabs>
              <w:spacing w:before="115"/>
              <w:ind w:right="1"/>
              <w:jc w:val="right"/>
              <w:rPr>
                <w:sz w:val="20"/>
              </w:rPr>
            </w:pPr>
            <w:r>
              <w:rPr>
                <w:sz w:val="20"/>
                <w:u w:val="double"/>
              </w:rPr>
              <w:tab/>
            </w:r>
            <w:r>
              <w:rPr>
                <w:spacing w:val="-2"/>
                <w:sz w:val="20"/>
                <w:u w:val="double"/>
              </w:rPr>
              <w:t>21,215</w:t>
            </w:r>
            <w:r>
              <w:rPr>
                <w:spacing w:val="80"/>
                <w:sz w:val="20"/>
                <w:u w:val="double"/>
              </w:rPr>
              <w:t> </w:t>
            </w:r>
          </w:p>
        </w:tc>
        <w:tc>
          <w:tcPr>
            <w:tcW w:w="262" w:type="dxa"/>
          </w:tcPr>
          <w:p>
            <w:pPr>
              <w:pStyle w:val="TableParagraph"/>
              <w:rPr>
                <w:rFonts w:ascii="Times New Roman"/>
                <w:sz w:val="20"/>
              </w:rPr>
            </w:pPr>
          </w:p>
        </w:tc>
        <w:tc>
          <w:tcPr>
            <w:tcW w:w="1455" w:type="dxa"/>
          </w:tcPr>
          <w:p>
            <w:pPr>
              <w:pStyle w:val="TableParagraph"/>
              <w:tabs>
                <w:tab w:pos="732" w:val="left" w:leader="none"/>
              </w:tabs>
              <w:spacing w:before="115"/>
              <w:ind w:left="12"/>
              <w:rPr>
                <w:sz w:val="20"/>
              </w:rPr>
            </w:pPr>
            <w:r>
              <w:rPr>
                <w:sz w:val="20"/>
                <w:u w:val="double"/>
              </w:rPr>
              <w:tab/>
            </w:r>
            <w:r>
              <w:rPr>
                <w:spacing w:val="-2"/>
                <w:sz w:val="20"/>
                <w:u w:val="double"/>
              </w:rPr>
              <w:t>72,848</w:t>
            </w:r>
            <w:r>
              <w:rPr>
                <w:spacing w:val="80"/>
                <w:sz w:val="20"/>
                <w:u w:val="double"/>
              </w:rPr>
              <w:t> </w:t>
            </w:r>
          </w:p>
        </w:tc>
      </w:tr>
      <w:tr>
        <w:trPr>
          <w:trHeight w:val="589" w:hRule="atLeast"/>
        </w:trPr>
        <w:tc>
          <w:tcPr>
            <w:tcW w:w="3667" w:type="dxa"/>
          </w:tcPr>
          <w:p>
            <w:pPr>
              <w:pStyle w:val="TableParagraph"/>
              <w:spacing w:line="229" w:lineRule="exact" w:before="127"/>
              <w:ind w:left="50"/>
              <w:rPr>
                <w:b/>
                <w:sz w:val="20"/>
              </w:rPr>
            </w:pPr>
            <w:r>
              <w:rPr>
                <w:b/>
                <w:sz w:val="20"/>
              </w:rPr>
              <w:t>Depreciation</w:t>
            </w:r>
            <w:r>
              <w:rPr>
                <w:b/>
                <w:spacing w:val="-11"/>
                <w:sz w:val="20"/>
              </w:rPr>
              <w:t> </w:t>
            </w:r>
            <w:r>
              <w:rPr>
                <w:b/>
                <w:sz w:val="20"/>
              </w:rPr>
              <w:t>and</w:t>
            </w:r>
            <w:r>
              <w:rPr>
                <w:b/>
                <w:spacing w:val="-10"/>
                <w:sz w:val="20"/>
              </w:rPr>
              <w:t> </w:t>
            </w:r>
            <w:r>
              <w:rPr>
                <w:b/>
                <w:spacing w:val="-2"/>
                <w:sz w:val="20"/>
              </w:rPr>
              <w:t>Impairment</w:t>
            </w:r>
          </w:p>
          <w:p>
            <w:pPr>
              <w:pStyle w:val="TableParagraph"/>
              <w:spacing w:line="213" w:lineRule="exact"/>
              <w:ind w:left="50"/>
              <w:rPr>
                <w:sz w:val="20"/>
              </w:rPr>
            </w:pPr>
            <w:r>
              <w:rPr>
                <w:sz w:val="20"/>
              </w:rPr>
              <w:t>At</w:t>
            </w:r>
            <w:r>
              <w:rPr>
                <w:spacing w:val="-5"/>
                <w:sz w:val="20"/>
              </w:rPr>
              <w:t> </w:t>
            </w:r>
            <w:r>
              <w:rPr>
                <w:sz w:val="20"/>
              </w:rPr>
              <w:t>1</w:t>
            </w:r>
            <w:r>
              <w:rPr>
                <w:spacing w:val="-2"/>
                <w:sz w:val="20"/>
              </w:rPr>
              <w:t> </w:t>
            </w:r>
            <w:r>
              <w:rPr>
                <w:sz w:val="20"/>
              </w:rPr>
              <w:t>August</w:t>
            </w:r>
            <w:r>
              <w:rPr>
                <w:spacing w:val="-5"/>
                <w:sz w:val="20"/>
              </w:rPr>
              <w:t> </w:t>
            </w:r>
            <w:r>
              <w:rPr>
                <w:spacing w:val="-4"/>
                <w:sz w:val="20"/>
              </w:rPr>
              <w:t>2022</w:t>
            </w:r>
          </w:p>
        </w:tc>
        <w:tc>
          <w:tcPr>
            <w:tcW w:w="1342" w:type="dxa"/>
          </w:tcPr>
          <w:p>
            <w:pPr>
              <w:pStyle w:val="TableParagraph"/>
              <w:spacing w:before="125"/>
              <w:rPr>
                <w:b/>
                <w:sz w:val="20"/>
              </w:rPr>
            </w:pPr>
          </w:p>
          <w:p>
            <w:pPr>
              <w:pStyle w:val="TableParagraph"/>
              <w:spacing w:line="214" w:lineRule="exact"/>
              <w:ind w:right="109"/>
              <w:jc w:val="right"/>
              <w:rPr>
                <w:sz w:val="20"/>
              </w:rPr>
            </w:pPr>
            <w:r>
              <w:rPr>
                <w:spacing w:val="-2"/>
                <w:sz w:val="20"/>
              </w:rPr>
              <w:t>27,427</w:t>
            </w:r>
          </w:p>
        </w:tc>
        <w:tc>
          <w:tcPr>
            <w:tcW w:w="262" w:type="dxa"/>
          </w:tcPr>
          <w:p>
            <w:pPr>
              <w:pStyle w:val="TableParagraph"/>
              <w:rPr>
                <w:rFonts w:ascii="Times New Roman"/>
                <w:sz w:val="20"/>
              </w:rPr>
            </w:pPr>
          </w:p>
        </w:tc>
        <w:tc>
          <w:tcPr>
            <w:tcW w:w="1287" w:type="dxa"/>
          </w:tcPr>
          <w:p>
            <w:pPr>
              <w:pStyle w:val="TableParagraph"/>
              <w:spacing w:before="125"/>
              <w:rPr>
                <w:b/>
                <w:sz w:val="20"/>
              </w:rPr>
            </w:pPr>
          </w:p>
          <w:p>
            <w:pPr>
              <w:pStyle w:val="TableParagraph"/>
              <w:spacing w:line="214" w:lineRule="exact"/>
              <w:ind w:right="110"/>
              <w:jc w:val="right"/>
              <w:rPr>
                <w:sz w:val="20"/>
              </w:rPr>
            </w:pPr>
            <w:r>
              <w:rPr>
                <w:spacing w:val="-2"/>
                <w:sz w:val="20"/>
              </w:rPr>
              <w:t>18,241</w:t>
            </w:r>
          </w:p>
        </w:tc>
        <w:tc>
          <w:tcPr>
            <w:tcW w:w="262" w:type="dxa"/>
          </w:tcPr>
          <w:p>
            <w:pPr>
              <w:pStyle w:val="TableParagraph"/>
              <w:rPr>
                <w:rFonts w:ascii="Times New Roman"/>
                <w:sz w:val="20"/>
              </w:rPr>
            </w:pPr>
          </w:p>
        </w:tc>
        <w:tc>
          <w:tcPr>
            <w:tcW w:w="1455" w:type="dxa"/>
          </w:tcPr>
          <w:p>
            <w:pPr>
              <w:pStyle w:val="TableParagraph"/>
              <w:spacing w:before="125"/>
              <w:rPr>
                <w:b/>
                <w:sz w:val="20"/>
              </w:rPr>
            </w:pPr>
          </w:p>
          <w:p>
            <w:pPr>
              <w:pStyle w:val="TableParagraph"/>
              <w:spacing w:line="214" w:lineRule="exact"/>
              <w:ind w:left="732"/>
              <w:rPr>
                <w:sz w:val="20"/>
              </w:rPr>
            </w:pPr>
            <w:r>
              <w:rPr>
                <w:spacing w:val="-2"/>
                <w:sz w:val="20"/>
              </w:rPr>
              <w:t>45,668</w:t>
            </w:r>
          </w:p>
        </w:tc>
      </w:tr>
      <w:tr>
        <w:trPr>
          <w:trHeight w:val="457" w:hRule="atLeast"/>
        </w:trPr>
        <w:tc>
          <w:tcPr>
            <w:tcW w:w="3667" w:type="dxa"/>
          </w:tcPr>
          <w:p>
            <w:pPr>
              <w:pStyle w:val="TableParagraph"/>
              <w:spacing w:line="227" w:lineRule="exact"/>
              <w:ind w:left="50"/>
              <w:rPr>
                <w:sz w:val="20"/>
              </w:rPr>
            </w:pPr>
            <w:r>
              <w:rPr>
                <w:sz w:val="20"/>
              </w:rPr>
              <w:t>Charge</w:t>
            </w:r>
            <w:r>
              <w:rPr>
                <w:spacing w:val="-5"/>
                <w:sz w:val="20"/>
              </w:rPr>
              <w:t> </w:t>
            </w:r>
            <w:r>
              <w:rPr>
                <w:sz w:val="20"/>
              </w:rPr>
              <w:t>for</w:t>
            </w:r>
            <w:r>
              <w:rPr>
                <w:spacing w:val="-5"/>
                <w:sz w:val="20"/>
              </w:rPr>
              <w:t> </w:t>
            </w:r>
            <w:r>
              <w:rPr>
                <w:sz w:val="20"/>
              </w:rPr>
              <w:t>the</w:t>
            </w:r>
            <w:r>
              <w:rPr>
                <w:spacing w:val="-6"/>
                <w:sz w:val="20"/>
              </w:rPr>
              <w:t> </w:t>
            </w:r>
            <w:r>
              <w:rPr>
                <w:spacing w:val="-4"/>
                <w:sz w:val="20"/>
              </w:rPr>
              <w:t>year</w:t>
            </w:r>
          </w:p>
        </w:tc>
        <w:tc>
          <w:tcPr>
            <w:tcW w:w="1342" w:type="dxa"/>
            <w:tcBorders>
              <w:bottom w:val="single" w:sz="4" w:space="0" w:color="000000"/>
            </w:tcBorders>
          </w:tcPr>
          <w:p>
            <w:pPr>
              <w:pStyle w:val="TableParagraph"/>
              <w:spacing w:line="227" w:lineRule="exact"/>
              <w:ind w:right="108"/>
              <w:jc w:val="right"/>
              <w:rPr>
                <w:sz w:val="20"/>
              </w:rPr>
            </w:pPr>
            <w:r>
              <w:rPr>
                <w:spacing w:val="-2"/>
                <w:sz w:val="20"/>
              </w:rPr>
              <w:t>1,536</w:t>
            </w:r>
          </w:p>
        </w:tc>
        <w:tc>
          <w:tcPr>
            <w:tcW w:w="262" w:type="dxa"/>
          </w:tcPr>
          <w:p>
            <w:pPr>
              <w:pStyle w:val="TableParagraph"/>
              <w:rPr>
                <w:rFonts w:ascii="Times New Roman"/>
                <w:sz w:val="20"/>
              </w:rPr>
            </w:pPr>
          </w:p>
        </w:tc>
        <w:tc>
          <w:tcPr>
            <w:tcW w:w="1287" w:type="dxa"/>
            <w:tcBorders>
              <w:bottom w:val="single" w:sz="4" w:space="0" w:color="000000"/>
            </w:tcBorders>
          </w:tcPr>
          <w:p>
            <w:pPr>
              <w:pStyle w:val="TableParagraph"/>
              <w:spacing w:line="227" w:lineRule="exact"/>
              <w:ind w:right="109"/>
              <w:jc w:val="right"/>
              <w:rPr>
                <w:sz w:val="20"/>
              </w:rPr>
            </w:pPr>
            <w:r>
              <w:rPr>
                <w:spacing w:val="-2"/>
                <w:sz w:val="20"/>
              </w:rPr>
              <w:t>1,139</w:t>
            </w:r>
          </w:p>
        </w:tc>
        <w:tc>
          <w:tcPr>
            <w:tcW w:w="262" w:type="dxa"/>
          </w:tcPr>
          <w:p>
            <w:pPr>
              <w:pStyle w:val="TableParagraph"/>
              <w:rPr>
                <w:rFonts w:ascii="Times New Roman"/>
                <w:sz w:val="20"/>
              </w:rPr>
            </w:pPr>
          </w:p>
        </w:tc>
        <w:tc>
          <w:tcPr>
            <w:tcW w:w="1455" w:type="dxa"/>
            <w:tcBorders>
              <w:bottom w:val="single" w:sz="4" w:space="0" w:color="000000"/>
            </w:tcBorders>
          </w:tcPr>
          <w:p>
            <w:pPr>
              <w:pStyle w:val="TableParagraph"/>
              <w:spacing w:line="227" w:lineRule="exact"/>
              <w:ind w:left="842"/>
              <w:rPr>
                <w:sz w:val="20"/>
              </w:rPr>
            </w:pPr>
            <w:r>
              <w:rPr>
                <w:spacing w:val="-2"/>
                <w:sz w:val="20"/>
              </w:rPr>
              <w:t>2,675</w:t>
            </w:r>
          </w:p>
        </w:tc>
      </w:tr>
      <w:tr>
        <w:trPr>
          <w:trHeight w:val="593" w:hRule="atLeast"/>
        </w:trPr>
        <w:tc>
          <w:tcPr>
            <w:tcW w:w="3667" w:type="dxa"/>
          </w:tcPr>
          <w:p>
            <w:pPr>
              <w:pStyle w:val="TableParagraph"/>
              <w:spacing w:before="230"/>
              <w:ind w:left="50"/>
              <w:rPr>
                <w:sz w:val="20"/>
              </w:rPr>
            </w:pPr>
            <w:r>
              <w:rPr>
                <w:sz w:val="20"/>
              </w:rPr>
              <w:t>At</w:t>
            </w:r>
            <w:r>
              <w:rPr>
                <w:spacing w:val="-4"/>
                <w:sz w:val="20"/>
              </w:rPr>
              <w:t> </w:t>
            </w:r>
            <w:r>
              <w:rPr>
                <w:sz w:val="20"/>
              </w:rPr>
              <w:t>31</w:t>
            </w:r>
            <w:r>
              <w:rPr>
                <w:spacing w:val="-4"/>
                <w:sz w:val="20"/>
              </w:rPr>
              <w:t> </w:t>
            </w:r>
            <w:r>
              <w:rPr>
                <w:sz w:val="20"/>
              </w:rPr>
              <w:t>July</w:t>
            </w:r>
            <w:r>
              <w:rPr>
                <w:spacing w:val="-3"/>
                <w:sz w:val="20"/>
              </w:rPr>
              <w:t> </w:t>
            </w:r>
            <w:r>
              <w:rPr>
                <w:spacing w:val="-4"/>
                <w:sz w:val="20"/>
              </w:rPr>
              <w:t>2023</w:t>
            </w:r>
          </w:p>
        </w:tc>
        <w:tc>
          <w:tcPr>
            <w:tcW w:w="1342" w:type="dxa"/>
            <w:tcBorders>
              <w:top w:val="single" w:sz="4" w:space="0" w:color="000000"/>
            </w:tcBorders>
          </w:tcPr>
          <w:p>
            <w:pPr>
              <w:pStyle w:val="TableParagraph"/>
              <w:tabs>
                <w:tab w:pos="607" w:val="left" w:leader="none"/>
              </w:tabs>
              <w:spacing w:before="230"/>
              <w:jc w:val="right"/>
              <w:rPr>
                <w:sz w:val="20"/>
              </w:rPr>
            </w:pPr>
            <w:r>
              <w:rPr>
                <w:sz w:val="20"/>
                <w:u w:val="double"/>
              </w:rPr>
              <w:tab/>
            </w:r>
            <w:r>
              <w:rPr>
                <w:spacing w:val="-2"/>
                <w:sz w:val="20"/>
                <w:u w:val="double"/>
              </w:rPr>
              <w:t>28,963</w:t>
            </w:r>
            <w:r>
              <w:rPr>
                <w:spacing w:val="80"/>
                <w:sz w:val="20"/>
                <w:u w:val="double"/>
              </w:rPr>
              <w:t> </w:t>
            </w:r>
          </w:p>
        </w:tc>
        <w:tc>
          <w:tcPr>
            <w:tcW w:w="262" w:type="dxa"/>
          </w:tcPr>
          <w:p>
            <w:pPr>
              <w:pStyle w:val="TableParagraph"/>
              <w:rPr>
                <w:rFonts w:ascii="Times New Roman"/>
                <w:sz w:val="20"/>
              </w:rPr>
            </w:pPr>
          </w:p>
        </w:tc>
        <w:tc>
          <w:tcPr>
            <w:tcW w:w="1287" w:type="dxa"/>
            <w:tcBorders>
              <w:top w:val="single" w:sz="4" w:space="0" w:color="000000"/>
            </w:tcBorders>
          </w:tcPr>
          <w:p>
            <w:pPr>
              <w:pStyle w:val="TableParagraph"/>
              <w:tabs>
                <w:tab w:pos="551" w:val="left" w:leader="none"/>
              </w:tabs>
              <w:spacing w:before="230"/>
              <w:ind w:right="1"/>
              <w:jc w:val="right"/>
              <w:rPr>
                <w:sz w:val="20"/>
              </w:rPr>
            </w:pPr>
            <w:r>
              <w:rPr>
                <w:sz w:val="20"/>
                <w:u w:val="double"/>
              </w:rPr>
              <w:tab/>
            </w:r>
            <w:r>
              <w:rPr>
                <w:spacing w:val="-2"/>
                <w:sz w:val="20"/>
                <w:u w:val="double"/>
              </w:rPr>
              <w:t>19,380</w:t>
            </w:r>
            <w:r>
              <w:rPr>
                <w:spacing w:val="80"/>
                <w:sz w:val="20"/>
                <w:u w:val="double"/>
              </w:rPr>
              <w:t> </w:t>
            </w:r>
          </w:p>
        </w:tc>
        <w:tc>
          <w:tcPr>
            <w:tcW w:w="262" w:type="dxa"/>
          </w:tcPr>
          <w:p>
            <w:pPr>
              <w:pStyle w:val="TableParagraph"/>
              <w:rPr>
                <w:rFonts w:ascii="Times New Roman"/>
                <w:sz w:val="20"/>
              </w:rPr>
            </w:pPr>
          </w:p>
        </w:tc>
        <w:tc>
          <w:tcPr>
            <w:tcW w:w="1455" w:type="dxa"/>
            <w:tcBorders>
              <w:top w:val="single" w:sz="4" w:space="0" w:color="000000"/>
            </w:tcBorders>
          </w:tcPr>
          <w:p>
            <w:pPr>
              <w:pStyle w:val="TableParagraph"/>
              <w:tabs>
                <w:tab w:pos="732" w:val="left" w:leader="none"/>
              </w:tabs>
              <w:spacing w:before="230"/>
              <w:ind w:left="12"/>
              <w:rPr>
                <w:sz w:val="20"/>
              </w:rPr>
            </w:pPr>
            <w:r>
              <w:rPr>
                <w:sz w:val="20"/>
                <w:u w:val="double"/>
              </w:rPr>
              <w:tab/>
            </w:r>
            <w:r>
              <w:rPr>
                <w:spacing w:val="-2"/>
                <w:sz w:val="20"/>
                <w:u w:val="double"/>
              </w:rPr>
              <w:t>48,343</w:t>
            </w:r>
            <w:r>
              <w:rPr>
                <w:spacing w:val="80"/>
                <w:sz w:val="20"/>
                <w:u w:val="double"/>
              </w:rPr>
              <w:t> </w:t>
            </w:r>
          </w:p>
        </w:tc>
      </w:tr>
      <w:tr>
        <w:trPr>
          <w:trHeight w:val="516" w:hRule="atLeast"/>
        </w:trPr>
        <w:tc>
          <w:tcPr>
            <w:tcW w:w="3667" w:type="dxa"/>
          </w:tcPr>
          <w:p>
            <w:pPr>
              <w:pStyle w:val="TableParagraph"/>
              <w:spacing w:before="126"/>
              <w:ind w:left="50"/>
              <w:rPr>
                <w:b/>
                <w:sz w:val="20"/>
              </w:rPr>
            </w:pPr>
            <w:r>
              <w:rPr>
                <w:b/>
                <w:sz w:val="20"/>
              </w:rPr>
              <w:t>Carrying</w:t>
            </w:r>
            <w:r>
              <w:rPr>
                <w:b/>
                <w:spacing w:val="-6"/>
                <w:sz w:val="20"/>
              </w:rPr>
              <w:t> </w:t>
            </w:r>
            <w:r>
              <w:rPr>
                <w:b/>
                <w:sz w:val="20"/>
              </w:rPr>
              <w:t>amount</w:t>
            </w:r>
            <w:r>
              <w:rPr>
                <w:b/>
                <w:spacing w:val="-6"/>
                <w:sz w:val="20"/>
              </w:rPr>
              <w:t> </w:t>
            </w:r>
            <w:r>
              <w:rPr>
                <w:b/>
                <w:sz w:val="20"/>
              </w:rPr>
              <w:t>at</w:t>
            </w:r>
            <w:r>
              <w:rPr>
                <w:b/>
                <w:spacing w:val="-4"/>
                <w:sz w:val="20"/>
              </w:rPr>
              <w:t> </w:t>
            </w:r>
            <w:r>
              <w:rPr>
                <w:b/>
                <w:sz w:val="20"/>
              </w:rPr>
              <w:t>31</w:t>
            </w:r>
            <w:r>
              <w:rPr>
                <w:b/>
                <w:spacing w:val="-6"/>
                <w:sz w:val="20"/>
              </w:rPr>
              <w:t> </w:t>
            </w:r>
            <w:r>
              <w:rPr>
                <w:b/>
                <w:sz w:val="20"/>
              </w:rPr>
              <w:t>July</w:t>
            </w:r>
            <w:r>
              <w:rPr>
                <w:b/>
                <w:spacing w:val="-7"/>
                <w:sz w:val="20"/>
              </w:rPr>
              <w:t> </w:t>
            </w:r>
            <w:r>
              <w:rPr>
                <w:b/>
                <w:spacing w:val="-4"/>
                <w:sz w:val="20"/>
              </w:rPr>
              <w:t>2023</w:t>
            </w:r>
          </w:p>
        </w:tc>
        <w:tc>
          <w:tcPr>
            <w:tcW w:w="1342" w:type="dxa"/>
          </w:tcPr>
          <w:p>
            <w:pPr>
              <w:pStyle w:val="TableParagraph"/>
              <w:tabs>
                <w:tab w:pos="607" w:val="left" w:leader="none"/>
              </w:tabs>
              <w:spacing w:before="126"/>
              <w:jc w:val="right"/>
              <w:rPr>
                <w:sz w:val="20"/>
              </w:rPr>
            </w:pPr>
            <w:r>
              <w:rPr>
                <w:sz w:val="20"/>
                <w:u w:val="double"/>
              </w:rPr>
              <w:tab/>
            </w:r>
            <w:r>
              <w:rPr>
                <w:spacing w:val="-2"/>
                <w:sz w:val="20"/>
                <w:u w:val="double"/>
              </w:rPr>
              <w:t>22,670</w:t>
            </w:r>
            <w:r>
              <w:rPr>
                <w:spacing w:val="80"/>
                <w:sz w:val="20"/>
                <w:u w:val="double"/>
              </w:rPr>
              <w:t> </w:t>
            </w:r>
          </w:p>
        </w:tc>
        <w:tc>
          <w:tcPr>
            <w:tcW w:w="262" w:type="dxa"/>
          </w:tcPr>
          <w:p>
            <w:pPr>
              <w:pStyle w:val="TableParagraph"/>
              <w:rPr>
                <w:rFonts w:ascii="Times New Roman"/>
                <w:sz w:val="20"/>
              </w:rPr>
            </w:pPr>
          </w:p>
        </w:tc>
        <w:tc>
          <w:tcPr>
            <w:tcW w:w="1287" w:type="dxa"/>
          </w:tcPr>
          <w:p>
            <w:pPr>
              <w:pStyle w:val="TableParagraph"/>
              <w:tabs>
                <w:tab w:pos="662" w:val="left" w:leader="none"/>
              </w:tabs>
              <w:spacing w:before="126"/>
              <w:ind w:right="1"/>
              <w:jc w:val="right"/>
              <w:rPr>
                <w:sz w:val="20"/>
              </w:rPr>
            </w:pPr>
            <w:r>
              <w:rPr>
                <w:sz w:val="20"/>
                <w:u w:val="double"/>
              </w:rPr>
              <w:tab/>
            </w:r>
            <w:r>
              <w:rPr>
                <w:spacing w:val="-2"/>
                <w:sz w:val="20"/>
                <w:u w:val="double"/>
              </w:rPr>
              <w:t>1,835</w:t>
            </w:r>
            <w:r>
              <w:rPr>
                <w:spacing w:val="80"/>
                <w:sz w:val="20"/>
                <w:u w:val="double"/>
              </w:rPr>
              <w:t> </w:t>
            </w:r>
          </w:p>
        </w:tc>
        <w:tc>
          <w:tcPr>
            <w:tcW w:w="262" w:type="dxa"/>
          </w:tcPr>
          <w:p>
            <w:pPr>
              <w:pStyle w:val="TableParagraph"/>
              <w:rPr>
                <w:rFonts w:ascii="Times New Roman"/>
                <w:sz w:val="20"/>
              </w:rPr>
            </w:pPr>
          </w:p>
        </w:tc>
        <w:tc>
          <w:tcPr>
            <w:tcW w:w="1455" w:type="dxa"/>
          </w:tcPr>
          <w:p>
            <w:pPr>
              <w:pStyle w:val="TableParagraph"/>
              <w:tabs>
                <w:tab w:pos="732" w:val="left" w:leader="none"/>
              </w:tabs>
              <w:spacing w:before="126"/>
              <w:ind w:left="12"/>
              <w:rPr>
                <w:sz w:val="20"/>
              </w:rPr>
            </w:pPr>
            <w:r>
              <w:rPr>
                <w:sz w:val="20"/>
                <w:u w:val="double"/>
              </w:rPr>
              <w:tab/>
            </w:r>
            <w:r>
              <w:rPr>
                <w:spacing w:val="-2"/>
                <w:sz w:val="20"/>
                <w:u w:val="double"/>
              </w:rPr>
              <w:t>24,505</w:t>
            </w:r>
            <w:r>
              <w:rPr>
                <w:spacing w:val="80"/>
                <w:sz w:val="20"/>
                <w:u w:val="double"/>
              </w:rPr>
              <w:t> </w:t>
            </w:r>
          </w:p>
        </w:tc>
      </w:tr>
      <w:tr>
        <w:trPr>
          <w:trHeight w:val="435" w:hRule="atLeast"/>
        </w:trPr>
        <w:tc>
          <w:tcPr>
            <w:tcW w:w="3667" w:type="dxa"/>
          </w:tcPr>
          <w:p>
            <w:pPr>
              <w:pStyle w:val="TableParagraph"/>
              <w:spacing w:before="152"/>
              <w:ind w:left="50"/>
              <w:rPr>
                <w:sz w:val="20"/>
              </w:rPr>
            </w:pPr>
            <w:r>
              <w:rPr>
                <w:sz w:val="20"/>
              </w:rPr>
              <w:t>Carrying</w:t>
            </w:r>
            <w:r>
              <w:rPr>
                <w:spacing w:val="-6"/>
                <w:sz w:val="20"/>
              </w:rPr>
              <w:t> </w:t>
            </w:r>
            <w:r>
              <w:rPr>
                <w:sz w:val="20"/>
              </w:rPr>
              <w:t>amount</w:t>
            </w:r>
            <w:r>
              <w:rPr>
                <w:spacing w:val="-4"/>
                <w:sz w:val="20"/>
              </w:rPr>
              <w:t> </w:t>
            </w:r>
            <w:r>
              <w:rPr>
                <w:sz w:val="20"/>
              </w:rPr>
              <w:t>at</w:t>
            </w:r>
            <w:r>
              <w:rPr>
                <w:spacing w:val="-6"/>
                <w:sz w:val="20"/>
              </w:rPr>
              <w:t> </w:t>
            </w:r>
            <w:r>
              <w:rPr>
                <w:sz w:val="20"/>
              </w:rPr>
              <w:t>31</w:t>
            </w:r>
            <w:r>
              <w:rPr>
                <w:spacing w:val="-6"/>
                <w:sz w:val="20"/>
              </w:rPr>
              <w:t> </w:t>
            </w:r>
            <w:r>
              <w:rPr>
                <w:sz w:val="20"/>
              </w:rPr>
              <w:t>July</w:t>
            </w:r>
            <w:r>
              <w:rPr>
                <w:spacing w:val="-2"/>
                <w:sz w:val="20"/>
              </w:rPr>
              <w:t> </w:t>
            </w:r>
            <w:r>
              <w:rPr>
                <w:spacing w:val="-4"/>
                <w:sz w:val="20"/>
              </w:rPr>
              <w:t>2022</w:t>
            </w:r>
          </w:p>
        </w:tc>
        <w:tc>
          <w:tcPr>
            <w:tcW w:w="1342" w:type="dxa"/>
          </w:tcPr>
          <w:p>
            <w:pPr>
              <w:pStyle w:val="TableParagraph"/>
              <w:tabs>
                <w:tab w:pos="621" w:val="left" w:leader="none"/>
              </w:tabs>
              <w:spacing w:line="210" w:lineRule="exact" w:before="205"/>
              <w:ind w:left="-1"/>
              <w:jc w:val="right"/>
              <w:rPr>
                <w:sz w:val="20"/>
              </w:rPr>
            </w:pPr>
            <w:r>
              <w:rPr>
                <w:sz w:val="20"/>
                <w:u w:val="double"/>
              </w:rPr>
              <w:tab/>
            </w:r>
            <w:r>
              <w:rPr>
                <w:spacing w:val="-2"/>
                <w:sz w:val="20"/>
                <w:u w:val="double"/>
              </w:rPr>
              <w:t>23,067</w:t>
            </w:r>
            <w:r>
              <w:rPr>
                <w:spacing w:val="80"/>
                <w:sz w:val="20"/>
                <w:u w:val="double"/>
              </w:rPr>
              <w:t> </w:t>
            </w:r>
          </w:p>
        </w:tc>
        <w:tc>
          <w:tcPr>
            <w:tcW w:w="262" w:type="dxa"/>
          </w:tcPr>
          <w:p>
            <w:pPr>
              <w:pStyle w:val="TableParagraph"/>
              <w:rPr>
                <w:rFonts w:ascii="Times New Roman"/>
                <w:sz w:val="20"/>
              </w:rPr>
            </w:pPr>
          </w:p>
        </w:tc>
        <w:tc>
          <w:tcPr>
            <w:tcW w:w="1287" w:type="dxa"/>
          </w:tcPr>
          <w:p>
            <w:pPr>
              <w:pStyle w:val="TableParagraph"/>
              <w:tabs>
                <w:tab w:pos="675" w:val="left" w:leader="none"/>
              </w:tabs>
              <w:spacing w:line="210" w:lineRule="exact" w:before="205"/>
              <w:ind w:left="-2" w:right="1"/>
              <w:jc w:val="right"/>
              <w:rPr>
                <w:sz w:val="20"/>
              </w:rPr>
            </w:pPr>
            <w:r>
              <w:rPr>
                <w:sz w:val="20"/>
                <w:u w:val="double"/>
              </w:rPr>
              <w:tab/>
            </w:r>
            <w:r>
              <w:rPr>
                <w:spacing w:val="-2"/>
                <w:sz w:val="20"/>
                <w:u w:val="double"/>
              </w:rPr>
              <w:t>1,995</w:t>
            </w:r>
            <w:r>
              <w:rPr>
                <w:spacing w:val="80"/>
                <w:sz w:val="20"/>
                <w:u w:val="double"/>
              </w:rPr>
              <w:t> </w:t>
            </w:r>
          </w:p>
        </w:tc>
        <w:tc>
          <w:tcPr>
            <w:tcW w:w="262" w:type="dxa"/>
          </w:tcPr>
          <w:p>
            <w:pPr>
              <w:pStyle w:val="TableParagraph"/>
              <w:rPr>
                <w:rFonts w:ascii="Times New Roman"/>
                <w:sz w:val="20"/>
              </w:rPr>
            </w:pPr>
          </w:p>
        </w:tc>
        <w:tc>
          <w:tcPr>
            <w:tcW w:w="1455" w:type="dxa"/>
          </w:tcPr>
          <w:p>
            <w:pPr>
              <w:pStyle w:val="TableParagraph"/>
              <w:tabs>
                <w:tab w:pos="732" w:val="left" w:leader="none"/>
              </w:tabs>
              <w:spacing w:line="210" w:lineRule="exact" w:before="205"/>
              <w:ind w:left="-3"/>
              <w:rPr>
                <w:sz w:val="20"/>
              </w:rPr>
            </w:pPr>
            <w:r>
              <w:rPr>
                <w:sz w:val="20"/>
                <w:u w:val="double"/>
              </w:rPr>
              <w:tab/>
            </w:r>
            <w:r>
              <w:rPr>
                <w:spacing w:val="-2"/>
                <w:sz w:val="20"/>
                <w:u w:val="double"/>
              </w:rPr>
              <w:t>25,062</w:t>
            </w:r>
            <w:r>
              <w:rPr>
                <w:spacing w:val="80"/>
                <w:sz w:val="20"/>
                <w:u w:val="double"/>
              </w:rPr>
              <w:t> </w:t>
            </w:r>
          </w:p>
        </w:tc>
      </w:tr>
    </w:tbl>
    <w:p>
      <w:pPr>
        <w:pStyle w:val="BodyText"/>
        <w:spacing w:before="55"/>
        <w:rPr>
          <w:b/>
          <w:sz w:val="22"/>
        </w:rPr>
      </w:pPr>
    </w:p>
    <w:p>
      <w:pPr>
        <w:pStyle w:val="BodyText"/>
        <w:ind w:left="852" w:right="1084"/>
      </w:pPr>
      <w:r>
        <w:rPr/>
        <w:t>The</w:t>
      </w:r>
      <w:r>
        <w:rPr>
          <w:spacing w:val="-4"/>
        </w:rPr>
        <w:t> </w:t>
      </w:r>
      <w:r>
        <w:rPr/>
        <w:t>gross</w:t>
      </w:r>
      <w:r>
        <w:rPr>
          <w:spacing w:val="-3"/>
        </w:rPr>
        <w:t> </w:t>
      </w:r>
      <w:r>
        <w:rPr/>
        <w:t>book</w:t>
      </w:r>
      <w:r>
        <w:rPr>
          <w:spacing w:val="-3"/>
        </w:rPr>
        <w:t> </w:t>
      </w:r>
      <w:r>
        <w:rPr/>
        <w:t>value</w:t>
      </w:r>
      <w:r>
        <w:rPr>
          <w:spacing w:val="-4"/>
        </w:rPr>
        <w:t> </w:t>
      </w:r>
      <w:r>
        <w:rPr/>
        <w:t>of</w:t>
      </w:r>
      <w:r>
        <w:rPr>
          <w:spacing w:val="-2"/>
        </w:rPr>
        <w:t> </w:t>
      </w:r>
      <w:r>
        <w:rPr/>
        <w:t>freehold</w:t>
      </w:r>
      <w:r>
        <w:rPr>
          <w:spacing w:val="-2"/>
        </w:rPr>
        <w:t> </w:t>
      </w:r>
      <w:r>
        <w:rPr/>
        <w:t>land</w:t>
      </w:r>
      <w:r>
        <w:rPr>
          <w:spacing w:val="-4"/>
        </w:rPr>
        <w:t> </w:t>
      </w:r>
      <w:r>
        <w:rPr/>
        <w:t>and</w:t>
      </w:r>
      <w:r>
        <w:rPr>
          <w:spacing w:val="-4"/>
        </w:rPr>
        <w:t> </w:t>
      </w:r>
      <w:r>
        <w:rPr/>
        <w:t>buildings includes land</w:t>
      </w:r>
      <w:r>
        <w:rPr>
          <w:spacing w:val="-4"/>
        </w:rPr>
        <w:t> </w:t>
      </w:r>
      <w:r>
        <w:rPr/>
        <w:t>with</w:t>
      </w:r>
      <w:r>
        <w:rPr>
          <w:spacing w:val="-4"/>
        </w:rPr>
        <w:t> </w:t>
      </w:r>
      <w:r>
        <w:rPr/>
        <w:t>a</w:t>
      </w:r>
      <w:r>
        <w:rPr>
          <w:spacing w:val="-2"/>
        </w:rPr>
        <w:t> </w:t>
      </w:r>
      <w:r>
        <w:rPr/>
        <w:t>value</w:t>
      </w:r>
      <w:r>
        <w:rPr>
          <w:spacing w:val="-4"/>
        </w:rPr>
        <w:t> </w:t>
      </w:r>
      <w:r>
        <w:rPr/>
        <w:t>of</w:t>
      </w:r>
      <w:r>
        <w:rPr>
          <w:spacing w:val="27"/>
        </w:rPr>
        <w:t> </w:t>
      </w:r>
      <w:r>
        <w:rPr/>
        <w:t>£6,869,000 (2022: £6,869,000), which is not depreciated.</w:t>
      </w:r>
    </w:p>
    <w:p>
      <w:pPr>
        <w:pStyle w:val="BodyText"/>
        <w:spacing w:before="229"/>
        <w:ind w:left="852" w:right="990"/>
        <w:jc w:val="both"/>
      </w:pPr>
      <w:r>
        <w:rPr/>
        <w:t>Inherited land and buildings were valued in 1994 at depreciated replacement cost by Edward Rushton</w:t>
      </w:r>
      <w:r>
        <w:rPr>
          <w:spacing w:val="-11"/>
        </w:rPr>
        <w:t> </w:t>
      </w:r>
      <w:r>
        <w:rPr/>
        <w:t>Son</w:t>
      </w:r>
      <w:r>
        <w:rPr>
          <w:spacing w:val="-14"/>
        </w:rPr>
        <w:t> </w:t>
      </w:r>
      <w:r>
        <w:rPr/>
        <w:t>&amp;</w:t>
      </w:r>
      <w:r>
        <w:rPr>
          <w:spacing w:val="-12"/>
        </w:rPr>
        <w:t> </w:t>
      </w:r>
      <w:r>
        <w:rPr/>
        <w:t>Kenyon,</w:t>
      </w:r>
      <w:r>
        <w:rPr>
          <w:spacing w:val="-11"/>
        </w:rPr>
        <w:t> </w:t>
      </w:r>
      <w:r>
        <w:rPr/>
        <w:t>a</w:t>
      </w:r>
      <w:r>
        <w:rPr>
          <w:spacing w:val="-14"/>
        </w:rPr>
        <w:t> </w:t>
      </w:r>
      <w:r>
        <w:rPr/>
        <w:t>firm</w:t>
      </w:r>
      <w:r>
        <w:rPr>
          <w:spacing w:val="-14"/>
        </w:rPr>
        <w:t> </w:t>
      </w:r>
      <w:r>
        <w:rPr/>
        <w:t>of</w:t>
      </w:r>
      <w:r>
        <w:rPr>
          <w:spacing w:val="-14"/>
        </w:rPr>
        <w:t> </w:t>
      </w:r>
      <w:r>
        <w:rPr/>
        <w:t>independent</w:t>
      </w:r>
      <w:r>
        <w:rPr>
          <w:spacing w:val="-13"/>
        </w:rPr>
        <w:t> </w:t>
      </w:r>
      <w:r>
        <w:rPr/>
        <w:t>chartered</w:t>
      </w:r>
      <w:r>
        <w:rPr>
          <w:spacing w:val="-14"/>
        </w:rPr>
        <w:t> </w:t>
      </w:r>
      <w:r>
        <w:rPr/>
        <w:t>surveyors.</w:t>
      </w:r>
      <w:r>
        <w:rPr>
          <w:spacing w:val="-14"/>
        </w:rPr>
        <w:t> </w:t>
      </w:r>
      <w:r>
        <w:rPr/>
        <w:t>These</w:t>
      </w:r>
      <w:r>
        <w:rPr>
          <w:spacing w:val="-14"/>
        </w:rPr>
        <w:t> </w:t>
      </w:r>
      <w:r>
        <w:rPr/>
        <w:t>assets</w:t>
      </w:r>
      <w:r>
        <w:rPr>
          <w:spacing w:val="-11"/>
        </w:rPr>
        <w:t> </w:t>
      </w:r>
      <w:r>
        <w:rPr/>
        <w:t>have</w:t>
      </w:r>
      <w:r>
        <w:rPr>
          <w:spacing w:val="-14"/>
        </w:rPr>
        <w:t> </w:t>
      </w:r>
      <w:r>
        <w:rPr/>
        <w:t>subsequently been</w:t>
      </w:r>
      <w:r>
        <w:rPr>
          <w:spacing w:val="-4"/>
        </w:rPr>
        <w:t> </w:t>
      </w:r>
      <w:r>
        <w:rPr/>
        <w:t>impaired</w:t>
      </w:r>
      <w:r>
        <w:rPr>
          <w:spacing w:val="-7"/>
        </w:rPr>
        <w:t> </w:t>
      </w:r>
      <w:r>
        <w:rPr/>
        <w:t>to</w:t>
      </w:r>
      <w:r>
        <w:rPr>
          <w:spacing w:val="-7"/>
        </w:rPr>
        <w:t> </w:t>
      </w:r>
      <w:r>
        <w:rPr/>
        <w:t>market</w:t>
      </w:r>
      <w:r>
        <w:rPr>
          <w:spacing w:val="-6"/>
        </w:rPr>
        <w:t> </w:t>
      </w:r>
      <w:r>
        <w:rPr/>
        <w:t>value/depreciated</w:t>
      </w:r>
      <w:r>
        <w:rPr>
          <w:spacing w:val="-7"/>
        </w:rPr>
        <w:t> </w:t>
      </w:r>
      <w:r>
        <w:rPr/>
        <w:t>replacement</w:t>
      </w:r>
      <w:r>
        <w:rPr>
          <w:spacing w:val="-6"/>
        </w:rPr>
        <w:t> </w:t>
      </w:r>
      <w:r>
        <w:rPr/>
        <w:t>cost</w:t>
      </w:r>
      <w:r>
        <w:rPr>
          <w:spacing w:val="-6"/>
        </w:rPr>
        <w:t> </w:t>
      </w:r>
      <w:r>
        <w:rPr/>
        <w:t>in</w:t>
      </w:r>
      <w:r>
        <w:rPr>
          <w:spacing w:val="-7"/>
        </w:rPr>
        <w:t> </w:t>
      </w:r>
      <w:r>
        <w:rPr/>
        <w:t>2016.</w:t>
      </w:r>
      <w:r>
        <w:rPr>
          <w:spacing w:val="-6"/>
        </w:rPr>
        <w:t> </w:t>
      </w:r>
      <w:r>
        <w:rPr/>
        <w:t>The</w:t>
      </w:r>
      <w:r>
        <w:rPr>
          <w:spacing w:val="-7"/>
        </w:rPr>
        <w:t> </w:t>
      </w:r>
      <w:r>
        <w:rPr/>
        <w:t>historic</w:t>
      </w:r>
      <w:r>
        <w:rPr>
          <w:spacing w:val="-5"/>
        </w:rPr>
        <w:t> </w:t>
      </w:r>
      <w:r>
        <w:rPr/>
        <w:t>cost</w:t>
      </w:r>
      <w:r>
        <w:rPr>
          <w:spacing w:val="-6"/>
        </w:rPr>
        <w:t> </w:t>
      </w:r>
      <w:r>
        <w:rPr/>
        <w:t>of</w:t>
      </w:r>
      <w:r>
        <w:rPr>
          <w:spacing w:val="-6"/>
        </w:rPr>
        <w:t> </w:t>
      </w:r>
      <w:r>
        <w:rPr/>
        <w:t>the</w:t>
      </w:r>
      <w:r>
        <w:rPr>
          <w:spacing w:val="-6"/>
        </w:rPr>
        <w:t> </w:t>
      </w:r>
      <w:r>
        <w:rPr/>
        <w:t>assets is £nil.</w:t>
      </w:r>
    </w:p>
    <w:p>
      <w:pPr>
        <w:pStyle w:val="BodyText"/>
      </w:pPr>
    </w:p>
    <w:p>
      <w:pPr>
        <w:pStyle w:val="BodyText"/>
        <w:ind w:left="852" w:right="991"/>
        <w:jc w:val="both"/>
      </w:pPr>
      <w:r>
        <w:rPr/>
        <w:t>If</w:t>
      </w:r>
      <w:r>
        <w:rPr>
          <w:spacing w:val="-13"/>
        </w:rPr>
        <w:t> </w:t>
      </w:r>
      <w:r>
        <w:rPr/>
        <w:t>inherited</w:t>
      </w:r>
      <w:r>
        <w:rPr>
          <w:spacing w:val="-10"/>
        </w:rPr>
        <w:t> </w:t>
      </w:r>
      <w:r>
        <w:rPr/>
        <w:t>land</w:t>
      </w:r>
      <w:r>
        <w:rPr>
          <w:spacing w:val="-10"/>
        </w:rPr>
        <w:t> </w:t>
      </w:r>
      <w:r>
        <w:rPr/>
        <w:t>and</w:t>
      </w:r>
      <w:r>
        <w:rPr>
          <w:spacing w:val="-10"/>
        </w:rPr>
        <w:t> </w:t>
      </w:r>
      <w:r>
        <w:rPr/>
        <w:t>buildings</w:t>
      </w:r>
      <w:r>
        <w:rPr>
          <w:spacing w:val="-11"/>
        </w:rPr>
        <w:t> </w:t>
      </w:r>
      <w:r>
        <w:rPr/>
        <w:t>had</w:t>
      </w:r>
      <w:r>
        <w:rPr>
          <w:spacing w:val="-13"/>
        </w:rPr>
        <w:t> </w:t>
      </w:r>
      <w:r>
        <w:rPr/>
        <w:t>not</w:t>
      </w:r>
      <w:r>
        <w:rPr>
          <w:spacing w:val="-10"/>
        </w:rPr>
        <w:t> </w:t>
      </w:r>
      <w:r>
        <w:rPr/>
        <w:t>been</w:t>
      </w:r>
      <w:r>
        <w:rPr>
          <w:spacing w:val="-13"/>
        </w:rPr>
        <w:t> </w:t>
      </w:r>
      <w:r>
        <w:rPr/>
        <w:t>valued,</w:t>
      </w:r>
      <w:r>
        <w:rPr>
          <w:spacing w:val="-10"/>
        </w:rPr>
        <w:t> </w:t>
      </w:r>
      <w:r>
        <w:rPr/>
        <w:t>before</w:t>
      </w:r>
      <w:r>
        <w:rPr>
          <w:spacing w:val="-13"/>
        </w:rPr>
        <w:t> </w:t>
      </w:r>
      <w:r>
        <w:rPr/>
        <w:t>deemed</w:t>
      </w:r>
      <w:r>
        <w:rPr>
          <w:spacing w:val="-10"/>
        </w:rPr>
        <w:t> </w:t>
      </w:r>
      <w:r>
        <w:rPr/>
        <w:t>being</w:t>
      </w:r>
      <w:r>
        <w:rPr>
          <w:spacing w:val="-10"/>
        </w:rPr>
        <w:t> </w:t>
      </w:r>
      <w:r>
        <w:rPr/>
        <w:t>at</w:t>
      </w:r>
      <w:r>
        <w:rPr>
          <w:spacing w:val="-10"/>
        </w:rPr>
        <w:t> </w:t>
      </w:r>
      <w:r>
        <w:rPr/>
        <w:t>cost</w:t>
      </w:r>
      <w:r>
        <w:rPr>
          <w:spacing w:val="-13"/>
        </w:rPr>
        <w:t> </w:t>
      </w:r>
      <w:r>
        <w:rPr/>
        <w:t>on</w:t>
      </w:r>
      <w:r>
        <w:rPr>
          <w:spacing w:val="-13"/>
        </w:rPr>
        <w:t> </w:t>
      </w:r>
      <w:r>
        <w:rPr/>
        <w:t>transition</w:t>
      </w:r>
      <w:r>
        <w:rPr>
          <w:spacing w:val="-10"/>
        </w:rPr>
        <w:t> </w:t>
      </w:r>
      <w:r>
        <w:rPr/>
        <w:t>to</w:t>
      </w:r>
      <w:r>
        <w:rPr>
          <w:spacing w:val="-13"/>
        </w:rPr>
        <w:t> </w:t>
      </w:r>
      <w:r>
        <w:rPr/>
        <w:t>FRS 102, they would have been included at the following amounts:</w:t>
      </w:r>
    </w:p>
    <w:p>
      <w:pPr>
        <w:pStyle w:val="Heading6"/>
        <w:ind w:left="0" w:right="1240"/>
        <w:jc w:val="right"/>
      </w:pPr>
      <w:r>
        <w:rPr>
          <w:spacing w:val="-2"/>
        </w:rPr>
        <w:t>£’000</w:t>
      </w:r>
    </w:p>
    <w:p>
      <w:pPr>
        <w:pStyle w:val="BodyText"/>
        <w:spacing w:before="47"/>
        <w:rPr>
          <w:b/>
        </w:rPr>
      </w:pPr>
    </w:p>
    <w:p>
      <w:pPr>
        <w:pStyle w:val="BodyText"/>
        <w:tabs>
          <w:tab w:pos="8051" w:val="left" w:leader="none"/>
        </w:tabs>
        <w:ind w:right="1239"/>
        <w:jc w:val="right"/>
      </w:pPr>
      <w:r>
        <w:rPr>
          <w:spacing w:val="-4"/>
        </w:rPr>
        <w:t>Cost</w:t>
      </w:r>
      <w:r>
        <w:rPr/>
        <w:tab/>
      </w:r>
      <w:r>
        <w:rPr>
          <w:spacing w:val="-10"/>
        </w:rPr>
        <w:t>-</w:t>
      </w:r>
    </w:p>
    <w:p>
      <w:pPr>
        <w:pStyle w:val="BodyText"/>
        <w:spacing w:before="1"/>
      </w:pPr>
    </w:p>
    <w:p>
      <w:pPr>
        <w:pStyle w:val="BodyText"/>
        <w:tabs>
          <w:tab w:pos="8051" w:val="left" w:leader="none"/>
        </w:tabs>
        <w:ind w:right="1239"/>
        <w:jc w:val="right"/>
      </w:pPr>
      <w:r>
        <w:rPr/>
        <mc:AlternateContent>
          <mc:Choice Requires="wps">
            <w:drawing>
              <wp:anchor distT="0" distB="0" distL="0" distR="0" allowOverlap="1" layoutInCell="1" locked="0" behindDoc="0" simplePos="0" relativeHeight="15748608">
                <wp:simplePos x="0" y="0"/>
                <wp:positionH relativeFrom="page">
                  <wp:posOffset>6280403</wp:posOffset>
                </wp:positionH>
                <wp:positionV relativeFrom="paragraph">
                  <wp:posOffset>132845</wp:posOffset>
                </wp:positionV>
                <wp:extent cx="43180" cy="952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43180" cy="9525"/>
                        </a:xfrm>
                        <a:custGeom>
                          <a:avLst/>
                          <a:gdLst/>
                          <a:ahLst/>
                          <a:cxnLst/>
                          <a:rect l="l" t="t" r="r" b="b"/>
                          <a:pathLst>
                            <a:path w="43180" h="9525">
                              <a:moveTo>
                                <a:pt x="42672" y="0"/>
                              </a:moveTo>
                              <a:lnTo>
                                <a:pt x="0" y="0"/>
                              </a:lnTo>
                              <a:lnTo>
                                <a:pt x="0" y="9143"/>
                              </a:lnTo>
                              <a:lnTo>
                                <a:pt x="42672" y="9143"/>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4.519989pt;margin-top:10.460293pt;width:3.36pt;height:.72pt;mso-position-horizontal-relative:page;mso-position-vertical-relative:paragraph;z-index:15748608" id="docshape105" filled="true" fillcolor="#000000" stroked="false">
                <v:fill type="solid"/>
                <w10:wrap type="none"/>
              </v:rect>
            </w:pict>
          </mc:Fallback>
        </mc:AlternateContent>
      </w:r>
      <w:r>
        <w:rPr/>
        <w:t>Aggregate</w:t>
      </w:r>
      <w:r>
        <w:rPr>
          <w:spacing w:val="-8"/>
        </w:rPr>
        <w:t> </w:t>
      </w:r>
      <w:r>
        <w:rPr/>
        <w:t>depreciation</w:t>
      </w:r>
      <w:r>
        <w:rPr>
          <w:spacing w:val="-8"/>
        </w:rPr>
        <w:t> </w:t>
      </w:r>
      <w:r>
        <w:rPr/>
        <w:t>based</w:t>
      </w:r>
      <w:r>
        <w:rPr>
          <w:spacing w:val="-8"/>
        </w:rPr>
        <w:t> </w:t>
      </w:r>
      <w:r>
        <w:rPr/>
        <w:t>on</w:t>
      </w:r>
      <w:r>
        <w:rPr>
          <w:spacing w:val="-7"/>
        </w:rPr>
        <w:t> </w:t>
      </w:r>
      <w:r>
        <w:rPr>
          <w:spacing w:val="-4"/>
        </w:rPr>
        <w:t>cost</w:t>
      </w:r>
      <w:r>
        <w:rPr/>
        <w:tab/>
      </w:r>
      <w:r>
        <w:rPr>
          <w:spacing w:val="-10"/>
        </w:rPr>
        <w:t>-</w:t>
      </w:r>
    </w:p>
    <w:p>
      <w:pPr>
        <w:pStyle w:val="Heading6"/>
        <w:tabs>
          <w:tab w:pos="8082" w:val="left" w:leader="none"/>
        </w:tabs>
        <w:spacing w:before="228"/>
        <w:ind w:left="30"/>
        <w:jc w:val="center"/>
        <w:rPr>
          <w:b w:val="0"/>
        </w:rPr>
      </w:pPr>
      <w:r>
        <w:rPr>
          <w:b w:val="0"/>
        </w:rPr>
        <mc:AlternateContent>
          <mc:Choice Requires="wps">
            <w:drawing>
              <wp:anchor distT="0" distB="0" distL="0" distR="0" allowOverlap="1" layoutInCell="1" locked="0" behindDoc="0" simplePos="0" relativeHeight="15749120">
                <wp:simplePos x="0" y="0"/>
                <wp:positionH relativeFrom="page">
                  <wp:posOffset>6280404</wp:posOffset>
                </wp:positionH>
                <wp:positionV relativeFrom="paragraph">
                  <wp:posOffset>270272</wp:posOffset>
                </wp:positionV>
                <wp:extent cx="43180" cy="2159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43180" cy="21590"/>
                        </a:xfrm>
                        <a:custGeom>
                          <a:avLst/>
                          <a:gdLst/>
                          <a:ahLst/>
                          <a:cxnLst/>
                          <a:rect l="l" t="t" r="r" b="b"/>
                          <a:pathLst>
                            <a:path w="43180" h="21590">
                              <a:moveTo>
                                <a:pt x="42672" y="16764"/>
                              </a:moveTo>
                              <a:lnTo>
                                <a:pt x="0" y="16764"/>
                              </a:lnTo>
                              <a:lnTo>
                                <a:pt x="0" y="21336"/>
                              </a:lnTo>
                              <a:lnTo>
                                <a:pt x="42672" y="21336"/>
                              </a:lnTo>
                              <a:lnTo>
                                <a:pt x="42672" y="16764"/>
                              </a:lnTo>
                              <a:close/>
                            </a:path>
                            <a:path w="43180" h="21590">
                              <a:moveTo>
                                <a:pt x="42672" y="0"/>
                              </a:moveTo>
                              <a:lnTo>
                                <a:pt x="0" y="0"/>
                              </a:lnTo>
                              <a:lnTo>
                                <a:pt x="0" y="4572"/>
                              </a:lnTo>
                              <a:lnTo>
                                <a:pt x="42672" y="4572"/>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4.52002pt;margin-top:21.281265pt;width:3.4pt;height:1.7pt;mso-position-horizontal-relative:page;mso-position-vertical-relative:paragraph;z-index:15749120" id="docshape106" coordorigin="9890,426" coordsize="68,34" path="m9958,452l9890,452,9890,459,9958,459,9958,452xm9958,426l9890,426,9890,433,9958,433,9958,426xe" filled="true" fillcolor="#000000" stroked="false">
                <v:path arrowok="t"/>
                <v:fill type="solid"/>
                <w10:wrap type="none"/>
              </v:shape>
            </w:pict>
          </mc:Fallback>
        </mc:AlternateContent>
      </w:r>
      <w:r>
        <w:rPr/>
        <w:t>Carrying</w:t>
      </w:r>
      <w:r>
        <w:rPr>
          <w:spacing w:val="-7"/>
        </w:rPr>
        <w:t> </w:t>
      </w:r>
      <w:r>
        <w:rPr/>
        <w:t>amount</w:t>
      </w:r>
      <w:r>
        <w:rPr>
          <w:spacing w:val="-6"/>
        </w:rPr>
        <w:t> </w:t>
      </w:r>
      <w:r>
        <w:rPr/>
        <w:t>based</w:t>
      </w:r>
      <w:r>
        <w:rPr>
          <w:spacing w:val="-6"/>
        </w:rPr>
        <w:t> </w:t>
      </w:r>
      <w:r>
        <w:rPr/>
        <w:t>on</w:t>
      </w:r>
      <w:r>
        <w:rPr>
          <w:spacing w:val="-6"/>
        </w:rPr>
        <w:t> </w:t>
      </w:r>
      <w:r>
        <w:rPr>
          <w:spacing w:val="-4"/>
        </w:rPr>
        <w:t>cost</w:t>
      </w:r>
      <w:r>
        <w:rPr/>
        <w:tab/>
      </w:r>
      <w:r>
        <w:rPr>
          <w:b w:val="0"/>
          <w:spacing w:val="-10"/>
        </w:rPr>
        <w:t>-</w:t>
      </w:r>
    </w:p>
    <w:p>
      <w:pPr>
        <w:pStyle w:val="BodyText"/>
      </w:pPr>
    </w:p>
    <w:p>
      <w:pPr>
        <w:pStyle w:val="BodyText"/>
      </w:pPr>
    </w:p>
    <w:p>
      <w:pPr>
        <w:pStyle w:val="BodyText"/>
        <w:spacing w:before="84"/>
      </w:pPr>
      <w:r>
        <w:rPr/>
        <mc:AlternateContent>
          <mc:Choice Requires="wps">
            <w:drawing>
              <wp:anchor distT="0" distB="0" distL="0" distR="0" allowOverlap="1" layoutInCell="1" locked="0" behindDoc="1" simplePos="0" relativeHeight="487606784">
                <wp:simplePos x="0" y="0"/>
                <wp:positionH relativeFrom="page">
                  <wp:posOffset>882396</wp:posOffset>
                </wp:positionH>
                <wp:positionV relativeFrom="paragraph">
                  <wp:posOffset>214683</wp:posOffset>
                </wp:positionV>
                <wp:extent cx="5617845" cy="635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5617845" cy="6350"/>
                        </a:xfrm>
                        <a:custGeom>
                          <a:avLst/>
                          <a:gdLst/>
                          <a:ahLst/>
                          <a:cxnLst/>
                          <a:rect l="l" t="t" r="r" b="b"/>
                          <a:pathLst>
                            <a:path w="5617845" h="6350">
                              <a:moveTo>
                                <a:pt x="5617464" y="0"/>
                              </a:moveTo>
                              <a:lnTo>
                                <a:pt x="0" y="0"/>
                              </a:lnTo>
                              <a:lnTo>
                                <a:pt x="0" y="6096"/>
                              </a:lnTo>
                              <a:lnTo>
                                <a:pt x="5617464" y="6096"/>
                              </a:lnTo>
                              <a:lnTo>
                                <a:pt x="5617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16.9042pt;width:442.32pt;height:.48pt;mso-position-horizontal-relative:page;mso-position-vertical-relative:paragraph;z-index:-15709696;mso-wrap-distance-left:0;mso-wrap-distance-right:0" id="docshape107" filled="true" fillcolor="#000000" stroked="false">
                <v:fill type="solid"/>
                <w10:wrap type="topAndBottom"/>
              </v:rect>
            </w:pict>
          </mc:Fallback>
        </mc:AlternateContent>
      </w:r>
    </w:p>
    <w:p>
      <w:pPr>
        <w:pStyle w:val="BodyText"/>
        <w:spacing w:after="0"/>
        <w:sectPr>
          <w:headerReference w:type="default" r:id="rId44"/>
          <w:footerReference w:type="default" r:id="rId45"/>
          <w:pgSz w:w="11910" w:h="16850"/>
          <w:pgMar w:header="727" w:footer="746" w:top="2080" w:bottom="94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numPr>
          <w:ilvl w:val="0"/>
          <w:numId w:val="16"/>
        </w:numPr>
        <w:tabs>
          <w:tab w:pos="850" w:val="left" w:leader="none"/>
        </w:tabs>
        <w:spacing w:line="240" w:lineRule="auto" w:before="0" w:after="0"/>
        <w:ind w:left="850" w:right="0" w:hanging="425"/>
        <w:jc w:val="left"/>
      </w:pPr>
      <w:r>
        <w:rPr>
          <w:spacing w:val="-2"/>
        </w:rPr>
        <w:t>Investments</w:t>
      </w:r>
    </w:p>
    <w:p>
      <w:pPr>
        <w:pStyle w:val="BodyText"/>
        <w:spacing w:before="10"/>
        <w:rPr>
          <w:b/>
          <w:sz w:val="13"/>
        </w:rPr>
      </w:pPr>
    </w:p>
    <w:p>
      <w:pPr>
        <w:pStyle w:val="BodyText"/>
        <w:spacing w:after="0"/>
        <w:rPr>
          <w:b/>
          <w:sz w:val="13"/>
        </w:rPr>
        <w:sectPr>
          <w:headerReference w:type="default" r:id="rId46"/>
          <w:footerReference w:type="default" r:id="rId47"/>
          <w:pgSz w:w="11910" w:h="16850"/>
          <w:pgMar w:header="727" w:footer="702" w:top="1520" w:bottom="900" w:left="566" w:right="708"/>
        </w:sectPr>
      </w:pPr>
    </w:p>
    <w:p>
      <w:pPr>
        <w:pStyle w:val="BodyText"/>
        <w:rPr>
          <w:b/>
        </w:rPr>
      </w:pPr>
    </w:p>
    <w:p>
      <w:pPr>
        <w:pStyle w:val="BodyText"/>
        <w:rPr>
          <w:b/>
        </w:rPr>
      </w:pPr>
    </w:p>
    <w:p>
      <w:pPr>
        <w:pStyle w:val="BodyText"/>
        <w:rPr>
          <w:b/>
        </w:rPr>
      </w:pPr>
    </w:p>
    <w:p>
      <w:pPr>
        <w:pStyle w:val="BodyText"/>
        <w:spacing w:before="92"/>
        <w:rPr>
          <w:b/>
        </w:rPr>
      </w:pPr>
    </w:p>
    <w:p>
      <w:pPr>
        <w:pStyle w:val="Heading6"/>
        <w:spacing w:before="1"/>
        <w:ind w:left="1272"/>
        <w:jc w:val="left"/>
      </w:pPr>
      <w:r>
        <w:rPr/>
        <w:t>Cost</w:t>
      </w:r>
      <w:r>
        <w:rPr>
          <w:spacing w:val="-7"/>
        </w:rPr>
        <w:t> </w:t>
      </w:r>
      <w:r>
        <w:rPr/>
        <w:t>and</w:t>
      </w:r>
      <w:r>
        <w:rPr>
          <w:spacing w:val="-6"/>
        </w:rPr>
        <w:t> </w:t>
      </w:r>
      <w:r>
        <w:rPr/>
        <w:t>carrying</w:t>
      </w:r>
      <w:r>
        <w:rPr>
          <w:spacing w:val="-6"/>
        </w:rPr>
        <w:t> </w:t>
      </w:r>
      <w:r>
        <w:rPr>
          <w:spacing w:val="-2"/>
        </w:rPr>
        <w:t>amount</w:t>
      </w:r>
    </w:p>
    <w:p>
      <w:pPr>
        <w:pStyle w:val="BodyText"/>
        <w:ind w:left="1272"/>
      </w:pPr>
      <w:r>
        <w:rPr/>
        <w:t>At</w:t>
      </w:r>
      <w:r>
        <w:rPr>
          <w:spacing w:val="-5"/>
        </w:rPr>
        <w:t> </w:t>
      </w:r>
      <w:r>
        <w:rPr/>
        <w:t>1</w:t>
      </w:r>
      <w:r>
        <w:rPr>
          <w:spacing w:val="-3"/>
        </w:rPr>
        <w:t> </w:t>
      </w:r>
      <w:r>
        <w:rPr/>
        <w:t>August</w:t>
      </w:r>
      <w:r>
        <w:rPr>
          <w:spacing w:val="-4"/>
        </w:rPr>
        <w:t> </w:t>
      </w:r>
      <w:r>
        <w:rPr/>
        <w:t>2022</w:t>
      </w:r>
      <w:r>
        <w:rPr>
          <w:spacing w:val="-3"/>
        </w:rPr>
        <w:t> </w:t>
      </w:r>
      <w:r>
        <w:rPr/>
        <w:t>and</w:t>
      </w:r>
      <w:r>
        <w:rPr>
          <w:spacing w:val="-4"/>
        </w:rPr>
        <w:t> </w:t>
      </w:r>
      <w:r>
        <w:rPr/>
        <w:t>at</w:t>
      </w:r>
      <w:r>
        <w:rPr>
          <w:spacing w:val="-3"/>
        </w:rPr>
        <w:t> </w:t>
      </w:r>
      <w:r>
        <w:rPr/>
        <w:t>31</w:t>
      </w:r>
      <w:r>
        <w:rPr>
          <w:spacing w:val="-2"/>
        </w:rPr>
        <w:t> </w:t>
      </w:r>
      <w:r>
        <w:rPr/>
        <w:t>July</w:t>
      </w:r>
      <w:r>
        <w:rPr>
          <w:spacing w:val="-4"/>
        </w:rPr>
        <w:t> 2023</w:t>
      </w:r>
    </w:p>
    <w:p>
      <w:pPr>
        <w:spacing w:before="93"/>
        <w:ind w:left="907" w:right="0" w:firstLine="357"/>
        <w:jc w:val="right"/>
        <w:rPr>
          <w:b/>
          <w:sz w:val="20"/>
        </w:rPr>
      </w:pPr>
      <w:r>
        <w:rPr/>
        <w:br w:type="column"/>
      </w:r>
      <w:r>
        <w:rPr>
          <w:b/>
          <w:sz w:val="20"/>
        </w:rPr>
        <w:t>Shares</w:t>
      </w:r>
      <w:r>
        <w:rPr>
          <w:b/>
          <w:spacing w:val="-14"/>
          <w:sz w:val="20"/>
        </w:rPr>
        <w:t> </w:t>
      </w:r>
      <w:r>
        <w:rPr>
          <w:b/>
          <w:sz w:val="20"/>
        </w:rPr>
        <w:t>in </w:t>
      </w:r>
      <w:r>
        <w:rPr>
          <w:b/>
          <w:spacing w:val="-2"/>
          <w:sz w:val="20"/>
        </w:rPr>
        <w:t>subsidiary undertakings</w:t>
      </w:r>
    </w:p>
    <w:p>
      <w:pPr>
        <w:spacing w:line="229" w:lineRule="exact" w:before="0"/>
        <w:ind w:left="0" w:right="65" w:firstLine="0"/>
        <w:jc w:val="right"/>
        <w:rPr>
          <w:b/>
          <w:sz w:val="20"/>
        </w:rPr>
      </w:pPr>
      <w:r>
        <w:rPr>
          <w:b/>
          <w:spacing w:val="-2"/>
          <w:sz w:val="20"/>
        </w:rPr>
        <w:t>£’000</w:t>
      </w:r>
    </w:p>
    <w:p>
      <w:pPr>
        <w:pStyle w:val="BodyText"/>
        <w:spacing w:before="94"/>
        <w:rPr>
          <w:b/>
        </w:rPr>
      </w:pPr>
      <w:r>
        <w:rPr/>
        <w:br w:type="column"/>
      </w:r>
      <w:r>
        <w:rPr>
          <w:b/>
        </w:rPr>
      </w:r>
    </w:p>
    <w:p>
      <w:pPr>
        <w:spacing w:before="0"/>
        <w:ind w:left="417" w:right="0" w:firstLine="633"/>
        <w:jc w:val="right"/>
        <w:rPr>
          <w:b/>
          <w:sz w:val="20"/>
        </w:rPr>
      </w:pPr>
      <w:r>
        <w:rPr>
          <w:b/>
          <w:spacing w:val="-2"/>
          <w:sz w:val="20"/>
        </w:rPr>
        <w:t>Other investments</w:t>
      </w:r>
    </w:p>
    <w:p>
      <w:pPr>
        <w:spacing w:line="228" w:lineRule="exact" w:before="0"/>
        <w:ind w:left="0" w:right="0" w:firstLine="0"/>
        <w:jc w:val="right"/>
        <w:rPr>
          <w:b/>
          <w:sz w:val="20"/>
        </w:rPr>
      </w:pPr>
      <w:r>
        <w:rPr>
          <w:b/>
          <w:spacing w:val="-2"/>
          <w:sz w:val="20"/>
        </w:rPr>
        <w:t>£’000</w:t>
      </w:r>
    </w:p>
    <w:p>
      <w:pPr>
        <w:pStyle w:val="BodyText"/>
        <w:rPr>
          <w:b/>
        </w:rPr>
      </w:pPr>
      <w:r>
        <w:rPr/>
        <w:br w:type="column"/>
      </w:r>
      <w:r>
        <w:rPr>
          <w:b/>
        </w:rPr>
      </w:r>
    </w:p>
    <w:p>
      <w:pPr>
        <w:pStyle w:val="BodyText"/>
        <w:spacing w:before="94"/>
        <w:rPr>
          <w:b/>
        </w:rPr>
      </w:pPr>
    </w:p>
    <w:p>
      <w:pPr>
        <w:spacing w:line="229" w:lineRule="exact" w:before="0"/>
        <w:ind w:left="26" w:right="259" w:firstLine="0"/>
        <w:jc w:val="center"/>
        <w:rPr>
          <w:b/>
          <w:sz w:val="20"/>
        </w:rPr>
      </w:pPr>
      <w:r>
        <w:rPr>
          <w:b/>
          <w:spacing w:val="-2"/>
          <w:sz w:val="20"/>
        </w:rPr>
        <w:t>Total</w:t>
      </w:r>
    </w:p>
    <w:p>
      <w:pPr>
        <w:spacing w:line="229" w:lineRule="exact" w:before="0"/>
        <w:ind w:left="0" w:right="259" w:firstLine="0"/>
        <w:jc w:val="center"/>
        <w:rPr>
          <w:b/>
          <w:sz w:val="20"/>
        </w:rPr>
      </w:pPr>
      <w:r>
        <w:rPr>
          <w:b/>
          <w:spacing w:val="-2"/>
          <w:sz w:val="20"/>
        </w:rPr>
        <w:t>£’000</w:t>
      </w:r>
    </w:p>
    <w:p>
      <w:pPr>
        <w:spacing w:after="0" w:line="229" w:lineRule="exact"/>
        <w:jc w:val="center"/>
        <w:rPr>
          <w:b/>
          <w:sz w:val="20"/>
        </w:rPr>
        <w:sectPr>
          <w:type w:val="continuous"/>
          <w:pgSz w:w="11910" w:h="16850"/>
          <w:pgMar w:header="727" w:footer="702" w:top="1920" w:bottom="280" w:left="566" w:right="708"/>
          <w:cols w:num="4" w:equalWidth="0">
            <w:col w:w="4607" w:space="40"/>
            <w:col w:w="2164" w:space="39"/>
            <w:col w:w="1586" w:space="39"/>
            <w:col w:w="2161"/>
          </w:cols>
        </w:sectPr>
      </w:pPr>
    </w:p>
    <w:p>
      <w:pPr>
        <w:pStyle w:val="BodyText"/>
        <w:tabs>
          <w:tab w:pos="6741" w:val="left" w:leader="none"/>
          <w:tab w:pos="7142" w:val="left" w:leader="none"/>
          <w:tab w:pos="8323" w:val="left" w:leader="none"/>
          <w:tab w:pos="8798" w:val="left" w:leader="none"/>
          <w:tab w:pos="9564" w:val="left" w:leader="none"/>
        </w:tabs>
        <w:ind w:left="5374"/>
      </w:pPr>
      <w:r>
        <w:rPr>
          <w:u w:val="double"/>
        </w:rPr>
        <w:tab/>
        <w:t>-</w:t>
      </w:r>
      <w:r>
        <w:rPr>
          <w:spacing w:val="40"/>
          <w:u w:val="double"/>
        </w:rPr>
        <w:t> </w:t>
      </w:r>
      <w:r>
        <w:rPr>
          <w:u w:val="none"/>
        </w:rPr>
        <w:tab/>
      </w:r>
      <w:r>
        <w:rPr>
          <w:u w:val="double"/>
        </w:rPr>
        <w:tab/>
        <w:t>1</w:t>
      </w:r>
      <w:r>
        <w:rPr>
          <w:spacing w:val="40"/>
          <w:u w:val="double"/>
        </w:rPr>
        <w:t> </w:t>
      </w:r>
      <w:r>
        <w:rPr>
          <w:u w:val="none"/>
        </w:rPr>
        <w:tab/>
      </w:r>
      <w:r>
        <w:rPr>
          <w:u w:val="double"/>
        </w:rPr>
        <w:tab/>
      </w:r>
      <w:r>
        <w:rPr>
          <w:spacing w:val="-10"/>
          <w:u w:val="double"/>
        </w:rPr>
        <w:t>1</w:t>
      </w:r>
      <w:r>
        <w:rPr>
          <w:spacing w:val="80"/>
          <w:u w:val="double"/>
        </w:rPr>
        <w:t> </w:t>
      </w:r>
    </w:p>
    <w:p>
      <w:pPr>
        <w:pStyle w:val="BodyText"/>
        <w:spacing w:before="54"/>
      </w:pPr>
    </w:p>
    <w:p>
      <w:pPr>
        <w:pStyle w:val="BodyText"/>
        <w:ind w:left="852" w:right="707"/>
        <w:jc w:val="both"/>
      </w:pPr>
      <w:r>
        <w:rPr/>
        <w:t>The</w:t>
      </w:r>
      <w:r>
        <w:rPr>
          <w:spacing w:val="-14"/>
        </w:rPr>
        <w:t> </w:t>
      </w:r>
      <w:r>
        <w:rPr/>
        <w:t>College</w:t>
      </w:r>
      <w:r>
        <w:rPr>
          <w:spacing w:val="-14"/>
        </w:rPr>
        <w:t> </w:t>
      </w:r>
      <w:r>
        <w:rPr/>
        <w:t>owns</w:t>
      </w:r>
      <w:r>
        <w:rPr>
          <w:spacing w:val="-14"/>
        </w:rPr>
        <w:t> </w:t>
      </w:r>
      <w:r>
        <w:rPr/>
        <w:t>100%</w:t>
      </w:r>
      <w:r>
        <w:rPr>
          <w:spacing w:val="-14"/>
        </w:rPr>
        <w:t> </w:t>
      </w:r>
      <w:r>
        <w:rPr/>
        <w:t>of</w:t>
      </w:r>
      <w:r>
        <w:rPr>
          <w:spacing w:val="-14"/>
        </w:rPr>
        <w:t> </w:t>
      </w:r>
      <w:r>
        <w:rPr/>
        <w:t>the</w:t>
      </w:r>
      <w:r>
        <w:rPr>
          <w:spacing w:val="-14"/>
        </w:rPr>
        <w:t> </w:t>
      </w:r>
      <w:r>
        <w:rPr/>
        <w:t>issued</w:t>
      </w:r>
      <w:r>
        <w:rPr>
          <w:spacing w:val="-14"/>
        </w:rPr>
        <w:t> </w:t>
      </w:r>
      <w:r>
        <w:rPr/>
        <w:t>ordinary</w:t>
      </w:r>
      <w:r>
        <w:rPr>
          <w:spacing w:val="-14"/>
        </w:rPr>
        <w:t> </w:t>
      </w:r>
      <w:r>
        <w:rPr/>
        <w:t>share</w:t>
      </w:r>
      <w:r>
        <w:rPr>
          <w:spacing w:val="-14"/>
        </w:rPr>
        <w:t> </w:t>
      </w:r>
      <w:r>
        <w:rPr/>
        <w:t>capital</w:t>
      </w:r>
      <w:r>
        <w:rPr>
          <w:spacing w:val="-13"/>
        </w:rPr>
        <w:t> </w:t>
      </w:r>
      <w:r>
        <w:rPr/>
        <w:t>of</w:t>
      </w:r>
      <w:r>
        <w:rPr>
          <w:spacing w:val="-14"/>
        </w:rPr>
        <w:t> </w:t>
      </w:r>
      <w:r>
        <w:rPr/>
        <w:t>Hull</w:t>
      </w:r>
      <w:r>
        <w:rPr>
          <w:spacing w:val="-14"/>
        </w:rPr>
        <w:t> </w:t>
      </w:r>
      <w:r>
        <w:rPr/>
        <w:t>College</w:t>
      </w:r>
      <w:r>
        <w:rPr>
          <w:spacing w:val="-14"/>
        </w:rPr>
        <w:t> </w:t>
      </w:r>
      <w:r>
        <w:rPr/>
        <w:t>Enterprises</w:t>
      </w:r>
      <w:r>
        <w:rPr>
          <w:spacing w:val="-14"/>
        </w:rPr>
        <w:t> </w:t>
      </w:r>
      <w:r>
        <w:rPr/>
        <w:t>Ltd,</w:t>
      </w:r>
      <w:r>
        <w:rPr>
          <w:spacing w:val="-14"/>
        </w:rPr>
        <w:t> </w:t>
      </w:r>
      <w:r>
        <w:rPr/>
        <w:t>the</w:t>
      </w:r>
      <w:r>
        <w:rPr>
          <w:spacing w:val="-14"/>
        </w:rPr>
        <w:t> </w:t>
      </w:r>
      <w:r>
        <w:rPr/>
        <w:t>principal business activity being the provision of fitness training and leisure facilities to the general public, the cost</w:t>
      </w:r>
      <w:r>
        <w:rPr>
          <w:spacing w:val="-13"/>
        </w:rPr>
        <w:t> </w:t>
      </w:r>
      <w:r>
        <w:rPr/>
        <w:t>of</w:t>
      </w:r>
      <w:r>
        <w:rPr>
          <w:spacing w:val="-13"/>
        </w:rPr>
        <w:t> </w:t>
      </w:r>
      <w:r>
        <w:rPr/>
        <w:t>the</w:t>
      </w:r>
      <w:r>
        <w:rPr>
          <w:spacing w:val="-13"/>
        </w:rPr>
        <w:t> </w:t>
      </w:r>
      <w:r>
        <w:rPr/>
        <w:t>shares</w:t>
      </w:r>
      <w:r>
        <w:rPr>
          <w:spacing w:val="-11"/>
        </w:rPr>
        <w:t> </w:t>
      </w:r>
      <w:r>
        <w:rPr/>
        <w:t>being</w:t>
      </w:r>
      <w:r>
        <w:rPr>
          <w:spacing w:val="-13"/>
        </w:rPr>
        <w:t> </w:t>
      </w:r>
      <w:r>
        <w:rPr/>
        <w:t>£10.</w:t>
      </w:r>
      <w:r>
        <w:rPr>
          <w:spacing w:val="30"/>
        </w:rPr>
        <w:t> </w:t>
      </w:r>
      <w:r>
        <w:rPr/>
        <w:t>The</w:t>
      </w:r>
      <w:r>
        <w:rPr>
          <w:spacing w:val="-13"/>
        </w:rPr>
        <w:t> </w:t>
      </w:r>
      <w:r>
        <w:rPr/>
        <w:t>College</w:t>
      </w:r>
      <w:r>
        <w:rPr>
          <w:spacing w:val="-13"/>
        </w:rPr>
        <w:t> </w:t>
      </w:r>
      <w:r>
        <w:rPr/>
        <w:t>also</w:t>
      </w:r>
      <w:r>
        <w:rPr>
          <w:spacing w:val="-13"/>
        </w:rPr>
        <w:t> </w:t>
      </w:r>
      <w:r>
        <w:rPr/>
        <w:t>owns</w:t>
      </w:r>
      <w:r>
        <w:rPr>
          <w:spacing w:val="-11"/>
        </w:rPr>
        <w:t> </w:t>
      </w:r>
      <w:r>
        <w:rPr/>
        <w:t>100%</w:t>
      </w:r>
      <w:r>
        <w:rPr>
          <w:spacing w:val="-12"/>
        </w:rPr>
        <w:t> </w:t>
      </w:r>
      <w:r>
        <w:rPr/>
        <w:t>of</w:t>
      </w:r>
      <w:r>
        <w:rPr>
          <w:spacing w:val="-13"/>
        </w:rPr>
        <w:t> </w:t>
      </w:r>
      <w:r>
        <w:rPr/>
        <w:t>the</w:t>
      </w:r>
      <w:r>
        <w:rPr>
          <w:spacing w:val="-13"/>
        </w:rPr>
        <w:t> </w:t>
      </w:r>
      <w:r>
        <w:rPr/>
        <w:t>issued</w:t>
      </w:r>
      <w:r>
        <w:rPr>
          <w:spacing w:val="-13"/>
        </w:rPr>
        <w:t> </w:t>
      </w:r>
      <w:r>
        <w:rPr/>
        <w:t>ordinary</w:t>
      </w:r>
      <w:r>
        <w:rPr>
          <w:spacing w:val="-11"/>
        </w:rPr>
        <w:t> </w:t>
      </w:r>
      <w:r>
        <w:rPr/>
        <w:t>share</w:t>
      </w:r>
      <w:r>
        <w:rPr>
          <w:spacing w:val="-13"/>
        </w:rPr>
        <w:t> </w:t>
      </w:r>
      <w:r>
        <w:rPr/>
        <w:t>capital</w:t>
      </w:r>
      <w:r>
        <w:rPr>
          <w:spacing w:val="-14"/>
        </w:rPr>
        <w:t> </w:t>
      </w:r>
      <w:r>
        <w:rPr/>
        <w:t>of</w:t>
      </w:r>
      <w:r>
        <w:rPr>
          <w:spacing w:val="-13"/>
        </w:rPr>
        <w:t> </w:t>
      </w:r>
      <w:r>
        <w:rPr/>
        <w:t>HCUK Resourcing</w:t>
      </w:r>
      <w:r>
        <w:rPr>
          <w:spacing w:val="-8"/>
        </w:rPr>
        <w:t> </w:t>
      </w:r>
      <w:r>
        <w:rPr/>
        <w:t>Ltd,</w:t>
      </w:r>
      <w:r>
        <w:rPr>
          <w:spacing w:val="-8"/>
        </w:rPr>
        <w:t> </w:t>
      </w:r>
      <w:r>
        <w:rPr/>
        <w:t>the</w:t>
      </w:r>
      <w:r>
        <w:rPr>
          <w:spacing w:val="-6"/>
        </w:rPr>
        <w:t> </w:t>
      </w:r>
      <w:r>
        <w:rPr/>
        <w:t>principal</w:t>
      </w:r>
      <w:r>
        <w:rPr>
          <w:spacing w:val="-6"/>
        </w:rPr>
        <w:t> </w:t>
      </w:r>
      <w:r>
        <w:rPr/>
        <w:t>business</w:t>
      </w:r>
      <w:r>
        <w:rPr>
          <w:spacing w:val="-6"/>
        </w:rPr>
        <w:t> </w:t>
      </w:r>
      <w:r>
        <w:rPr/>
        <w:t>activity</w:t>
      </w:r>
      <w:r>
        <w:rPr>
          <w:spacing w:val="-6"/>
        </w:rPr>
        <w:t> </w:t>
      </w:r>
      <w:r>
        <w:rPr/>
        <w:t>being</w:t>
      </w:r>
      <w:r>
        <w:rPr>
          <w:spacing w:val="-8"/>
        </w:rPr>
        <w:t> </w:t>
      </w:r>
      <w:r>
        <w:rPr/>
        <w:t>the</w:t>
      </w:r>
      <w:r>
        <w:rPr>
          <w:spacing w:val="-8"/>
        </w:rPr>
        <w:t> </w:t>
      </w:r>
      <w:r>
        <w:rPr/>
        <w:t>resourcing</w:t>
      </w:r>
      <w:r>
        <w:rPr>
          <w:spacing w:val="-5"/>
        </w:rPr>
        <w:t> </w:t>
      </w:r>
      <w:r>
        <w:rPr/>
        <w:t>of</w:t>
      </w:r>
      <w:r>
        <w:rPr>
          <w:spacing w:val="-8"/>
        </w:rPr>
        <w:t> </w:t>
      </w:r>
      <w:r>
        <w:rPr/>
        <w:t>staff,</w:t>
      </w:r>
      <w:r>
        <w:rPr>
          <w:spacing w:val="-8"/>
        </w:rPr>
        <w:t> </w:t>
      </w:r>
      <w:r>
        <w:rPr/>
        <w:t>the</w:t>
      </w:r>
      <w:r>
        <w:rPr>
          <w:spacing w:val="-8"/>
        </w:rPr>
        <w:t> </w:t>
      </w:r>
      <w:r>
        <w:rPr/>
        <w:t>cost</w:t>
      </w:r>
      <w:r>
        <w:rPr>
          <w:spacing w:val="-8"/>
        </w:rPr>
        <w:t> </w:t>
      </w:r>
      <w:r>
        <w:rPr/>
        <w:t>of</w:t>
      </w:r>
      <w:r>
        <w:rPr>
          <w:spacing w:val="-8"/>
        </w:rPr>
        <w:t> </w:t>
      </w:r>
      <w:r>
        <w:rPr/>
        <w:t>the</w:t>
      </w:r>
      <w:r>
        <w:rPr>
          <w:spacing w:val="-8"/>
        </w:rPr>
        <w:t> </w:t>
      </w:r>
      <w:r>
        <w:rPr/>
        <w:t>shares</w:t>
      </w:r>
      <w:r>
        <w:rPr>
          <w:spacing w:val="-6"/>
        </w:rPr>
        <w:t> </w:t>
      </w:r>
      <w:r>
        <w:rPr/>
        <w:t>being</w:t>
      </w:r>
    </w:p>
    <w:p>
      <w:pPr>
        <w:pStyle w:val="BodyText"/>
        <w:spacing w:line="230" w:lineRule="exact"/>
        <w:ind w:left="852"/>
      </w:pPr>
      <w:r>
        <w:rPr>
          <w:spacing w:val="-4"/>
        </w:rPr>
        <w:t>£10.</w:t>
      </w:r>
    </w:p>
    <w:p>
      <w:pPr>
        <w:pStyle w:val="BodyText"/>
        <w:spacing w:before="1"/>
      </w:pPr>
    </w:p>
    <w:p>
      <w:pPr>
        <w:pStyle w:val="BodyText"/>
        <w:ind w:left="852" w:right="706"/>
        <w:jc w:val="both"/>
      </w:pPr>
      <w:r>
        <w:rPr/>
        <w:t>Both companies are incorporated in Great Britain and registered in England and Wales and their registered</w:t>
      </w:r>
      <w:r>
        <w:rPr>
          <w:spacing w:val="-12"/>
        </w:rPr>
        <w:t> </w:t>
      </w:r>
      <w:r>
        <w:rPr/>
        <w:t>offices</w:t>
      </w:r>
      <w:r>
        <w:rPr>
          <w:spacing w:val="-11"/>
        </w:rPr>
        <w:t> </w:t>
      </w:r>
      <w:r>
        <w:rPr/>
        <w:t>are</w:t>
      </w:r>
      <w:r>
        <w:rPr>
          <w:spacing w:val="-12"/>
        </w:rPr>
        <w:t> </w:t>
      </w:r>
      <w:r>
        <w:rPr/>
        <w:t>Hull</w:t>
      </w:r>
      <w:r>
        <w:rPr>
          <w:spacing w:val="-12"/>
        </w:rPr>
        <w:t> </w:t>
      </w:r>
      <w:r>
        <w:rPr/>
        <w:t>College,</w:t>
      </w:r>
      <w:r>
        <w:rPr>
          <w:spacing w:val="-14"/>
        </w:rPr>
        <w:t> </w:t>
      </w:r>
      <w:r>
        <w:rPr/>
        <w:t>Queens</w:t>
      </w:r>
      <w:r>
        <w:rPr>
          <w:spacing w:val="-10"/>
        </w:rPr>
        <w:t> </w:t>
      </w:r>
      <w:r>
        <w:rPr/>
        <w:t>Gardens,</w:t>
      </w:r>
      <w:r>
        <w:rPr>
          <w:spacing w:val="-12"/>
        </w:rPr>
        <w:t> </w:t>
      </w:r>
      <w:r>
        <w:rPr/>
        <w:t>Wilberforce</w:t>
      </w:r>
      <w:r>
        <w:rPr>
          <w:spacing w:val="-12"/>
        </w:rPr>
        <w:t> </w:t>
      </w:r>
      <w:r>
        <w:rPr/>
        <w:t>Drive,</w:t>
      </w:r>
      <w:r>
        <w:rPr>
          <w:spacing w:val="-12"/>
        </w:rPr>
        <w:t> </w:t>
      </w:r>
      <w:r>
        <w:rPr/>
        <w:t>Hull,</w:t>
      </w:r>
      <w:r>
        <w:rPr>
          <w:spacing w:val="-10"/>
        </w:rPr>
        <w:t> </w:t>
      </w:r>
      <w:r>
        <w:rPr/>
        <w:t>East</w:t>
      </w:r>
      <w:r>
        <w:rPr>
          <w:spacing w:val="-12"/>
        </w:rPr>
        <w:t> </w:t>
      </w:r>
      <w:r>
        <w:rPr/>
        <w:t>Yorkshire,</w:t>
      </w:r>
      <w:r>
        <w:rPr>
          <w:spacing w:val="-12"/>
        </w:rPr>
        <w:t> </w:t>
      </w:r>
      <w:r>
        <w:rPr/>
        <w:t>HU1</w:t>
      </w:r>
      <w:r>
        <w:rPr>
          <w:spacing w:val="-12"/>
        </w:rPr>
        <w:t> </w:t>
      </w:r>
      <w:r>
        <w:rPr/>
        <w:t>3DG.</w:t>
      </w:r>
    </w:p>
    <w:p>
      <w:pPr>
        <w:pStyle w:val="BodyText"/>
        <w:spacing w:before="229"/>
        <w:ind w:left="852"/>
        <w:jc w:val="both"/>
      </w:pPr>
      <w:r>
        <w:rPr/>
        <w:t>Subsequent</w:t>
      </w:r>
      <w:r>
        <w:rPr>
          <w:spacing w:val="-6"/>
        </w:rPr>
        <w:t> </w:t>
      </w:r>
      <w:r>
        <w:rPr/>
        <w:t>to</w:t>
      </w:r>
      <w:r>
        <w:rPr>
          <w:spacing w:val="-7"/>
        </w:rPr>
        <w:t> </w:t>
      </w:r>
      <w:r>
        <w:rPr/>
        <w:t>the</w:t>
      </w:r>
      <w:r>
        <w:rPr>
          <w:spacing w:val="-6"/>
        </w:rPr>
        <w:t> </w:t>
      </w:r>
      <w:r>
        <w:rPr/>
        <w:t>year</w:t>
      </w:r>
      <w:r>
        <w:rPr>
          <w:spacing w:val="-5"/>
        </w:rPr>
        <w:t> </w:t>
      </w:r>
      <w:r>
        <w:rPr/>
        <w:t>end</w:t>
      </w:r>
      <w:r>
        <w:rPr>
          <w:spacing w:val="-6"/>
        </w:rPr>
        <w:t> </w:t>
      </w:r>
      <w:r>
        <w:rPr/>
        <w:t>Hull</w:t>
      </w:r>
      <w:r>
        <w:rPr>
          <w:spacing w:val="-7"/>
        </w:rPr>
        <w:t> </w:t>
      </w:r>
      <w:r>
        <w:rPr/>
        <w:t>College</w:t>
      </w:r>
      <w:r>
        <w:rPr>
          <w:spacing w:val="-4"/>
        </w:rPr>
        <w:t> </w:t>
      </w:r>
      <w:r>
        <w:rPr/>
        <w:t>Enterprises</w:t>
      </w:r>
      <w:r>
        <w:rPr>
          <w:spacing w:val="-2"/>
        </w:rPr>
        <w:t> </w:t>
      </w:r>
      <w:r>
        <w:rPr/>
        <w:t>ceased</w:t>
      </w:r>
      <w:r>
        <w:rPr>
          <w:spacing w:val="-6"/>
        </w:rPr>
        <w:t> </w:t>
      </w:r>
      <w:r>
        <w:rPr/>
        <w:t>to</w:t>
      </w:r>
      <w:r>
        <w:rPr>
          <w:spacing w:val="-4"/>
        </w:rPr>
        <w:t> </w:t>
      </w:r>
      <w:r>
        <w:rPr>
          <w:spacing w:val="-2"/>
        </w:rPr>
        <w:t>trade.</w:t>
      </w:r>
    </w:p>
    <w:p>
      <w:pPr>
        <w:pStyle w:val="Heading5"/>
        <w:numPr>
          <w:ilvl w:val="0"/>
          <w:numId w:val="16"/>
        </w:numPr>
        <w:tabs>
          <w:tab w:pos="850" w:val="left" w:leader="none"/>
        </w:tabs>
        <w:spacing w:line="240" w:lineRule="auto" w:before="120" w:after="0"/>
        <w:ind w:left="850" w:right="0" w:hanging="423"/>
        <w:jc w:val="left"/>
      </w:pPr>
      <w:r>
        <w:rPr>
          <w:spacing w:val="-2"/>
        </w:rPr>
        <w:t>Debtors</w:t>
      </w:r>
    </w:p>
    <w:p>
      <w:pPr>
        <w:pStyle w:val="BodyText"/>
        <w:spacing w:before="11"/>
        <w:rPr>
          <w:b/>
          <w:sz w:val="10"/>
        </w:rPr>
      </w:pPr>
    </w:p>
    <w:tbl>
      <w:tblPr>
        <w:tblW w:w="0" w:type="auto"/>
        <w:jc w:val="left"/>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37"/>
        <w:gridCol w:w="1230"/>
        <w:gridCol w:w="1275"/>
        <w:gridCol w:w="1276"/>
        <w:gridCol w:w="1189"/>
      </w:tblGrid>
      <w:tr>
        <w:trPr>
          <w:trHeight w:val="226" w:hRule="atLeast"/>
        </w:trPr>
        <w:tc>
          <w:tcPr>
            <w:tcW w:w="3637" w:type="dxa"/>
            <w:vMerge w:val="restart"/>
          </w:tcPr>
          <w:p>
            <w:pPr>
              <w:pStyle w:val="TableParagraph"/>
              <w:rPr>
                <w:rFonts w:ascii="Times New Roman"/>
                <w:sz w:val="20"/>
              </w:rPr>
            </w:pPr>
          </w:p>
        </w:tc>
        <w:tc>
          <w:tcPr>
            <w:tcW w:w="1230" w:type="dxa"/>
          </w:tcPr>
          <w:p>
            <w:pPr>
              <w:pStyle w:val="TableParagraph"/>
              <w:spacing w:line="206" w:lineRule="exact"/>
              <w:ind w:left="387"/>
              <w:rPr>
                <w:b/>
                <w:sz w:val="20"/>
              </w:rPr>
            </w:pPr>
            <w:r>
              <w:rPr>
                <w:b/>
                <w:spacing w:val="-4"/>
                <w:sz w:val="20"/>
              </w:rPr>
              <w:t>Group</w:t>
            </w:r>
          </w:p>
        </w:tc>
        <w:tc>
          <w:tcPr>
            <w:tcW w:w="1275" w:type="dxa"/>
          </w:tcPr>
          <w:p>
            <w:pPr>
              <w:pStyle w:val="TableParagraph"/>
              <w:spacing w:line="206" w:lineRule="exact"/>
              <w:ind w:left="309"/>
              <w:rPr>
                <w:b/>
                <w:sz w:val="20"/>
              </w:rPr>
            </w:pPr>
            <w:r>
              <w:rPr>
                <w:b/>
                <w:spacing w:val="-2"/>
                <w:sz w:val="20"/>
              </w:rPr>
              <w:t>College</w:t>
            </w:r>
          </w:p>
        </w:tc>
        <w:tc>
          <w:tcPr>
            <w:tcW w:w="1276" w:type="dxa"/>
          </w:tcPr>
          <w:p>
            <w:pPr>
              <w:pStyle w:val="TableParagraph"/>
              <w:spacing w:line="206" w:lineRule="exact"/>
              <w:ind w:left="433"/>
              <w:rPr>
                <w:b/>
                <w:sz w:val="20"/>
              </w:rPr>
            </w:pPr>
            <w:r>
              <w:rPr>
                <w:b/>
                <w:spacing w:val="-4"/>
                <w:sz w:val="20"/>
              </w:rPr>
              <w:t>Group</w:t>
            </w:r>
          </w:p>
        </w:tc>
        <w:tc>
          <w:tcPr>
            <w:tcW w:w="1189" w:type="dxa"/>
          </w:tcPr>
          <w:p>
            <w:pPr>
              <w:pStyle w:val="TableParagraph"/>
              <w:spacing w:line="206" w:lineRule="exact"/>
              <w:ind w:left="312"/>
              <w:rPr>
                <w:b/>
                <w:sz w:val="20"/>
              </w:rPr>
            </w:pPr>
            <w:r>
              <w:rPr>
                <w:b/>
                <w:spacing w:val="-2"/>
                <w:sz w:val="20"/>
              </w:rPr>
              <w:t>College</w:t>
            </w:r>
          </w:p>
        </w:tc>
      </w:tr>
      <w:tr>
        <w:trPr>
          <w:trHeight w:val="230" w:hRule="atLeast"/>
        </w:trPr>
        <w:tc>
          <w:tcPr>
            <w:tcW w:w="3637" w:type="dxa"/>
            <w:vMerge/>
            <w:tcBorders>
              <w:top w:val="nil"/>
            </w:tcBorders>
          </w:tcPr>
          <w:p>
            <w:pPr>
              <w:rPr>
                <w:sz w:val="2"/>
                <w:szCs w:val="2"/>
              </w:rPr>
            </w:pPr>
          </w:p>
        </w:tc>
        <w:tc>
          <w:tcPr>
            <w:tcW w:w="1230" w:type="dxa"/>
          </w:tcPr>
          <w:p>
            <w:pPr>
              <w:pStyle w:val="TableParagraph"/>
              <w:spacing w:line="210" w:lineRule="exact"/>
              <w:ind w:left="543"/>
              <w:rPr>
                <w:b/>
                <w:sz w:val="20"/>
              </w:rPr>
            </w:pPr>
            <w:r>
              <w:rPr>
                <w:b/>
                <w:spacing w:val="-4"/>
                <w:sz w:val="20"/>
              </w:rPr>
              <w:t>2023</w:t>
            </w:r>
          </w:p>
        </w:tc>
        <w:tc>
          <w:tcPr>
            <w:tcW w:w="1275" w:type="dxa"/>
          </w:tcPr>
          <w:p>
            <w:pPr>
              <w:pStyle w:val="TableParagraph"/>
              <w:spacing w:line="210" w:lineRule="exact"/>
              <w:ind w:right="243"/>
              <w:jc w:val="right"/>
              <w:rPr>
                <w:b/>
                <w:sz w:val="20"/>
              </w:rPr>
            </w:pPr>
            <w:r>
              <w:rPr>
                <w:b/>
                <w:spacing w:val="-4"/>
                <w:sz w:val="20"/>
              </w:rPr>
              <w:t>2023</w:t>
            </w:r>
          </w:p>
        </w:tc>
        <w:tc>
          <w:tcPr>
            <w:tcW w:w="1276" w:type="dxa"/>
          </w:tcPr>
          <w:p>
            <w:pPr>
              <w:pStyle w:val="TableParagraph"/>
              <w:spacing w:line="210" w:lineRule="exact"/>
              <w:ind w:right="242"/>
              <w:jc w:val="right"/>
              <w:rPr>
                <w:b/>
                <w:sz w:val="20"/>
              </w:rPr>
            </w:pPr>
            <w:r>
              <w:rPr>
                <w:b/>
                <w:spacing w:val="-4"/>
                <w:sz w:val="20"/>
              </w:rPr>
              <w:t>2022</w:t>
            </w:r>
          </w:p>
        </w:tc>
        <w:tc>
          <w:tcPr>
            <w:tcW w:w="1189" w:type="dxa"/>
          </w:tcPr>
          <w:p>
            <w:pPr>
              <w:pStyle w:val="TableParagraph"/>
              <w:spacing w:line="210" w:lineRule="exact"/>
              <w:ind w:right="154"/>
              <w:jc w:val="right"/>
              <w:rPr>
                <w:b/>
                <w:sz w:val="20"/>
              </w:rPr>
            </w:pPr>
            <w:r>
              <w:rPr>
                <w:b/>
                <w:spacing w:val="-4"/>
                <w:sz w:val="20"/>
              </w:rPr>
              <w:t>2022</w:t>
            </w:r>
          </w:p>
        </w:tc>
      </w:tr>
      <w:tr>
        <w:trPr>
          <w:trHeight w:val="230" w:hRule="atLeast"/>
        </w:trPr>
        <w:tc>
          <w:tcPr>
            <w:tcW w:w="3637" w:type="dxa"/>
            <w:vMerge/>
            <w:tcBorders>
              <w:top w:val="nil"/>
            </w:tcBorders>
          </w:tcPr>
          <w:p>
            <w:pPr>
              <w:rPr>
                <w:sz w:val="2"/>
                <w:szCs w:val="2"/>
              </w:rPr>
            </w:pPr>
          </w:p>
        </w:tc>
        <w:tc>
          <w:tcPr>
            <w:tcW w:w="1230" w:type="dxa"/>
          </w:tcPr>
          <w:p>
            <w:pPr>
              <w:pStyle w:val="TableParagraph"/>
              <w:spacing w:line="210" w:lineRule="exact"/>
              <w:ind w:left="485"/>
              <w:rPr>
                <w:b/>
                <w:sz w:val="20"/>
              </w:rPr>
            </w:pPr>
            <w:r>
              <w:rPr>
                <w:b/>
                <w:spacing w:val="-2"/>
                <w:sz w:val="20"/>
              </w:rPr>
              <w:t>£’000</w:t>
            </w:r>
          </w:p>
        </w:tc>
        <w:tc>
          <w:tcPr>
            <w:tcW w:w="1275" w:type="dxa"/>
          </w:tcPr>
          <w:p>
            <w:pPr>
              <w:pStyle w:val="TableParagraph"/>
              <w:spacing w:line="210" w:lineRule="exact"/>
              <w:ind w:right="243"/>
              <w:jc w:val="right"/>
              <w:rPr>
                <w:b/>
                <w:sz w:val="20"/>
              </w:rPr>
            </w:pPr>
            <w:r>
              <w:rPr>
                <w:b/>
                <w:spacing w:val="-2"/>
                <w:sz w:val="20"/>
              </w:rPr>
              <w:t>£’000</w:t>
            </w:r>
          </w:p>
        </w:tc>
        <w:tc>
          <w:tcPr>
            <w:tcW w:w="1276" w:type="dxa"/>
          </w:tcPr>
          <w:p>
            <w:pPr>
              <w:pStyle w:val="TableParagraph"/>
              <w:spacing w:line="210" w:lineRule="exact"/>
              <w:ind w:right="242"/>
              <w:jc w:val="right"/>
              <w:rPr>
                <w:b/>
                <w:sz w:val="20"/>
              </w:rPr>
            </w:pPr>
            <w:r>
              <w:rPr>
                <w:b/>
                <w:spacing w:val="-2"/>
                <w:sz w:val="20"/>
              </w:rPr>
              <w:t>£’000</w:t>
            </w:r>
          </w:p>
        </w:tc>
        <w:tc>
          <w:tcPr>
            <w:tcW w:w="1189" w:type="dxa"/>
          </w:tcPr>
          <w:p>
            <w:pPr>
              <w:pStyle w:val="TableParagraph"/>
              <w:spacing w:line="210" w:lineRule="exact"/>
              <w:ind w:right="154"/>
              <w:jc w:val="right"/>
              <w:rPr>
                <w:b/>
                <w:sz w:val="20"/>
              </w:rPr>
            </w:pPr>
            <w:r>
              <w:rPr>
                <w:b/>
                <w:spacing w:val="-2"/>
                <w:sz w:val="20"/>
              </w:rPr>
              <w:t>£’000</w:t>
            </w:r>
          </w:p>
        </w:tc>
      </w:tr>
      <w:tr>
        <w:trPr>
          <w:trHeight w:val="230" w:hRule="atLeast"/>
        </w:trPr>
        <w:tc>
          <w:tcPr>
            <w:tcW w:w="3637" w:type="dxa"/>
          </w:tcPr>
          <w:p>
            <w:pPr>
              <w:pStyle w:val="TableParagraph"/>
              <w:spacing w:line="210" w:lineRule="exact"/>
              <w:ind w:left="50"/>
              <w:rPr>
                <w:b/>
                <w:sz w:val="20"/>
              </w:rPr>
            </w:pPr>
            <w:r>
              <w:rPr>
                <w:b/>
                <w:sz w:val="20"/>
              </w:rPr>
              <w:t>Amounts</w:t>
            </w:r>
            <w:r>
              <w:rPr>
                <w:b/>
                <w:spacing w:val="-7"/>
                <w:sz w:val="20"/>
              </w:rPr>
              <w:t> </w:t>
            </w:r>
            <w:r>
              <w:rPr>
                <w:b/>
                <w:sz w:val="20"/>
              </w:rPr>
              <w:t>falling</w:t>
            </w:r>
            <w:r>
              <w:rPr>
                <w:b/>
                <w:spacing w:val="-6"/>
                <w:sz w:val="20"/>
              </w:rPr>
              <w:t> </w:t>
            </w:r>
            <w:r>
              <w:rPr>
                <w:b/>
                <w:sz w:val="20"/>
              </w:rPr>
              <w:t>due</w:t>
            </w:r>
            <w:r>
              <w:rPr>
                <w:b/>
                <w:spacing w:val="-7"/>
                <w:sz w:val="20"/>
              </w:rPr>
              <w:t> </w:t>
            </w:r>
            <w:r>
              <w:rPr>
                <w:b/>
                <w:sz w:val="20"/>
              </w:rPr>
              <w:t>within</w:t>
            </w:r>
            <w:r>
              <w:rPr>
                <w:b/>
                <w:spacing w:val="-6"/>
                <w:sz w:val="20"/>
              </w:rPr>
              <w:t> </w:t>
            </w:r>
            <w:r>
              <w:rPr>
                <w:b/>
                <w:sz w:val="20"/>
              </w:rPr>
              <w:t>one</w:t>
            </w:r>
            <w:r>
              <w:rPr>
                <w:b/>
                <w:spacing w:val="-7"/>
                <w:sz w:val="20"/>
              </w:rPr>
              <w:t> </w:t>
            </w:r>
            <w:r>
              <w:rPr>
                <w:b/>
                <w:spacing w:val="-4"/>
                <w:sz w:val="20"/>
              </w:rPr>
              <w:t>year:</w:t>
            </w:r>
          </w:p>
        </w:tc>
        <w:tc>
          <w:tcPr>
            <w:tcW w:w="1230" w:type="dxa"/>
          </w:tcPr>
          <w:p>
            <w:pPr>
              <w:pStyle w:val="TableParagraph"/>
              <w:rPr>
                <w:rFonts w:ascii="Times New Roman"/>
                <w:sz w:val="16"/>
              </w:rPr>
            </w:pPr>
          </w:p>
        </w:tc>
        <w:tc>
          <w:tcPr>
            <w:tcW w:w="1275" w:type="dxa"/>
          </w:tcPr>
          <w:p>
            <w:pPr>
              <w:pStyle w:val="TableParagraph"/>
              <w:rPr>
                <w:rFonts w:ascii="Times New Roman"/>
                <w:sz w:val="16"/>
              </w:rPr>
            </w:pPr>
          </w:p>
        </w:tc>
        <w:tc>
          <w:tcPr>
            <w:tcW w:w="1276" w:type="dxa"/>
          </w:tcPr>
          <w:p>
            <w:pPr>
              <w:pStyle w:val="TableParagraph"/>
              <w:rPr>
                <w:rFonts w:ascii="Times New Roman"/>
                <w:sz w:val="16"/>
              </w:rPr>
            </w:pPr>
          </w:p>
        </w:tc>
        <w:tc>
          <w:tcPr>
            <w:tcW w:w="1189" w:type="dxa"/>
          </w:tcPr>
          <w:p>
            <w:pPr>
              <w:pStyle w:val="TableParagraph"/>
              <w:rPr>
                <w:rFonts w:ascii="Times New Roman"/>
                <w:sz w:val="16"/>
              </w:rPr>
            </w:pPr>
          </w:p>
        </w:tc>
      </w:tr>
      <w:tr>
        <w:trPr>
          <w:trHeight w:val="229" w:hRule="atLeast"/>
        </w:trPr>
        <w:tc>
          <w:tcPr>
            <w:tcW w:w="3637" w:type="dxa"/>
          </w:tcPr>
          <w:p>
            <w:pPr>
              <w:pStyle w:val="TableParagraph"/>
              <w:spacing w:line="209" w:lineRule="exact"/>
              <w:ind w:left="50"/>
              <w:rPr>
                <w:sz w:val="20"/>
              </w:rPr>
            </w:pPr>
            <w:r>
              <w:rPr>
                <w:sz w:val="20"/>
              </w:rPr>
              <w:t>Trade</w:t>
            </w:r>
            <w:r>
              <w:rPr>
                <w:spacing w:val="-9"/>
                <w:sz w:val="20"/>
              </w:rPr>
              <w:t> </w:t>
            </w:r>
            <w:r>
              <w:rPr>
                <w:spacing w:val="-2"/>
                <w:sz w:val="20"/>
              </w:rPr>
              <w:t>debtors</w:t>
            </w:r>
          </w:p>
        </w:tc>
        <w:tc>
          <w:tcPr>
            <w:tcW w:w="1230" w:type="dxa"/>
          </w:tcPr>
          <w:p>
            <w:pPr>
              <w:pStyle w:val="TableParagraph"/>
              <w:spacing w:line="209" w:lineRule="exact"/>
              <w:ind w:left="653"/>
              <w:rPr>
                <w:sz w:val="20"/>
              </w:rPr>
            </w:pPr>
            <w:r>
              <w:rPr>
                <w:spacing w:val="-5"/>
                <w:sz w:val="20"/>
              </w:rPr>
              <w:t>787</w:t>
            </w:r>
          </w:p>
        </w:tc>
        <w:tc>
          <w:tcPr>
            <w:tcW w:w="1275" w:type="dxa"/>
          </w:tcPr>
          <w:p>
            <w:pPr>
              <w:pStyle w:val="TableParagraph"/>
              <w:spacing w:line="209" w:lineRule="exact"/>
              <w:ind w:right="243"/>
              <w:jc w:val="right"/>
              <w:rPr>
                <w:sz w:val="20"/>
              </w:rPr>
            </w:pPr>
            <w:r>
              <w:rPr>
                <w:spacing w:val="-5"/>
                <w:sz w:val="20"/>
              </w:rPr>
              <w:t>787</w:t>
            </w:r>
          </w:p>
        </w:tc>
        <w:tc>
          <w:tcPr>
            <w:tcW w:w="1276" w:type="dxa"/>
          </w:tcPr>
          <w:p>
            <w:pPr>
              <w:pStyle w:val="TableParagraph"/>
              <w:spacing w:line="209" w:lineRule="exact"/>
              <w:ind w:right="242"/>
              <w:jc w:val="right"/>
              <w:rPr>
                <w:sz w:val="20"/>
              </w:rPr>
            </w:pPr>
            <w:r>
              <w:rPr>
                <w:spacing w:val="-5"/>
                <w:sz w:val="20"/>
              </w:rPr>
              <w:t>781</w:t>
            </w:r>
          </w:p>
        </w:tc>
        <w:tc>
          <w:tcPr>
            <w:tcW w:w="1189" w:type="dxa"/>
          </w:tcPr>
          <w:p>
            <w:pPr>
              <w:pStyle w:val="TableParagraph"/>
              <w:spacing w:line="209" w:lineRule="exact"/>
              <w:ind w:right="155"/>
              <w:jc w:val="right"/>
              <w:rPr>
                <w:sz w:val="20"/>
              </w:rPr>
            </w:pPr>
            <w:r>
              <w:rPr>
                <w:spacing w:val="-5"/>
                <w:sz w:val="20"/>
              </w:rPr>
              <w:t>762</w:t>
            </w:r>
          </w:p>
        </w:tc>
      </w:tr>
      <w:tr>
        <w:trPr>
          <w:trHeight w:val="229" w:hRule="atLeast"/>
        </w:trPr>
        <w:tc>
          <w:tcPr>
            <w:tcW w:w="3637" w:type="dxa"/>
          </w:tcPr>
          <w:p>
            <w:pPr>
              <w:pStyle w:val="TableParagraph"/>
              <w:spacing w:line="209" w:lineRule="exact"/>
              <w:ind w:left="50"/>
              <w:rPr>
                <w:sz w:val="20"/>
              </w:rPr>
            </w:pPr>
            <w:r>
              <w:rPr>
                <w:sz w:val="20"/>
              </w:rPr>
              <w:t>Amounts</w:t>
            </w:r>
            <w:r>
              <w:rPr>
                <w:spacing w:val="-6"/>
                <w:sz w:val="20"/>
              </w:rPr>
              <w:t> </w:t>
            </w:r>
            <w:r>
              <w:rPr>
                <w:sz w:val="20"/>
              </w:rPr>
              <w:t>owed</w:t>
            </w:r>
            <w:r>
              <w:rPr>
                <w:spacing w:val="-5"/>
                <w:sz w:val="20"/>
              </w:rPr>
              <w:t> </w:t>
            </w:r>
            <w:r>
              <w:rPr>
                <w:sz w:val="20"/>
              </w:rPr>
              <w:t>by</w:t>
            </w:r>
            <w:r>
              <w:rPr>
                <w:spacing w:val="-6"/>
                <w:sz w:val="20"/>
              </w:rPr>
              <w:t> </w:t>
            </w:r>
            <w:r>
              <w:rPr>
                <w:sz w:val="20"/>
              </w:rPr>
              <w:t>group</w:t>
            </w:r>
            <w:r>
              <w:rPr>
                <w:spacing w:val="-6"/>
                <w:sz w:val="20"/>
              </w:rPr>
              <w:t> </w:t>
            </w:r>
            <w:r>
              <w:rPr>
                <w:spacing w:val="-2"/>
                <w:sz w:val="20"/>
              </w:rPr>
              <w:t>undertakings</w:t>
            </w:r>
          </w:p>
        </w:tc>
        <w:tc>
          <w:tcPr>
            <w:tcW w:w="1230" w:type="dxa"/>
          </w:tcPr>
          <w:p>
            <w:pPr>
              <w:pStyle w:val="TableParagraph"/>
              <w:spacing w:line="209" w:lineRule="exact"/>
              <w:ind w:right="241"/>
              <w:jc w:val="right"/>
              <w:rPr>
                <w:sz w:val="20"/>
              </w:rPr>
            </w:pPr>
            <w:r>
              <w:rPr>
                <w:spacing w:val="-10"/>
                <w:sz w:val="20"/>
              </w:rPr>
              <w:t>-</w:t>
            </w:r>
          </w:p>
        </w:tc>
        <w:tc>
          <w:tcPr>
            <w:tcW w:w="1275" w:type="dxa"/>
          </w:tcPr>
          <w:p>
            <w:pPr>
              <w:pStyle w:val="TableParagraph"/>
              <w:spacing w:line="209" w:lineRule="exact"/>
              <w:ind w:right="243"/>
              <w:jc w:val="right"/>
              <w:rPr>
                <w:sz w:val="20"/>
              </w:rPr>
            </w:pPr>
            <w:r>
              <w:rPr>
                <w:spacing w:val="-5"/>
                <w:sz w:val="20"/>
              </w:rPr>
              <w:t>205</w:t>
            </w:r>
          </w:p>
        </w:tc>
        <w:tc>
          <w:tcPr>
            <w:tcW w:w="1276" w:type="dxa"/>
          </w:tcPr>
          <w:p>
            <w:pPr>
              <w:pStyle w:val="TableParagraph"/>
              <w:spacing w:line="209" w:lineRule="exact"/>
              <w:ind w:right="241"/>
              <w:jc w:val="right"/>
              <w:rPr>
                <w:sz w:val="20"/>
              </w:rPr>
            </w:pPr>
            <w:r>
              <w:rPr>
                <w:spacing w:val="-10"/>
                <w:sz w:val="20"/>
              </w:rPr>
              <w:t>-</w:t>
            </w:r>
          </w:p>
        </w:tc>
        <w:tc>
          <w:tcPr>
            <w:tcW w:w="1189" w:type="dxa"/>
          </w:tcPr>
          <w:p>
            <w:pPr>
              <w:pStyle w:val="TableParagraph"/>
              <w:spacing w:line="209" w:lineRule="exact"/>
              <w:ind w:right="153"/>
              <w:jc w:val="right"/>
              <w:rPr>
                <w:sz w:val="20"/>
              </w:rPr>
            </w:pPr>
            <w:r>
              <w:rPr>
                <w:spacing w:val="-10"/>
                <w:sz w:val="20"/>
              </w:rPr>
              <w:t>-</w:t>
            </w:r>
          </w:p>
        </w:tc>
      </w:tr>
      <w:tr>
        <w:trPr>
          <w:trHeight w:val="230" w:hRule="atLeast"/>
        </w:trPr>
        <w:tc>
          <w:tcPr>
            <w:tcW w:w="3637" w:type="dxa"/>
          </w:tcPr>
          <w:p>
            <w:pPr>
              <w:pStyle w:val="TableParagraph"/>
              <w:spacing w:line="210" w:lineRule="exact"/>
              <w:ind w:left="50"/>
              <w:rPr>
                <w:sz w:val="20"/>
              </w:rPr>
            </w:pPr>
            <w:r>
              <w:rPr>
                <w:sz w:val="20"/>
              </w:rPr>
              <w:t>Prepayments</w:t>
            </w:r>
            <w:r>
              <w:rPr>
                <w:spacing w:val="-7"/>
                <w:sz w:val="20"/>
              </w:rPr>
              <w:t> </w:t>
            </w:r>
            <w:r>
              <w:rPr>
                <w:sz w:val="20"/>
              </w:rPr>
              <w:t>and</w:t>
            </w:r>
            <w:r>
              <w:rPr>
                <w:spacing w:val="-9"/>
                <w:sz w:val="20"/>
              </w:rPr>
              <w:t> </w:t>
            </w:r>
            <w:r>
              <w:rPr>
                <w:sz w:val="20"/>
              </w:rPr>
              <w:t>accrued</w:t>
            </w:r>
            <w:r>
              <w:rPr>
                <w:spacing w:val="-9"/>
                <w:sz w:val="20"/>
              </w:rPr>
              <w:t> </w:t>
            </w:r>
            <w:r>
              <w:rPr>
                <w:spacing w:val="-2"/>
                <w:sz w:val="20"/>
              </w:rPr>
              <w:t>income</w:t>
            </w:r>
          </w:p>
        </w:tc>
        <w:tc>
          <w:tcPr>
            <w:tcW w:w="1230" w:type="dxa"/>
          </w:tcPr>
          <w:p>
            <w:pPr>
              <w:pStyle w:val="TableParagraph"/>
              <w:spacing w:line="210" w:lineRule="exact"/>
              <w:ind w:left="485"/>
              <w:rPr>
                <w:sz w:val="20"/>
              </w:rPr>
            </w:pPr>
            <w:r>
              <w:rPr>
                <w:spacing w:val="-2"/>
                <w:sz w:val="20"/>
              </w:rPr>
              <w:t>1,643</w:t>
            </w:r>
          </w:p>
        </w:tc>
        <w:tc>
          <w:tcPr>
            <w:tcW w:w="1275" w:type="dxa"/>
          </w:tcPr>
          <w:p>
            <w:pPr>
              <w:pStyle w:val="TableParagraph"/>
              <w:spacing w:line="210" w:lineRule="exact"/>
              <w:ind w:right="243"/>
              <w:jc w:val="right"/>
              <w:rPr>
                <w:sz w:val="20"/>
              </w:rPr>
            </w:pPr>
            <w:r>
              <w:rPr>
                <w:spacing w:val="-2"/>
                <w:sz w:val="20"/>
              </w:rPr>
              <w:t>1,643</w:t>
            </w:r>
          </w:p>
        </w:tc>
        <w:tc>
          <w:tcPr>
            <w:tcW w:w="1276" w:type="dxa"/>
          </w:tcPr>
          <w:p>
            <w:pPr>
              <w:pStyle w:val="TableParagraph"/>
              <w:spacing w:line="210" w:lineRule="exact"/>
              <w:ind w:right="242"/>
              <w:jc w:val="right"/>
              <w:rPr>
                <w:sz w:val="20"/>
              </w:rPr>
            </w:pPr>
            <w:r>
              <w:rPr>
                <w:spacing w:val="-2"/>
                <w:sz w:val="20"/>
              </w:rPr>
              <w:t>1,390</w:t>
            </w:r>
          </w:p>
        </w:tc>
        <w:tc>
          <w:tcPr>
            <w:tcW w:w="1189" w:type="dxa"/>
          </w:tcPr>
          <w:p>
            <w:pPr>
              <w:pStyle w:val="TableParagraph"/>
              <w:spacing w:line="210" w:lineRule="exact"/>
              <w:ind w:right="154"/>
              <w:jc w:val="right"/>
              <w:rPr>
                <w:sz w:val="20"/>
              </w:rPr>
            </w:pPr>
            <w:r>
              <w:rPr>
                <w:spacing w:val="-2"/>
                <w:sz w:val="20"/>
              </w:rPr>
              <w:t>1,390</w:t>
            </w:r>
          </w:p>
        </w:tc>
      </w:tr>
      <w:tr>
        <w:trPr>
          <w:trHeight w:val="350" w:hRule="atLeast"/>
        </w:trPr>
        <w:tc>
          <w:tcPr>
            <w:tcW w:w="3637" w:type="dxa"/>
          </w:tcPr>
          <w:p>
            <w:pPr>
              <w:pStyle w:val="TableParagraph"/>
              <w:spacing w:line="227" w:lineRule="exact"/>
              <w:ind w:left="50"/>
              <w:rPr>
                <w:sz w:val="20"/>
              </w:rPr>
            </w:pPr>
            <w:r>
              <w:rPr>
                <w:sz w:val="20"/>
              </w:rPr>
              <w:t>Amounts</w:t>
            </w:r>
            <w:r>
              <w:rPr>
                <w:spacing w:val="-7"/>
                <w:sz w:val="20"/>
              </w:rPr>
              <w:t> </w:t>
            </w:r>
            <w:r>
              <w:rPr>
                <w:sz w:val="20"/>
              </w:rPr>
              <w:t>owed</w:t>
            </w:r>
            <w:r>
              <w:rPr>
                <w:spacing w:val="-5"/>
                <w:sz w:val="20"/>
              </w:rPr>
              <w:t> </w:t>
            </w:r>
            <w:r>
              <w:rPr>
                <w:sz w:val="20"/>
              </w:rPr>
              <w:t>by</w:t>
            </w:r>
            <w:r>
              <w:rPr>
                <w:spacing w:val="-6"/>
                <w:sz w:val="20"/>
              </w:rPr>
              <w:t> </w:t>
            </w:r>
            <w:r>
              <w:rPr>
                <w:sz w:val="20"/>
              </w:rPr>
              <w:t>Funding</w:t>
            </w:r>
            <w:r>
              <w:rPr>
                <w:spacing w:val="-6"/>
                <w:sz w:val="20"/>
              </w:rPr>
              <w:t> </w:t>
            </w:r>
            <w:r>
              <w:rPr>
                <w:spacing w:val="-4"/>
                <w:sz w:val="20"/>
              </w:rPr>
              <w:t>Body</w:t>
            </w:r>
          </w:p>
        </w:tc>
        <w:tc>
          <w:tcPr>
            <w:tcW w:w="1230" w:type="dxa"/>
          </w:tcPr>
          <w:p>
            <w:pPr>
              <w:pStyle w:val="TableParagraph"/>
              <w:tabs>
                <w:tab w:pos="920" w:val="left" w:leader="none"/>
              </w:tabs>
              <w:spacing w:line="227" w:lineRule="exact"/>
              <w:ind w:left="104"/>
              <w:rPr>
                <w:sz w:val="20"/>
              </w:rPr>
            </w:pPr>
            <w:r>
              <w:rPr>
                <w:sz w:val="20"/>
                <w:u w:val="single"/>
              </w:rPr>
              <w:tab/>
            </w:r>
            <w:r>
              <w:rPr>
                <w:spacing w:val="-10"/>
                <w:sz w:val="20"/>
                <w:u w:val="single"/>
              </w:rPr>
              <w:t>-</w:t>
            </w:r>
            <w:r>
              <w:rPr>
                <w:spacing w:val="80"/>
                <w:sz w:val="20"/>
                <w:u w:val="single"/>
              </w:rPr>
              <w:t> </w:t>
            </w:r>
          </w:p>
        </w:tc>
        <w:tc>
          <w:tcPr>
            <w:tcW w:w="1275" w:type="dxa"/>
          </w:tcPr>
          <w:p>
            <w:pPr>
              <w:pStyle w:val="TableParagraph"/>
              <w:tabs>
                <w:tab w:pos="813" w:val="left" w:leader="none"/>
              </w:tabs>
              <w:spacing w:line="227" w:lineRule="exact"/>
              <w:ind w:right="130"/>
              <w:jc w:val="right"/>
              <w:rPr>
                <w:sz w:val="20"/>
              </w:rPr>
            </w:pPr>
            <w:r>
              <w:rPr>
                <w:sz w:val="20"/>
                <w:u w:val="single"/>
              </w:rPr>
              <w:tab/>
            </w:r>
            <w:r>
              <w:rPr>
                <w:spacing w:val="-10"/>
                <w:sz w:val="20"/>
                <w:u w:val="single"/>
              </w:rPr>
              <w:t>-</w:t>
            </w:r>
            <w:r>
              <w:rPr>
                <w:spacing w:val="80"/>
                <w:sz w:val="20"/>
                <w:u w:val="single"/>
              </w:rPr>
              <w:t> </w:t>
            </w:r>
          </w:p>
        </w:tc>
        <w:tc>
          <w:tcPr>
            <w:tcW w:w="1276" w:type="dxa"/>
          </w:tcPr>
          <w:p>
            <w:pPr>
              <w:pStyle w:val="TableParagraph"/>
              <w:tabs>
                <w:tab w:pos="549" w:val="left" w:leader="none"/>
              </w:tabs>
              <w:spacing w:line="227" w:lineRule="exact"/>
              <w:ind w:right="130"/>
              <w:jc w:val="right"/>
              <w:rPr>
                <w:sz w:val="20"/>
              </w:rPr>
            </w:pPr>
            <w:r>
              <w:rPr>
                <w:sz w:val="20"/>
                <w:u w:val="single"/>
              </w:rPr>
              <w:tab/>
            </w:r>
            <w:r>
              <w:rPr>
                <w:spacing w:val="-5"/>
                <w:sz w:val="20"/>
                <w:u w:val="single"/>
              </w:rPr>
              <w:t>783</w:t>
            </w:r>
            <w:r>
              <w:rPr>
                <w:spacing w:val="80"/>
                <w:sz w:val="20"/>
                <w:u w:val="single"/>
              </w:rPr>
              <w:t> </w:t>
            </w:r>
          </w:p>
        </w:tc>
        <w:tc>
          <w:tcPr>
            <w:tcW w:w="1189" w:type="dxa"/>
          </w:tcPr>
          <w:p>
            <w:pPr>
              <w:pStyle w:val="TableParagraph"/>
              <w:tabs>
                <w:tab w:pos="549" w:val="left" w:leader="none"/>
              </w:tabs>
              <w:spacing w:line="227" w:lineRule="exact"/>
              <w:ind w:right="44"/>
              <w:jc w:val="right"/>
              <w:rPr>
                <w:sz w:val="20"/>
              </w:rPr>
            </w:pPr>
            <w:r>
              <w:rPr>
                <w:sz w:val="20"/>
                <w:u w:val="single"/>
              </w:rPr>
              <w:tab/>
            </w:r>
            <w:r>
              <w:rPr>
                <w:spacing w:val="-5"/>
                <w:sz w:val="20"/>
                <w:u w:val="single"/>
              </w:rPr>
              <w:t>783</w:t>
            </w:r>
            <w:r>
              <w:rPr>
                <w:spacing w:val="80"/>
                <w:sz w:val="20"/>
                <w:u w:val="single"/>
              </w:rPr>
              <w:t> </w:t>
            </w:r>
          </w:p>
        </w:tc>
      </w:tr>
      <w:tr>
        <w:trPr>
          <w:trHeight w:val="346" w:hRule="atLeast"/>
        </w:trPr>
        <w:tc>
          <w:tcPr>
            <w:tcW w:w="3637" w:type="dxa"/>
          </w:tcPr>
          <w:p>
            <w:pPr>
              <w:pStyle w:val="TableParagraph"/>
              <w:spacing w:line="210" w:lineRule="exact" w:before="116"/>
              <w:ind w:left="50"/>
              <w:rPr>
                <w:b/>
                <w:sz w:val="20"/>
              </w:rPr>
            </w:pPr>
            <w:r>
              <w:rPr>
                <w:b/>
                <w:spacing w:val="-2"/>
                <w:sz w:val="20"/>
              </w:rPr>
              <w:t>Total</w:t>
            </w:r>
          </w:p>
        </w:tc>
        <w:tc>
          <w:tcPr>
            <w:tcW w:w="1230" w:type="dxa"/>
          </w:tcPr>
          <w:p>
            <w:pPr>
              <w:pStyle w:val="TableParagraph"/>
              <w:tabs>
                <w:tab w:pos="485" w:val="left" w:leader="none"/>
              </w:tabs>
              <w:spacing w:line="210" w:lineRule="exact" w:before="116"/>
              <w:ind w:left="89"/>
              <w:rPr>
                <w:sz w:val="20"/>
              </w:rPr>
            </w:pPr>
            <w:r>
              <w:rPr>
                <w:sz w:val="20"/>
                <w:u w:val="double"/>
              </w:rPr>
              <w:tab/>
            </w:r>
            <w:r>
              <w:rPr>
                <w:spacing w:val="-2"/>
                <w:sz w:val="20"/>
                <w:u w:val="double"/>
              </w:rPr>
              <w:t>2,430</w:t>
            </w:r>
            <w:r>
              <w:rPr>
                <w:spacing w:val="80"/>
                <w:sz w:val="20"/>
                <w:u w:val="double"/>
              </w:rPr>
              <w:t> </w:t>
            </w:r>
          </w:p>
        </w:tc>
        <w:tc>
          <w:tcPr>
            <w:tcW w:w="1275" w:type="dxa"/>
          </w:tcPr>
          <w:p>
            <w:pPr>
              <w:pStyle w:val="TableParagraph"/>
              <w:tabs>
                <w:tab w:pos="393" w:val="left" w:leader="none"/>
              </w:tabs>
              <w:spacing w:line="210" w:lineRule="exact" w:before="116"/>
              <w:ind w:right="130"/>
              <w:jc w:val="right"/>
              <w:rPr>
                <w:sz w:val="20"/>
              </w:rPr>
            </w:pPr>
            <w:r>
              <w:rPr>
                <w:sz w:val="20"/>
                <w:u w:val="double"/>
              </w:rPr>
              <w:tab/>
            </w:r>
            <w:r>
              <w:rPr>
                <w:spacing w:val="-2"/>
                <w:sz w:val="20"/>
                <w:u w:val="double"/>
              </w:rPr>
              <w:t>2,635</w:t>
            </w:r>
            <w:r>
              <w:rPr>
                <w:spacing w:val="80"/>
                <w:sz w:val="20"/>
                <w:u w:val="double"/>
              </w:rPr>
              <w:t> </w:t>
            </w:r>
          </w:p>
        </w:tc>
        <w:tc>
          <w:tcPr>
            <w:tcW w:w="1276" w:type="dxa"/>
          </w:tcPr>
          <w:p>
            <w:pPr>
              <w:pStyle w:val="TableParagraph"/>
              <w:tabs>
                <w:tab w:pos="395" w:val="left" w:leader="none"/>
              </w:tabs>
              <w:spacing w:line="210" w:lineRule="exact" w:before="116"/>
              <w:ind w:right="130"/>
              <w:jc w:val="right"/>
              <w:rPr>
                <w:sz w:val="20"/>
              </w:rPr>
            </w:pPr>
            <w:r>
              <w:rPr>
                <w:sz w:val="20"/>
                <w:u w:val="double"/>
              </w:rPr>
              <w:tab/>
            </w:r>
            <w:r>
              <w:rPr>
                <w:spacing w:val="-2"/>
                <w:sz w:val="20"/>
                <w:u w:val="double"/>
              </w:rPr>
              <w:t>2,954</w:t>
            </w:r>
            <w:r>
              <w:rPr>
                <w:spacing w:val="80"/>
                <w:sz w:val="20"/>
                <w:u w:val="double"/>
              </w:rPr>
              <w:t> </w:t>
            </w:r>
          </w:p>
        </w:tc>
        <w:tc>
          <w:tcPr>
            <w:tcW w:w="1189" w:type="dxa"/>
          </w:tcPr>
          <w:p>
            <w:pPr>
              <w:pStyle w:val="TableParagraph"/>
              <w:tabs>
                <w:tab w:pos="395" w:val="left" w:leader="none"/>
              </w:tabs>
              <w:spacing w:line="210" w:lineRule="exact" w:before="116"/>
              <w:ind w:right="44"/>
              <w:jc w:val="right"/>
              <w:rPr>
                <w:sz w:val="20"/>
              </w:rPr>
            </w:pPr>
            <w:r>
              <w:rPr>
                <w:sz w:val="20"/>
                <w:u w:val="double"/>
              </w:rPr>
              <w:tab/>
            </w:r>
            <w:r>
              <w:rPr>
                <w:spacing w:val="-2"/>
                <w:sz w:val="20"/>
                <w:u w:val="double"/>
              </w:rPr>
              <w:t>2,935</w:t>
            </w:r>
            <w:r>
              <w:rPr>
                <w:spacing w:val="80"/>
                <w:sz w:val="20"/>
                <w:u w:val="double"/>
              </w:rPr>
              <w:t> </w:t>
            </w:r>
          </w:p>
        </w:tc>
      </w:tr>
    </w:tbl>
    <w:p>
      <w:pPr>
        <w:pStyle w:val="BodyText"/>
        <w:spacing w:before="10"/>
        <w:rPr>
          <w:b/>
          <w:sz w:val="22"/>
        </w:rPr>
      </w:pPr>
    </w:p>
    <w:p>
      <w:pPr>
        <w:pStyle w:val="BodyText"/>
        <w:ind w:left="852" w:right="709"/>
        <w:jc w:val="both"/>
      </w:pPr>
      <w:r>
        <w:rPr/>
        <w:t>During</w:t>
      </w:r>
      <w:r>
        <w:rPr>
          <w:spacing w:val="-6"/>
        </w:rPr>
        <w:t> </w:t>
      </w:r>
      <w:r>
        <w:rPr/>
        <w:t>the</w:t>
      </w:r>
      <w:r>
        <w:rPr>
          <w:spacing w:val="-6"/>
        </w:rPr>
        <w:t> </w:t>
      </w:r>
      <w:r>
        <w:rPr/>
        <w:t>year</w:t>
      </w:r>
      <w:r>
        <w:rPr>
          <w:spacing w:val="-3"/>
        </w:rPr>
        <w:t> </w:t>
      </w:r>
      <w:r>
        <w:rPr/>
        <w:t>impairment</w:t>
      </w:r>
      <w:r>
        <w:rPr>
          <w:spacing w:val="-4"/>
        </w:rPr>
        <w:t> </w:t>
      </w:r>
      <w:r>
        <w:rPr/>
        <w:t>losses</w:t>
      </w:r>
      <w:r>
        <w:rPr>
          <w:spacing w:val="-5"/>
        </w:rPr>
        <w:t> </w:t>
      </w:r>
      <w:r>
        <w:rPr/>
        <w:t>of</w:t>
      </w:r>
      <w:r>
        <w:rPr>
          <w:spacing w:val="-4"/>
        </w:rPr>
        <w:t> </w:t>
      </w:r>
      <w:r>
        <w:rPr/>
        <w:t>£nil</w:t>
      </w:r>
      <w:r>
        <w:rPr>
          <w:spacing w:val="-6"/>
        </w:rPr>
        <w:t> </w:t>
      </w:r>
      <w:r>
        <w:rPr/>
        <w:t>(2022:</w:t>
      </w:r>
      <w:r>
        <w:rPr>
          <w:spacing w:val="-5"/>
        </w:rPr>
        <w:t> </w:t>
      </w:r>
      <w:r>
        <w:rPr/>
        <w:t>£647,000)</w:t>
      </w:r>
      <w:r>
        <w:rPr>
          <w:spacing w:val="-5"/>
        </w:rPr>
        <w:t> </w:t>
      </w:r>
      <w:r>
        <w:rPr/>
        <w:t>were</w:t>
      </w:r>
      <w:r>
        <w:rPr>
          <w:spacing w:val="-6"/>
        </w:rPr>
        <w:t> </w:t>
      </w:r>
      <w:r>
        <w:rPr/>
        <w:t>recognised</w:t>
      </w:r>
      <w:r>
        <w:rPr>
          <w:spacing w:val="-6"/>
        </w:rPr>
        <w:t> </w:t>
      </w:r>
      <w:r>
        <w:rPr/>
        <w:t>in</w:t>
      </w:r>
      <w:r>
        <w:rPr>
          <w:spacing w:val="-6"/>
        </w:rPr>
        <w:t> </w:t>
      </w:r>
      <w:r>
        <w:rPr/>
        <w:t>respect</w:t>
      </w:r>
      <w:r>
        <w:rPr>
          <w:spacing w:val="-5"/>
        </w:rPr>
        <w:t> </w:t>
      </w:r>
      <w:r>
        <w:rPr/>
        <w:t>of</w:t>
      </w:r>
      <w:r>
        <w:rPr>
          <w:spacing w:val="-5"/>
        </w:rPr>
        <w:t> </w:t>
      </w:r>
      <w:r>
        <w:rPr/>
        <w:t>trade</w:t>
      </w:r>
      <w:r>
        <w:rPr>
          <w:spacing w:val="-4"/>
        </w:rPr>
        <w:t> </w:t>
      </w:r>
      <w:r>
        <w:rPr/>
        <w:t>debtors which</w:t>
      </w:r>
      <w:r>
        <w:rPr>
          <w:spacing w:val="-9"/>
        </w:rPr>
        <w:t> </w:t>
      </w:r>
      <w:r>
        <w:rPr/>
        <w:t>were</w:t>
      </w:r>
      <w:r>
        <w:rPr>
          <w:spacing w:val="-9"/>
        </w:rPr>
        <w:t> </w:t>
      </w:r>
      <w:r>
        <w:rPr/>
        <w:t>not</w:t>
      </w:r>
      <w:r>
        <w:rPr>
          <w:spacing w:val="-9"/>
        </w:rPr>
        <w:t> </w:t>
      </w:r>
      <w:r>
        <w:rPr/>
        <w:t>expected</w:t>
      </w:r>
      <w:r>
        <w:rPr>
          <w:spacing w:val="-9"/>
        </w:rPr>
        <w:t> </w:t>
      </w:r>
      <w:r>
        <w:rPr/>
        <w:t>to</w:t>
      </w:r>
      <w:r>
        <w:rPr>
          <w:spacing w:val="-7"/>
        </w:rPr>
        <w:t> </w:t>
      </w:r>
      <w:r>
        <w:rPr/>
        <w:t>be</w:t>
      </w:r>
      <w:r>
        <w:rPr>
          <w:spacing w:val="-9"/>
        </w:rPr>
        <w:t> </w:t>
      </w:r>
      <w:r>
        <w:rPr/>
        <w:t>recovered.</w:t>
      </w:r>
      <w:r>
        <w:rPr>
          <w:spacing w:val="-8"/>
        </w:rPr>
        <w:t> </w:t>
      </w:r>
      <w:r>
        <w:rPr/>
        <w:t>The</w:t>
      </w:r>
      <w:r>
        <w:rPr>
          <w:spacing w:val="-7"/>
        </w:rPr>
        <w:t> </w:t>
      </w:r>
      <w:r>
        <w:rPr/>
        <w:t>impairment</w:t>
      </w:r>
      <w:r>
        <w:rPr>
          <w:spacing w:val="-9"/>
        </w:rPr>
        <w:t> </w:t>
      </w:r>
      <w:r>
        <w:rPr/>
        <w:t>provision</w:t>
      </w:r>
      <w:r>
        <w:rPr>
          <w:spacing w:val="-9"/>
        </w:rPr>
        <w:t> </w:t>
      </w:r>
      <w:r>
        <w:rPr/>
        <w:t>included</w:t>
      </w:r>
      <w:r>
        <w:rPr>
          <w:spacing w:val="-9"/>
        </w:rPr>
        <w:t> </w:t>
      </w:r>
      <w:r>
        <w:rPr/>
        <w:t>within</w:t>
      </w:r>
      <w:r>
        <w:rPr>
          <w:spacing w:val="-9"/>
        </w:rPr>
        <w:t> </w:t>
      </w:r>
      <w:r>
        <w:rPr/>
        <w:t>trade</w:t>
      </w:r>
      <w:r>
        <w:rPr>
          <w:spacing w:val="-9"/>
        </w:rPr>
        <w:t> </w:t>
      </w:r>
      <w:r>
        <w:rPr/>
        <w:t>debtors</w:t>
      </w:r>
      <w:r>
        <w:rPr>
          <w:spacing w:val="-7"/>
        </w:rPr>
        <w:t> </w:t>
      </w:r>
      <w:r>
        <w:rPr/>
        <w:t>at</w:t>
      </w:r>
      <w:r>
        <w:rPr>
          <w:spacing w:val="-9"/>
        </w:rPr>
        <w:t> </w:t>
      </w:r>
      <w:r>
        <w:rPr/>
        <w:t>the year end was £927,000 (2022: £927,000).</w:t>
      </w:r>
    </w:p>
    <w:p>
      <w:pPr>
        <w:pStyle w:val="Heading5"/>
        <w:numPr>
          <w:ilvl w:val="0"/>
          <w:numId w:val="16"/>
        </w:numPr>
        <w:tabs>
          <w:tab w:pos="850" w:val="left" w:leader="none"/>
        </w:tabs>
        <w:spacing w:line="240" w:lineRule="auto" w:before="230" w:after="0"/>
        <w:ind w:left="850" w:right="0" w:hanging="425"/>
        <w:jc w:val="left"/>
      </w:pPr>
      <w:r>
        <w:rPr/>
        <w:t>Creditors</w:t>
      </w:r>
      <w:r>
        <w:rPr>
          <w:spacing w:val="-5"/>
        </w:rPr>
        <w:t> </w:t>
      </w:r>
      <w:r>
        <w:rPr/>
        <w:t>-</w:t>
      </w:r>
      <w:r>
        <w:rPr>
          <w:spacing w:val="-4"/>
        </w:rPr>
        <w:t> </w:t>
      </w:r>
      <w:r>
        <w:rPr/>
        <w:t>amounts</w:t>
      </w:r>
      <w:r>
        <w:rPr>
          <w:spacing w:val="-5"/>
        </w:rPr>
        <w:t> </w:t>
      </w:r>
      <w:r>
        <w:rPr/>
        <w:t>falling</w:t>
      </w:r>
      <w:r>
        <w:rPr>
          <w:spacing w:val="-4"/>
        </w:rPr>
        <w:t> </w:t>
      </w:r>
      <w:r>
        <w:rPr/>
        <w:t>due</w:t>
      </w:r>
      <w:r>
        <w:rPr>
          <w:spacing w:val="-5"/>
        </w:rPr>
        <w:t> </w:t>
      </w:r>
      <w:r>
        <w:rPr/>
        <w:t>within</w:t>
      </w:r>
      <w:r>
        <w:rPr>
          <w:spacing w:val="-5"/>
        </w:rPr>
        <w:t> </w:t>
      </w:r>
      <w:r>
        <w:rPr/>
        <w:t>one</w:t>
      </w:r>
      <w:r>
        <w:rPr>
          <w:spacing w:val="-2"/>
        </w:rPr>
        <w:t> </w:t>
      </w:r>
      <w:r>
        <w:rPr>
          <w:spacing w:val="-4"/>
        </w:rPr>
        <w:t>year</w:t>
      </w:r>
    </w:p>
    <w:p>
      <w:pPr>
        <w:pStyle w:val="BodyText"/>
        <w:spacing w:before="150"/>
        <w:rPr>
          <w:b/>
        </w:rPr>
      </w:pPr>
    </w:p>
    <w:tbl>
      <w:tblPr>
        <w:tblW w:w="0" w:type="auto"/>
        <w:jc w:val="left"/>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22"/>
        <w:gridCol w:w="1006"/>
        <w:gridCol w:w="272"/>
        <w:gridCol w:w="1006"/>
        <w:gridCol w:w="269"/>
        <w:gridCol w:w="1008"/>
        <w:gridCol w:w="262"/>
        <w:gridCol w:w="1013"/>
      </w:tblGrid>
      <w:tr>
        <w:trPr>
          <w:trHeight w:val="226" w:hRule="atLeast"/>
        </w:trPr>
        <w:tc>
          <w:tcPr>
            <w:tcW w:w="3722" w:type="dxa"/>
            <w:vMerge w:val="restart"/>
          </w:tcPr>
          <w:p>
            <w:pPr>
              <w:pStyle w:val="TableParagraph"/>
              <w:rPr>
                <w:rFonts w:ascii="Times New Roman"/>
                <w:sz w:val="20"/>
              </w:rPr>
            </w:pPr>
          </w:p>
        </w:tc>
        <w:tc>
          <w:tcPr>
            <w:tcW w:w="1006" w:type="dxa"/>
          </w:tcPr>
          <w:p>
            <w:pPr>
              <w:pStyle w:val="TableParagraph"/>
              <w:spacing w:line="206" w:lineRule="exact"/>
              <w:ind w:left="297"/>
              <w:rPr>
                <w:b/>
                <w:sz w:val="20"/>
              </w:rPr>
            </w:pPr>
            <w:r>
              <w:rPr>
                <w:b/>
                <w:spacing w:val="-4"/>
                <w:sz w:val="20"/>
              </w:rPr>
              <w:t>Group</w:t>
            </w:r>
          </w:p>
        </w:tc>
        <w:tc>
          <w:tcPr>
            <w:tcW w:w="272" w:type="dxa"/>
          </w:tcPr>
          <w:p>
            <w:pPr>
              <w:pStyle w:val="TableParagraph"/>
              <w:rPr>
                <w:rFonts w:ascii="Times New Roman"/>
                <w:sz w:val="16"/>
              </w:rPr>
            </w:pPr>
          </w:p>
        </w:tc>
        <w:tc>
          <w:tcPr>
            <w:tcW w:w="1006" w:type="dxa"/>
          </w:tcPr>
          <w:p>
            <w:pPr>
              <w:pStyle w:val="TableParagraph"/>
              <w:spacing w:line="206" w:lineRule="exact"/>
              <w:ind w:left="171"/>
              <w:rPr>
                <w:b/>
                <w:sz w:val="20"/>
              </w:rPr>
            </w:pPr>
            <w:r>
              <w:rPr>
                <w:b/>
                <w:spacing w:val="-2"/>
                <w:sz w:val="20"/>
              </w:rPr>
              <w:t>College</w:t>
            </w:r>
          </w:p>
        </w:tc>
        <w:tc>
          <w:tcPr>
            <w:tcW w:w="269" w:type="dxa"/>
          </w:tcPr>
          <w:p>
            <w:pPr>
              <w:pStyle w:val="TableParagraph"/>
              <w:rPr>
                <w:rFonts w:ascii="Times New Roman"/>
                <w:sz w:val="16"/>
              </w:rPr>
            </w:pPr>
          </w:p>
        </w:tc>
        <w:tc>
          <w:tcPr>
            <w:tcW w:w="1008" w:type="dxa"/>
          </w:tcPr>
          <w:p>
            <w:pPr>
              <w:pStyle w:val="TableParagraph"/>
              <w:spacing w:line="206" w:lineRule="exact"/>
              <w:ind w:left="295"/>
              <w:rPr>
                <w:b/>
                <w:sz w:val="20"/>
              </w:rPr>
            </w:pPr>
            <w:r>
              <w:rPr>
                <w:b/>
                <w:spacing w:val="-4"/>
                <w:sz w:val="20"/>
              </w:rPr>
              <w:t>Group</w:t>
            </w:r>
          </w:p>
        </w:tc>
        <w:tc>
          <w:tcPr>
            <w:tcW w:w="262" w:type="dxa"/>
          </w:tcPr>
          <w:p>
            <w:pPr>
              <w:pStyle w:val="TableParagraph"/>
              <w:rPr>
                <w:rFonts w:ascii="Times New Roman"/>
                <w:sz w:val="16"/>
              </w:rPr>
            </w:pPr>
          </w:p>
        </w:tc>
        <w:tc>
          <w:tcPr>
            <w:tcW w:w="1013" w:type="dxa"/>
          </w:tcPr>
          <w:p>
            <w:pPr>
              <w:pStyle w:val="TableParagraph"/>
              <w:spacing w:line="206" w:lineRule="exact"/>
              <w:ind w:left="180"/>
              <w:rPr>
                <w:b/>
                <w:sz w:val="20"/>
              </w:rPr>
            </w:pPr>
            <w:r>
              <w:rPr>
                <w:b/>
                <w:spacing w:val="-2"/>
                <w:sz w:val="20"/>
              </w:rPr>
              <w:t>College</w:t>
            </w:r>
          </w:p>
        </w:tc>
      </w:tr>
      <w:tr>
        <w:trPr>
          <w:trHeight w:val="230" w:hRule="atLeast"/>
        </w:trPr>
        <w:tc>
          <w:tcPr>
            <w:tcW w:w="3722" w:type="dxa"/>
            <w:vMerge/>
            <w:tcBorders>
              <w:top w:val="nil"/>
            </w:tcBorders>
          </w:tcPr>
          <w:p>
            <w:pPr>
              <w:rPr>
                <w:sz w:val="2"/>
                <w:szCs w:val="2"/>
              </w:rPr>
            </w:pPr>
          </w:p>
        </w:tc>
        <w:tc>
          <w:tcPr>
            <w:tcW w:w="1006" w:type="dxa"/>
          </w:tcPr>
          <w:p>
            <w:pPr>
              <w:pStyle w:val="TableParagraph"/>
              <w:spacing w:line="210" w:lineRule="exact"/>
              <w:ind w:right="108"/>
              <w:jc w:val="right"/>
              <w:rPr>
                <w:b/>
                <w:sz w:val="20"/>
              </w:rPr>
            </w:pPr>
            <w:r>
              <w:rPr>
                <w:b/>
                <w:spacing w:val="-4"/>
                <w:sz w:val="20"/>
              </w:rPr>
              <w:t>2023</w:t>
            </w:r>
          </w:p>
        </w:tc>
        <w:tc>
          <w:tcPr>
            <w:tcW w:w="272" w:type="dxa"/>
          </w:tcPr>
          <w:p>
            <w:pPr>
              <w:pStyle w:val="TableParagraph"/>
              <w:rPr>
                <w:rFonts w:ascii="Times New Roman"/>
                <w:sz w:val="16"/>
              </w:rPr>
            </w:pPr>
          </w:p>
        </w:tc>
        <w:tc>
          <w:tcPr>
            <w:tcW w:w="1006" w:type="dxa"/>
          </w:tcPr>
          <w:p>
            <w:pPr>
              <w:pStyle w:val="TableParagraph"/>
              <w:spacing w:line="210" w:lineRule="exact"/>
              <w:ind w:right="111"/>
              <w:jc w:val="right"/>
              <w:rPr>
                <w:b/>
                <w:sz w:val="20"/>
              </w:rPr>
            </w:pPr>
            <w:r>
              <w:rPr>
                <w:b/>
                <w:spacing w:val="-4"/>
                <w:sz w:val="20"/>
              </w:rPr>
              <w:t>2023</w:t>
            </w:r>
          </w:p>
        </w:tc>
        <w:tc>
          <w:tcPr>
            <w:tcW w:w="269" w:type="dxa"/>
          </w:tcPr>
          <w:p>
            <w:pPr>
              <w:pStyle w:val="TableParagraph"/>
              <w:rPr>
                <w:rFonts w:ascii="Times New Roman"/>
                <w:sz w:val="16"/>
              </w:rPr>
            </w:pPr>
          </w:p>
        </w:tc>
        <w:tc>
          <w:tcPr>
            <w:tcW w:w="1008" w:type="dxa"/>
          </w:tcPr>
          <w:p>
            <w:pPr>
              <w:pStyle w:val="TableParagraph"/>
              <w:spacing w:line="210" w:lineRule="exact"/>
              <w:ind w:left="-2" w:right="112"/>
              <w:jc w:val="right"/>
              <w:rPr>
                <w:b/>
                <w:sz w:val="20"/>
              </w:rPr>
            </w:pPr>
            <w:r>
              <w:rPr>
                <w:b/>
                <w:spacing w:val="-4"/>
                <w:sz w:val="20"/>
              </w:rPr>
              <w:t>2022</w:t>
            </w:r>
          </w:p>
        </w:tc>
        <w:tc>
          <w:tcPr>
            <w:tcW w:w="262" w:type="dxa"/>
          </w:tcPr>
          <w:p>
            <w:pPr>
              <w:pStyle w:val="TableParagraph"/>
              <w:rPr>
                <w:rFonts w:ascii="Times New Roman"/>
                <w:sz w:val="16"/>
              </w:rPr>
            </w:pPr>
          </w:p>
        </w:tc>
        <w:tc>
          <w:tcPr>
            <w:tcW w:w="1013" w:type="dxa"/>
          </w:tcPr>
          <w:p>
            <w:pPr>
              <w:pStyle w:val="TableParagraph"/>
              <w:spacing w:line="210" w:lineRule="exact"/>
              <w:ind w:left="-3" w:right="110"/>
              <w:jc w:val="right"/>
              <w:rPr>
                <w:b/>
                <w:sz w:val="20"/>
              </w:rPr>
            </w:pPr>
            <w:r>
              <w:rPr>
                <w:b/>
                <w:spacing w:val="-4"/>
                <w:sz w:val="20"/>
              </w:rPr>
              <w:t>2022</w:t>
            </w:r>
          </w:p>
        </w:tc>
      </w:tr>
      <w:tr>
        <w:trPr>
          <w:trHeight w:val="230" w:hRule="atLeast"/>
        </w:trPr>
        <w:tc>
          <w:tcPr>
            <w:tcW w:w="3722" w:type="dxa"/>
            <w:vMerge/>
            <w:tcBorders>
              <w:top w:val="nil"/>
            </w:tcBorders>
          </w:tcPr>
          <w:p>
            <w:pPr>
              <w:rPr>
                <w:sz w:val="2"/>
                <w:szCs w:val="2"/>
              </w:rPr>
            </w:pPr>
          </w:p>
        </w:tc>
        <w:tc>
          <w:tcPr>
            <w:tcW w:w="1006" w:type="dxa"/>
          </w:tcPr>
          <w:p>
            <w:pPr>
              <w:pStyle w:val="TableParagraph"/>
              <w:spacing w:line="210" w:lineRule="exact"/>
              <w:ind w:right="108"/>
              <w:jc w:val="right"/>
              <w:rPr>
                <w:b/>
                <w:sz w:val="20"/>
              </w:rPr>
            </w:pPr>
            <w:r>
              <w:rPr>
                <w:b/>
                <w:spacing w:val="-2"/>
                <w:sz w:val="20"/>
              </w:rPr>
              <w:t>£’000</w:t>
            </w:r>
          </w:p>
        </w:tc>
        <w:tc>
          <w:tcPr>
            <w:tcW w:w="272" w:type="dxa"/>
          </w:tcPr>
          <w:p>
            <w:pPr>
              <w:pStyle w:val="TableParagraph"/>
              <w:rPr>
                <w:rFonts w:ascii="Times New Roman"/>
                <w:sz w:val="16"/>
              </w:rPr>
            </w:pPr>
          </w:p>
        </w:tc>
        <w:tc>
          <w:tcPr>
            <w:tcW w:w="1006" w:type="dxa"/>
          </w:tcPr>
          <w:p>
            <w:pPr>
              <w:pStyle w:val="TableParagraph"/>
              <w:spacing w:line="210" w:lineRule="exact"/>
              <w:ind w:right="112"/>
              <w:jc w:val="right"/>
              <w:rPr>
                <w:b/>
                <w:sz w:val="20"/>
              </w:rPr>
            </w:pPr>
            <w:r>
              <w:rPr>
                <w:b/>
                <w:spacing w:val="-2"/>
                <w:sz w:val="20"/>
              </w:rPr>
              <w:t>£’000</w:t>
            </w:r>
          </w:p>
        </w:tc>
        <w:tc>
          <w:tcPr>
            <w:tcW w:w="269" w:type="dxa"/>
          </w:tcPr>
          <w:p>
            <w:pPr>
              <w:pStyle w:val="TableParagraph"/>
              <w:rPr>
                <w:rFonts w:ascii="Times New Roman"/>
                <w:sz w:val="16"/>
              </w:rPr>
            </w:pPr>
          </w:p>
        </w:tc>
        <w:tc>
          <w:tcPr>
            <w:tcW w:w="1008" w:type="dxa"/>
          </w:tcPr>
          <w:p>
            <w:pPr>
              <w:pStyle w:val="TableParagraph"/>
              <w:spacing w:line="210" w:lineRule="exact"/>
              <w:ind w:left="-2" w:right="112"/>
              <w:jc w:val="right"/>
              <w:rPr>
                <w:b/>
                <w:sz w:val="20"/>
              </w:rPr>
            </w:pPr>
            <w:r>
              <w:rPr>
                <w:b/>
                <w:spacing w:val="-2"/>
                <w:sz w:val="20"/>
              </w:rPr>
              <w:t>£’000</w:t>
            </w:r>
          </w:p>
        </w:tc>
        <w:tc>
          <w:tcPr>
            <w:tcW w:w="262" w:type="dxa"/>
          </w:tcPr>
          <w:p>
            <w:pPr>
              <w:pStyle w:val="TableParagraph"/>
              <w:rPr>
                <w:rFonts w:ascii="Times New Roman"/>
                <w:sz w:val="16"/>
              </w:rPr>
            </w:pPr>
          </w:p>
        </w:tc>
        <w:tc>
          <w:tcPr>
            <w:tcW w:w="1013" w:type="dxa"/>
          </w:tcPr>
          <w:p>
            <w:pPr>
              <w:pStyle w:val="TableParagraph"/>
              <w:spacing w:line="210" w:lineRule="exact"/>
              <w:ind w:left="-3" w:right="110"/>
              <w:jc w:val="right"/>
              <w:rPr>
                <w:b/>
                <w:sz w:val="20"/>
              </w:rPr>
            </w:pPr>
            <w:r>
              <w:rPr>
                <w:b/>
                <w:spacing w:val="-2"/>
                <w:sz w:val="20"/>
              </w:rPr>
              <w:t>£’000</w:t>
            </w:r>
          </w:p>
        </w:tc>
      </w:tr>
      <w:tr>
        <w:trPr>
          <w:trHeight w:val="241" w:hRule="atLeast"/>
        </w:trPr>
        <w:tc>
          <w:tcPr>
            <w:tcW w:w="3722" w:type="dxa"/>
          </w:tcPr>
          <w:p>
            <w:pPr>
              <w:pStyle w:val="TableParagraph"/>
              <w:spacing w:line="221" w:lineRule="exact"/>
              <w:ind w:left="50"/>
              <w:rPr>
                <w:sz w:val="20"/>
              </w:rPr>
            </w:pPr>
            <w:r>
              <w:rPr>
                <w:sz w:val="20"/>
              </w:rPr>
              <w:t>Trade</w:t>
            </w:r>
            <w:r>
              <w:rPr>
                <w:spacing w:val="-9"/>
                <w:sz w:val="20"/>
              </w:rPr>
              <w:t> </w:t>
            </w:r>
            <w:r>
              <w:rPr>
                <w:spacing w:val="-2"/>
                <w:sz w:val="20"/>
              </w:rPr>
              <w:t>creditors</w:t>
            </w:r>
          </w:p>
        </w:tc>
        <w:tc>
          <w:tcPr>
            <w:tcW w:w="1006" w:type="dxa"/>
          </w:tcPr>
          <w:p>
            <w:pPr>
              <w:pStyle w:val="TableParagraph"/>
              <w:spacing w:line="221" w:lineRule="exact"/>
              <w:ind w:right="108"/>
              <w:jc w:val="right"/>
              <w:rPr>
                <w:sz w:val="20"/>
              </w:rPr>
            </w:pPr>
            <w:r>
              <w:rPr>
                <w:spacing w:val="-5"/>
                <w:sz w:val="20"/>
              </w:rPr>
              <w:t>485</w:t>
            </w:r>
          </w:p>
        </w:tc>
        <w:tc>
          <w:tcPr>
            <w:tcW w:w="272" w:type="dxa"/>
          </w:tcPr>
          <w:p>
            <w:pPr>
              <w:pStyle w:val="TableParagraph"/>
              <w:rPr>
                <w:rFonts w:ascii="Times New Roman"/>
                <w:sz w:val="16"/>
              </w:rPr>
            </w:pPr>
          </w:p>
        </w:tc>
        <w:tc>
          <w:tcPr>
            <w:tcW w:w="1006" w:type="dxa"/>
          </w:tcPr>
          <w:p>
            <w:pPr>
              <w:pStyle w:val="TableParagraph"/>
              <w:spacing w:line="221" w:lineRule="exact"/>
              <w:ind w:right="112"/>
              <w:jc w:val="right"/>
              <w:rPr>
                <w:sz w:val="20"/>
              </w:rPr>
            </w:pPr>
            <w:r>
              <w:rPr>
                <w:spacing w:val="-5"/>
                <w:sz w:val="20"/>
              </w:rPr>
              <w:t>485</w:t>
            </w:r>
          </w:p>
        </w:tc>
        <w:tc>
          <w:tcPr>
            <w:tcW w:w="269" w:type="dxa"/>
          </w:tcPr>
          <w:p>
            <w:pPr>
              <w:pStyle w:val="TableParagraph"/>
              <w:rPr>
                <w:rFonts w:ascii="Times New Roman"/>
                <w:sz w:val="16"/>
              </w:rPr>
            </w:pPr>
          </w:p>
        </w:tc>
        <w:tc>
          <w:tcPr>
            <w:tcW w:w="1008" w:type="dxa"/>
          </w:tcPr>
          <w:p>
            <w:pPr>
              <w:pStyle w:val="TableParagraph"/>
              <w:spacing w:line="221" w:lineRule="exact"/>
              <w:ind w:left="-2" w:right="112"/>
              <w:jc w:val="right"/>
              <w:rPr>
                <w:sz w:val="20"/>
              </w:rPr>
            </w:pPr>
            <w:r>
              <w:rPr>
                <w:spacing w:val="-5"/>
                <w:sz w:val="20"/>
              </w:rPr>
              <w:t>404</w:t>
            </w:r>
          </w:p>
        </w:tc>
        <w:tc>
          <w:tcPr>
            <w:tcW w:w="262" w:type="dxa"/>
          </w:tcPr>
          <w:p>
            <w:pPr>
              <w:pStyle w:val="TableParagraph"/>
              <w:rPr>
                <w:rFonts w:ascii="Times New Roman"/>
                <w:sz w:val="16"/>
              </w:rPr>
            </w:pPr>
          </w:p>
        </w:tc>
        <w:tc>
          <w:tcPr>
            <w:tcW w:w="1013" w:type="dxa"/>
          </w:tcPr>
          <w:p>
            <w:pPr>
              <w:pStyle w:val="TableParagraph"/>
              <w:spacing w:line="221" w:lineRule="exact"/>
              <w:ind w:left="-3" w:right="110"/>
              <w:jc w:val="right"/>
              <w:rPr>
                <w:sz w:val="20"/>
              </w:rPr>
            </w:pPr>
            <w:r>
              <w:rPr>
                <w:spacing w:val="-5"/>
                <w:sz w:val="20"/>
              </w:rPr>
              <w:t>389</w:t>
            </w:r>
          </w:p>
        </w:tc>
      </w:tr>
      <w:tr>
        <w:trPr>
          <w:trHeight w:val="252" w:hRule="atLeast"/>
        </w:trPr>
        <w:tc>
          <w:tcPr>
            <w:tcW w:w="3722" w:type="dxa"/>
          </w:tcPr>
          <w:p>
            <w:pPr>
              <w:pStyle w:val="TableParagraph"/>
              <w:spacing w:line="225" w:lineRule="exact" w:before="7"/>
              <w:ind w:left="50"/>
              <w:rPr>
                <w:sz w:val="20"/>
              </w:rPr>
            </w:pPr>
            <w:r>
              <w:rPr>
                <w:sz w:val="20"/>
              </w:rPr>
              <w:t>Amounts</w:t>
            </w:r>
            <w:r>
              <w:rPr>
                <w:spacing w:val="-6"/>
                <w:sz w:val="20"/>
              </w:rPr>
              <w:t> </w:t>
            </w:r>
            <w:r>
              <w:rPr>
                <w:sz w:val="20"/>
              </w:rPr>
              <w:t>owed</w:t>
            </w:r>
            <w:r>
              <w:rPr>
                <w:spacing w:val="-5"/>
                <w:sz w:val="20"/>
              </w:rPr>
              <w:t> </w:t>
            </w:r>
            <w:r>
              <w:rPr>
                <w:sz w:val="20"/>
              </w:rPr>
              <w:t>to</w:t>
            </w:r>
            <w:r>
              <w:rPr>
                <w:spacing w:val="-6"/>
                <w:sz w:val="20"/>
              </w:rPr>
              <w:t> </w:t>
            </w:r>
            <w:r>
              <w:rPr>
                <w:sz w:val="20"/>
              </w:rPr>
              <w:t>group</w:t>
            </w:r>
            <w:r>
              <w:rPr>
                <w:spacing w:val="-5"/>
                <w:sz w:val="20"/>
              </w:rPr>
              <w:t> </w:t>
            </w:r>
            <w:r>
              <w:rPr>
                <w:spacing w:val="-2"/>
                <w:sz w:val="20"/>
              </w:rPr>
              <w:t>undertakings</w:t>
            </w:r>
          </w:p>
        </w:tc>
        <w:tc>
          <w:tcPr>
            <w:tcW w:w="1006" w:type="dxa"/>
          </w:tcPr>
          <w:p>
            <w:pPr>
              <w:pStyle w:val="TableParagraph"/>
              <w:spacing w:line="225" w:lineRule="exact" w:before="7"/>
              <w:ind w:right="107"/>
              <w:jc w:val="right"/>
              <w:rPr>
                <w:sz w:val="20"/>
              </w:rPr>
            </w:pPr>
            <w:r>
              <w:rPr>
                <w:spacing w:val="-10"/>
                <w:sz w:val="20"/>
              </w:rPr>
              <w:t>-</w:t>
            </w:r>
          </w:p>
        </w:tc>
        <w:tc>
          <w:tcPr>
            <w:tcW w:w="272" w:type="dxa"/>
          </w:tcPr>
          <w:p>
            <w:pPr>
              <w:pStyle w:val="TableParagraph"/>
              <w:rPr>
                <w:rFonts w:ascii="Times New Roman"/>
                <w:sz w:val="18"/>
              </w:rPr>
            </w:pPr>
          </w:p>
        </w:tc>
        <w:tc>
          <w:tcPr>
            <w:tcW w:w="1006" w:type="dxa"/>
          </w:tcPr>
          <w:p>
            <w:pPr>
              <w:pStyle w:val="TableParagraph"/>
              <w:spacing w:line="225" w:lineRule="exact" w:before="7"/>
              <w:ind w:right="112"/>
              <w:jc w:val="right"/>
              <w:rPr>
                <w:sz w:val="20"/>
              </w:rPr>
            </w:pPr>
            <w:r>
              <w:rPr>
                <w:spacing w:val="-5"/>
                <w:sz w:val="20"/>
              </w:rPr>
              <w:t>81</w:t>
            </w:r>
          </w:p>
        </w:tc>
        <w:tc>
          <w:tcPr>
            <w:tcW w:w="269" w:type="dxa"/>
          </w:tcPr>
          <w:p>
            <w:pPr>
              <w:pStyle w:val="TableParagraph"/>
              <w:rPr>
                <w:rFonts w:ascii="Times New Roman"/>
                <w:sz w:val="18"/>
              </w:rPr>
            </w:pPr>
          </w:p>
        </w:tc>
        <w:tc>
          <w:tcPr>
            <w:tcW w:w="1008" w:type="dxa"/>
          </w:tcPr>
          <w:p>
            <w:pPr>
              <w:pStyle w:val="TableParagraph"/>
              <w:spacing w:line="225" w:lineRule="exact" w:before="7"/>
              <w:ind w:left="-2" w:right="111"/>
              <w:jc w:val="right"/>
              <w:rPr>
                <w:sz w:val="20"/>
              </w:rPr>
            </w:pPr>
            <w:r>
              <w:rPr>
                <w:spacing w:val="-10"/>
                <w:sz w:val="20"/>
              </w:rPr>
              <w:t>-</w:t>
            </w:r>
          </w:p>
        </w:tc>
        <w:tc>
          <w:tcPr>
            <w:tcW w:w="262" w:type="dxa"/>
          </w:tcPr>
          <w:p>
            <w:pPr>
              <w:pStyle w:val="TableParagraph"/>
              <w:rPr>
                <w:rFonts w:ascii="Times New Roman"/>
                <w:sz w:val="18"/>
              </w:rPr>
            </w:pPr>
          </w:p>
        </w:tc>
        <w:tc>
          <w:tcPr>
            <w:tcW w:w="1013" w:type="dxa"/>
          </w:tcPr>
          <w:p>
            <w:pPr>
              <w:pStyle w:val="TableParagraph"/>
              <w:spacing w:line="225" w:lineRule="exact" w:before="7"/>
              <w:ind w:left="-3" w:right="110"/>
              <w:jc w:val="right"/>
              <w:rPr>
                <w:sz w:val="20"/>
              </w:rPr>
            </w:pPr>
            <w:r>
              <w:rPr>
                <w:spacing w:val="-5"/>
                <w:sz w:val="20"/>
              </w:rPr>
              <w:t>325</w:t>
            </w:r>
          </w:p>
        </w:tc>
      </w:tr>
      <w:tr>
        <w:trPr>
          <w:trHeight w:val="253" w:hRule="atLeast"/>
        </w:trPr>
        <w:tc>
          <w:tcPr>
            <w:tcW w:w="3722" w:type="dxa"/>
          </w:tcPr>
          <w:p>
            <w:pPr>
              <w:pStyle w:val="TableParagraph"/>
              <w:spacing w:line="226" w:lineRule="exact" w:before="7"/>
              <w:ind w:left="50"/>
              <w:rPr>
                <w:sz w:val="20"/>
              </w:rPr>
            </w:pPr>
            <w:r>
              <w:rPr>
                <w:sz w:val="20"/>
              </w:rPr>
              <w:t>Other</w:t>
            </w:r>
            <w:r>
              <w:rPr>
                <w:spacing w:val="-6"/>
                <w:sz w:val="20"/>
              </w:rPr>
              <w:t> </w:t>
            </w:r>
            <w:r>
              <w:rPr>
                <w:sz w:val="20"/>
              </w:rPr>
              <w:t>taxation</w:t>
            </w:r>
            <w:r>
              <w:rPr>
                <w:spacing w:val="-5"/>
                <w:sz w:val="20"/>
              </w:rPr>
              <w:t> </w:t>
            </w:r>
            <w:r>
              <w:rPr>
                <w:sz w:val="20"/>
              </w:rPr>
              <w:t>and</w:t>
            </w:r>
            <w:r>
              <w:rPr>
                <w:spacing w:val="-7"/>
                <w:sz w:val="20"/>
              </w:rPr>
              <w:t> </w:t>
            </w:r>
            <w:r>
              <w:rPr>
                <w:sz w:val="20"/>
              </w:rPr>
              <w:t>social</w:t>
            </w:r>
            <w:r>
              <w:rPr>
                <w:spacing w:val="-8"/>
                <w:sz w:val="20"/>
              </w:rPr>
              <w:t> </w:t>
            </w:r>
            <w:r>
              <w:rPr>
                <w:spacing w:val="-2"/>
                <w:sz w:val="20"/>
              </w:rPr>
              <w:t>security</w:t>
            </w:r>
          </w:p>
        </w:tc>
        <w:tc>
          <w:tcPr>
            <w:tcW w:w="1006" w:type="dxa"/>
          </w:tcPr>
          <w:p>
            <w:pPr>
              <w:pStyle w:val="TableParagraph"/>
              <w:spacing w:line="226" w:lineRule="exact" w:before="7"/>
              <w:ind w:right="108"/>
              <w:jc w:val="right"/>
              <w:rPr>
                <w:sz w:val="20"/>
              </w:rPr>
            </w:pPr>
            <w:r>
              <w:rPr>
                <w:spacing w:val="-5"/>
                <w:sz w:val="20"/>
              </w:rPr>
              <w:t>589</w:t>
            </w:r>
          </w:p>
        </w:tc>
        <w:tc>
          <w:tcPr>
            <w:tcW w:w="272" w:type="dxa"/>
          </w:tcPr>
          <w:p>
            <w:pPr>
              <w:pStyle w:val="TableParagraph"/>
              <w:rPr>
                <w:rFonts w:ascii="Times New Roman"/>
                <w:sz w:val="18"/>
              </w:rPr>
            </w:pPr>
          </w:p>
        </w:tc>
        <w:tc>
          <w:tcPr>
            <w:tcW w:w="1006" w:type="dxa"/>
          </w:tcPr>
          <w:p>
            <w:pPr>
              <w:pStyle w:val="TableParagraph"/>
              <w:spacing w:line="226" w:lineRule="exact" w:before="7"/>
              <w:ind w:right="112"/>
              <w:jc w:val="right"/>
              <w:rPr>
                <w:sz w:val="20"/>
              </w:rPr>
            </w:pPr>
            <w:r>
              <w:rPr>
                <w:spacing w:val="-5"/>
                <w:sz w:val="20"/>
              </w:rPr>
              <w:t>511</w:t>
            </w:r>
          </w:p>
        </w:tc>
        <w:tc>
          <w:tcPr>
            <w:tcW w:w="269" w:type="dxa"/>
          </w:tcPr>
          <w:p>
            <w:pPr>
              <w:pStyle w:val="TableParagraph"/>
              <w:rPr>
                <w:rFonts w:ascii="Times New Roman"/>
                <w:sz w:val="18"/>
              </w:rPr>
            </w:pPr>
          </w:p>
        </w:tc>
        <w:tc>
          <w:tcPr>
            <w:tcW w:w="1008" w:type="dxa"/>
          </w:tcPr>
          <w:p>
            <w:pPr>
              <w:pStyle w:val="TableParagraph"/>
              <w:spacing w:line="226" w:lineRule="exact" w:before="7"/>
              <w:ind w:left="-2" w:right="112"/>
              <w:jc w:val="right"/>
              <w:rPr>
                <w:sz w:val="20"/>
              </w:rPr>
            </w:pPr>
            <w:r>
              <w:rPr>
                <w:spacing w:val="-5"/>
                <w:sz w:val="20"/>
              </w:rPr>
              <w:t>290</w:t>
            </w:r>
          </w:p>
        </w:tc>
        <w:tc>
          <w:tcPr>
            <w:tcW w:w="262" w:type="dxa"/>
          </w:tcPr>
          <w:p>
            <w:pPr>
              <w:pStyle w:val="TableParagraph"/>
              <w:rPr>
                <w:rFonts w:ascii="Times New Roman"/>
                <w:sz w:val="18"/>
              </w:rPr>
            </w:pPr>
          </w:p>
        </w:tc>
        <w:tc>
          <w:tcPr>
            <w:tcW w:w="1013" w:type="dxa"/>
          </w:tcPr>
          <w:p>
            <w:pPr>
              <w:pStyle w:val="TableParagraph"/>
              <w:spacing w:line="226" w:lineRule="exact" w:before="7"/>
              <w:ind w:left="-3" w:right="110"/>
              <w:jc w:val="right"/>
              <w:rPr>
                <w:sz w:val="20"/>
              </w:rPr>
            </w:pPr>
            <w:r>
              <w:rPr>
                <w:spacing w:val="-5"/>
                <w:sz w:val="20"/>
              </w:rPr>
              <w:t>220</w:t>
            </w:r>
          </w:p>
        </w:tc>
      </w:tr>
      <w:tr>
        <w:trPr>
          <w:trHeight w:val="253" w:hRule="atLeast"/>
        </w:trPr>
        <w:tc>
          <w:tcPr>
            <w:tcW w:w="3722" w:type="dxa"/>
          </w:tcPr>
          <w:p>
            <w:pPr>
              <w:pStyle w:val="TableParagraph"/>
              <w:spacing w:line="225" w:lineRule="exact" w:before="8"/>
              <w:ind w:left="50"/>
              <w:rPr>
                <w:sz w:val="20"/>
              </w:rPr>
            </w:pPr>
            <w:r>
              <w:rPr>
                <w:sz w:val="20"/>
              </w:rPr>
              <w:t>Other</w:t>
            </w:r>
            <w:r>
              <w:rPr>
                <w:spacing w:val="-9"/>
                <w:sz w:val="20"/>
              </w:rPr>
              <w:t> </w:t>
            </w:r>
            <w:r>
              <w:rPr>
                <w:spacing w:val="-2"/>
                <w:sz w:val="20"/>
              </w:rPr>
              <w:t>creditors</w:t>
            </w:r>
          </w:p>
        </w:tc>
        <w:tc>
          <w:tcPr>
            <w:tcW w:w="1006" w:type="dxa"/>
          </w:tcPr>
          <w:p>
            <w:pPr>
              <w:pStyle w:val="TableParagraph"/>
              <w:spacing w:line="225" w:lineRule="exact" w:before="8"/>
              <w:ind w:right="108"/>
              <w:jc w:val="right"/>
              <w:rPr>
                <w:sz w:val="20"/>
              </w:rPr>
            </w:pPr>
            <w:r>
              <w:rPr>
                <w:spacing w:val="-5"/>
                <w:sz w:val="20"/>
              </w:rPr>
              <w:t>348</w:t>
            </w:r>
          </w:p>
        </w:tc>
        <w:tc>
          <w:tcPr>
            <w:tcW w:w="272" w:type="dxa"/>
          </w:tcPr>
          <w:p>
            <w:pPr>
              <w:pStyle w:val="TableParagraph"/>
              <w:rPr>
                <w:rFonts w:ascii="Times New Roman"/>
                <w:sz w:val="18"/>
              </w:rPr>
            </w:pPr>
          </w:p>
        </w:tc>
        <w:tc>
          <w:tcPr>
            <w:tcW w:w="1006" w:type="dxa"/>
          </w:tcPr>
          <w:p>
            <w:pPr>
              <w:pStyle w:val="TableParagraph"/>
              <w:spacing w:line="225" w:lineRule="exact" w:before="8"/>
              <w:ind w:right="112"/>
              <w:jc w:val="right"/>
              <w:rPr>
                <w:sz w:val="20"/>
              </w:rPr>
            </w:pPr>
            <w:r>
              <w:rPr>
                <w:spacing w:val="-5"/>
                <w:sz w:val="20"/>
              </w:rPr>
              <w:t>343</w:t>
            </w:r>
          </w:p>
        </w:tc>
        <w:tc>
          <w:tcPr>
            <w:tcW w:w="269" w:type="dxa"/>
          </w:tcPr>
          <w:p>
            <w:pPr>
              <w:pStyle w:val="TableParagraph"/>
              <w:rPr>
                <w:rFonts w:ascii="Times New Roman"/>
                <w:sz w:val="18"/>
              </w:rPr>
            </w:pPr>
          </w:p>
        </w:tc>
        <w:tc>
          <w:tcPr>
            <w:tcW w:w="1008" w:type="dxa"/>
          </w:tcPr>
          <w:p>
            <w:pPr>
              <w:pStyle w:val="TableParagraph"/>
              <w:spacing w:line="225" w:lineRule="exact" w:before="8"/>
              <w:ind w:left="-2" w:right="112"/>
              <w:jc w:val="right"/>
              <w:rPr>
                <w:sz w:val="20"/>
              </w:rPr>
            </w:pPr>
            <w:r>
              <w:rPr>
                <w:spacing w:val="-5"/>
                <w:sz w:val="20"/>
              </w:rPr>
              <w:t>327</w:t>
            </w:r>
          </w:p>
        </w:tc>
        <w:tc>
          <w:tcPr>
            <w:tcW w:w="262" w:type="dxa"/>
          </w:tcPr>
          <w:p>
            <w:pPr>
              <w:pStyle w:val="TableParagraph"/>
              <w:rPr>
                <w:rFonts w:ascii="Times New Roman"/>
                <w:sz w:val="18"/>
              </w:rPr>
            </w:pPr>
          </w:p>
        </w:tc>
        <w:tc>
          <w:tcPr>
            <w:tcW w:w="1013" w:type="dxa"/>
          </w:tcPr>
          <w:p>
            <w:pPr>
              <w:pStyle w:val="TableParagraph"/>
              <w:spacing w:line="225" w:lineRule="exact" w:before="8"/>
              <w:ind w:left="-3" w:right="110"/>
              <w:jc w:val="right"/>
              <w:rPr>
                <w:sz w:val="20"/>
              </w:rPr>
            </w:pPr>
            <w:r>
              <w:rPr>
                <w:spacing w:val="-5"/>
                <w:sz w:val="20"/>
              </w:rPr>
              <w:t>312</w:t>
            </w:r>
          </w:p>
        </w:tc>
      </w:tr>
      <w:tr>
        <w:trPr>
          <w:trHeight w:val="253" w:hRule="atLeast"/>
        </w:trPr>
        <w:tc>
          <w:tcPr>
            <w:tcW w:w="3722" w:type="dxa"/>
          </w:tcPr>
          <w:p>
            <w:pPr>
              <w:pStyle w:val="TableParagraph"/>
              <w:spacing w:line="226" w:lineRule="exact" w:before="7"/>
              <w:ind w:left="50"/>
              <w:rPr>
                <w:sz w:val="20"/>
              </w:rPr>
            </w:pPr>
            <w:r>
              <w:rPr>
                <w:sz w:val="20"/>
              </w:rPr>
              <w:t>Accruals</w:t>
            </w:r>
            <w:r>
              <w:rPr>
                <w:spacing w:val="-8"/>
                <w:sz w:val="20"/>
              </w:rPr>
              <w:t> </w:t>
            </w:r>
            <w:r>
              <w:rPr>
                <w:sz w:val="20"/>
              </w:rPr>
              <w:t>and</w:t>
            </w:r>
            <w:r>
              <w:rPr>
                <w:spacing w:val="-8"/>
                <w:sz w:val="20"/>
              </w:rPr>
              <w:t> </w:t>
            </w:r>
            <w:r>
              <w:rPr>
                <w:sz w:val="20"/>
              </w:rPr>
              <w:t>deferred</w:t>
            </w:r>
            <w:r>
              <w:rPr>
                <w:spacing w:val="-7"/>
                <w:sz w:val="20"/>
              </w:rPr>
              <w:t> </w:t>
            </w:r>
            <w:r>
              <w:rPr>
                <w:spacing w:val="-2"/>
                <w:sz w:val="20"/>
              </w:rPr>
              <w:t>income</w:t>
            </w:r>
          </w:p>
        </w:tc>
        <w:tc>
          <w:tcPr>
            <w:tcW w:w="1006" w:type="dxa"/>
          </w:tcPr>
          <w:p>
            <w:pPr>
              <w:pStyle w:val="TableParagraph"/>
              <w:spacing w:line="226" w:lineRule="exact" w:before="7"/>
              <w:ind w:right="108"/>
              <w:jc w:val="right"/>
              <w:rPr>
                <w:sz w:val="20"/>
              </w:rPr>
            </w:pPr>
            <w:r>
              <w:rPr>
                <w:spacing w:val="-2"/>
                <w:sz w:val="20"/>
              </w:rPr>
              <w:t>1,280</w:t>
            </w:r>
          </w:p>
        </w:tc>
        <w:tc>
          <w:tcPr>
            <w:tcW w:w="272" w:type="dxa"/>
          </w:tcPr>
          <w:p>
            <w:pPr>
              <w:pStyle w:val="TableParagraph"/>
              <w:rPr>
                <w:rFonts w:ascii="Times New Roman"/>
                <w:sz w:val="18"/>
              </w:rPr>
            </w:pPr>
          </w:p>
        </w:tc>
        <w:tc>
          <w:tcPr>
            <w:tcW w:w="1006" w:type="dxa"/>
          </w:tcPr>
          <w:p>
            <w:pPr>
              <w:pStyle w:val="TableParagraph"/>
              <w:spacing w:line="226" w:lineRule="exact" w:before="7"/>
              <w:ind w:right="110"/>
              <w:jc w:val="right"/>
              <w:rPr>
                <w:sz w:val="20"/>
              </w:rPr>
            </w:pPr>
            <w:r>
              <w:rPr>
                <w:spacing w:val="-2"/>
                <w:sz w:val="20"/>
              </w:rPr>
              <w:t>1,276</w:t>
            </w:r>
          </w:p>
        </w:tc>
        <w:tc>
          <w:tcPr>
            <w:tcW w:w="269" w:type="dxa"/>
          </w:tcPr>
          <w:p>
            <w:pPr>
              <w:pStyle w:val="TableParagraph"/>
              <w:rPr>
                <w:rFonts w:ascii="Times New Roman"/>
                <w:sz w:val="18"/>
              </w:rPr>
            </w:pPr>
          </w:p>
        </w:tc>
        <w:tc>
          <w:tcPr>
            <w:tcW w:w="1008" w:type="dxa"/>
          </w:tcPr>
          <w:p>
            <w:pPr>
              <w:pStyle w:val="TableParagraph"/>
              <w:spacing w:line="226" w:lineRule="exact" w:before="7"/>
              <w:ind w:left="-2" w:right="112"/>
              <w:jc w:val="right"/>
              <w:rPr>
                <w:sz w:val="20"/>
              </w:rPr>
            </w:pPr>
            <w:r>
              <w:rPr>
                <w:spacing w:val="-2"/>
                <w:sz w:val="20"/>
              </w:rPr>
              <w:t>3,123</w:t>
            </w:r>
          </w:p>
        </w:tc>
        <w:tc>
          <w:tcPr>
            <w:tcW w:w="262" w:type="dxa"/>
          </w:tcPr>
          <w:p>
            <w:pPr>
              <w:pStyle w:val="TableParagraph"/>
              <w:rPr>
                <w:rFonts w:ascii="Times New Roman"/>
                <w:sz w:val="18"/>
              </w:rPr>
            </w:pPr>
          </w:p>
        </w:tc>
        <w:tc>
          <w:tcPr>
            <w:tcW w:w="1013" w:type="dxa"/>
          </w:tcPr>
          <w:p>
            <w:pPr>
              <w:pStyle w:val="TableParagraph"/>
              <w:spacing w:line="226" w:lineRule="exact" w:before="7"/>
              <w:ind w:left="-3" w:right="110"/>
              <w:jc w:val="right"/>
              <w:rPr>
                <w:sz w:val="20"/>
              </w:rPr>
            </w:pPr>
            <w:r>
              <w:rPr>
                <w:spacing w:val="-2"/>
                <w:sz w:val="20"/>
              </w:rPr>
              <w:t>2,814</w:t>
            </w:r>
          </w:p>
        </w:tc>
      </w:tr>
      <w:tr>
        <w:trPr>
          <w:trHeight w:val="253" w:hRule="atLeast"/>
        </w:trPr>
        <w:tc>
          <w:tcPr>
            <w:tcW w:w="3722" w:type="dxa"/>
          </w:tcPr>
          <w:p>
            <w:pPr>
              <w:pStyle w:val="TableParagraph"/>
              <w:spacing w:line="225" w:lineRule="exact" w:before="8"/>
              <w:ind w:left="50"/>
              <w:rPr>
                <w:sz w:val="20"/>
              </w:rPr>
            </w:pPr>
            <w:r>
              <w:rPr>
                <w:sz w:val="20"/>
              </w:rPr>
              <w:t>Government</w:t>
            </w:r>
            <w:r>
              <w:rPr>
                <w:spacing w:val="-10"/>
                <w:sz w:val="20"/>
              </w:rPr>
              <w:t> </w:t>
            </w:r>
            <w:r>
              <w:rPr>
                <w:sz w:val="20"/>
              </w:rPr>
              <w:t>capital</w:t>
            </w:r>
            <w:r>
              <w:rPr>
                <w:spacing w:val="-10"/>
                <w:sz w:val="20"/>
              </w:rPr>
              <w:t> </w:t>
            </w:r>
            <w:r>
              <w:rPr>
                <w:spacing w:val="-2"/>
                <w:sz w:val="20"/>
              </w:rPr>
              <w:t>grants</w:t>
            </w:r>
          </w:p>
        </w:tc>
        <w:tc>
          <w:tcPr>
            <w:tcW w:w="1006" w:type="dxa"/>
          </w:tcPr>
          <w:p>
            <w:pPr>
              <w:pStyle w:val="TableParagraph"/>
              <w:spacing w:line="225" w:lineRule="exact" w:before="8"/>
              <w:ind w:right="108"/>
              <w:jc w:val="right"/>
              <w:rPr>
                <w:sz w:val="20"/>
              </w:rPr>
            </w:pPr>
            <w:r>
              <w:rPr>
                <w:spacing w:val="-5"/>
                <w:sz w:val="20"/>
              </w:rPr>
              <w:t>926</w:t>
            </w:r>
          </w:p>
        </w:tc>
        <w:tc>
          <w:tcPr>
            <w:tcW w:w="272" w:type="dxa"/>
          </w:tcPr>
          <w:p>
            <w:pPr>
              <w:pStyle w:val="TableParagraph"/>
              <w:rPr>
                <w:rFonts w:ascii="Times New Roman"/>
                <w:sz w:val="18"/>
              </w:rPr>
            </w:pPr>
          </w:p>
        </w:tc>
        <w:tc>
          <w:tcPr>
            <w:tcW w:w="1006" w:type="dxa"/>
          </w:tcPr>
          <w:p>
            <w:pPr>
              <w:pStyle w:val="TableParagraph"/>
              <w:spacing w:line="225" w:lineRule="exact" w:before="8"/>
              <w:ind w:right="112"/>
              <w:jc w:val="right"/>
              <w:rPr>
                <w:sz w:val="20"/>
              </w:rPr>
            </w:pPr>
            <w:r>
              <w:rPr>
                <w:spacing w:val="-5"/>
                <w:sz w:val="20"/>
              </w:rPr>
              <w:t>926</w:t>
            </w:r>
          </w:p>
        </w:tc>
        <w:tc>
          <w:tcPr>
            <w:tcW w:w="269" w:type="dxa"/>
          </w:tcPr>
          <w:p>
            <w:pPr>
              <w:pStyle w:val="TableParagraph"/>
              <w:rPr>
                <w:rFonts w:ascii="Times New Roman"/>
                <w:sz w:val="18"/>
              </w:rPr>
            </w:pPr>
          </w:p>
        </w:tc>
        <w:tc>
          <w:tcPr>
            <w:tcW w:w="1008" w:type="dxa"/>
          </w:tcPr>
          <w:p>
            <w:pPr>
              <w:pStyle w:val="TableParagraph"/>
              <w:spacing w:line="225" w:lineRule="exact" w:before="8"/>
              <w:ind w:left="-2" w:right="112"/>
              <w:jc w:val="right"/>
              <w:rPr>
                <w:sz w:val="20"/>
              </w:rPr>
            </w:pPr>
            <w:r>
              <w:rPr>
                <w:spacing w:val="-5"/>
                <w:sz w:val="20"/>
              </w:rPr>
              <w:t>864</w:t>
            </w:r>
          </w:p>
        </w:tc>
        <w:tc>
          <w:tcPr>
            <w:tcW w:w="262" w:type="dxa"/>
          </w:tcPr>
          <w:p>
            <w:pPr>
              <w:pStyle w:val="TableParagraph"/>
              <w:rPr>
                <w:rFonts w:ascii="Times New Roman"/>
                <w:sz w:val="18"/>
              </w:rPr>
            </w:pPr>
          </w:p>
        </w:tc>
        <w:tc>
          <w:tcPr>
            <w:tcW w:w="1013" w:type="dxa"/>
          </w:tcPr>
          <w:p>
            <w:pPr>
              <w:pStyle w:val="TableParagraph"/>
              <w:spacing w:line="225" w:lineRule="exact" w:before="8"/>
              <w:ind w:left="-3" w:right="110"/>
              <w:jc w:val="right"/>
              <w:rPr>
                <w:sz w:val="20"/>
              </w:rPr>
            </w:pPr>
            <w:r>
              <w:rPr>
                <w:spacing w:val="-5"/>
                <w:sz w:val="20"/>
              </w:rPr>
              <w:t>864</w:t>
            </w:r>
          </w:p>
        </w:tc>
      </w:tr>
      <w:tr>
        <w:trPr>
          <w:trHeight w:val="262" w:hRule="atLeast"/>
        </w:trPr>
        <w:tc>
          <w:tcPr>
            <w:tcW w:w="3722" w:type="dxa"/>
          </w:tcPr>
          <w:p>
            <w:pPr>
              <w:pStyle w:val="TableParagraph"/>
              <w:spacing w:before="7"/>
              <w:ind w:left="50"/>
              <w:rPr>
                <w:sz w:val="20"/>
              </w:rPr>
            </w:pPr>
            <w:r>
              <w:rPr>
                <w:sz w:val="20"/>
              </w:rPr>
              <w:t>Amounts</w:t>
            </w:r>
            <w:r>
              <w:rPr>
                <w:spacing w:val="-7"/>
                <w:sz w:val="20"/>
              </w:rPr>
              <w:t> </w:t>
            </w:r>
            <w:r>
              <w:rPr>
                <w:sz w:val="20"/>
              </w:rPr>
              <w:t>owed</w:t>
            </w:r>
            <w:r>
              <w:rPr>
                <w:spacing w:val="-5"/>
                <w:sz w:val="20"/>
              </w:rPr>
              <w:t> </w:t>
            </w:r>
            <w:r>
              <w:rPr>
                <w:sz w:val="20"/>
              </w:rPr>
              <w:t>to</w:t>
            </w:r>
            <w:r>
              <w:rPr>
                <w:spacing w:val="-7"/>
                <w:sz w:val="20"/>
              </w:rPr>
              <w:t> </w:t>
            </w:r>
            <w:r>
              <w:rPr>
                <w:sz w:val="20"/>
              </w:rPr>
              <w:t>Funding</w:t>
            </w:r>
            <w:r>
              <w:rPr>
                <w:spacing w:val="-5"/>
                <w:sz w:val="20"/>
              </w:rPr>
              <w:t> </w:t>
            </w:r>
            <w:r>
              <w:rPr>
                <w:spacing w:val="-4"/>
                <w:sz w:val="20"/>
              </w:rPr>
              <w:t>Body</w:t>
            </w:r>
          </w:p>
        </w:tc>
        <w:tc>
          <w:tcPr>
            <w:tcW w:w="1006" w:type="dxa"/>
            <w:tcBorders>
              <w:bottom w:val="single" w:sz="4" w:space="0" w:color="000000"/>
            </w:tcBorders>
          </w:tcPr>
          <w:p>
            <w:pPr>
              <w:pStyle w:val="TableParagraph"/>
              <w:spacing w:before="7"/>
              <w:ind w:right="108"/>
              <w:jc w:val="right"/>
              <w:rPr>
                <w:sz w:val="20"/>
              </w:rPr>
            </w:pPr>
            <w:r>
              <w:rPr>
                <w:spacing w:val="-2"/>
                <w:sz w:val="20"/>
              </w:rPr>
              <w:t>4,858</w:t>
            </w:r>
          </w:p>
        </w:tc>
        <w:tc>
          <w:tcPr>
            <w:tcW w:w="272" w:type="dxa"/>
          </w:tcPr>
          <w:p>
            <w:pPr>
              <w:pStyle w:val="TableParagraph"/>
              <w:rPr>
                <w:rFonts w:ascii="Times New Roman"/>
                <w:sz w:val="18"/>
              </w:rPr>
            </w:pPr>
          </w:p>
        </w:tc>
        <w:tc>
          <w:tcPr>
            <w:tcW w:w="1006" w:type="dxa"/>
            <w:tcBorders>
              <w:bottom w:val="single" w:sz="4" w:space="0" w:color="000000"/>
            </w:tcBorders>
          </w:tcPr>
          <w:p>
            <w:pPr>
              <w:pStyle w:val="TableParagraph"/>
              <w:spacing w:before="7"/>
              <w:ind w:right="112"/>
              <w:jc w:val="right"/>
              <w:rPr>
                <w:sz w:val="20"/>
              </w:rPr>
            </w:pPr>
            <w:r>
              <w:rPr>
                <w:spacing w:val="-2"/>
                <w:sz w:val="20"/>
              </w:rPr>
              <w:t>4,858</w:t>
            </w:r>
          </w:p>
        </w:tc>
        <w:tc>
          <w:tcPr>
            <w:tcW w:w="269" w:type="dxa"/>
          </w:tcPr>
          <w:p>
            <w:pPr>
              <w:pStyle w:val="TableParagraph"/>
              <w:rPr>
                <w:rFonts w:ascii="Times New Roman"/>
                <w:sz w:val="18"/>
              </w:rPr>
            </w:pPr>
          </w:p>
        </w:tc>
        <w:tc>
          <w:tcPr>
            <w:tcW w:w="1008" w:type="dxa"/>
            <w:tcBorders>
              <w:bottom w:val="single" w:sz="4" w:space="0" w:color="000000"/>
            </w:tcBorders>
          </w:tcPr>
          <w:p>
            <w:pPr>
              <w:pStyle w:val="TableParagraph"/>
              <w:spacing w:before="7"/>
              <w:ind w:left="-2" w:right="112"/>
              <w:jc w:val="right"/>
              <w:rPr>
                <w:sz w:val="20"/>
              </w:rPr>
            </w:pPr>
            <w:r>
              <w:rPr>
                <w:spacing w:val="-2"/>
                <w:sz w:val="20"/>
              </w:rPr>
              <w:t>4,639</w:t>
            </w:r>
          </w:p>
        </w:tc>
        <w:tc>
          <w:tcPr>
            <w:tcW w:w="262" w:type="dxa"/>
          </w:tcPr>
          <w:p>
            <w:pPr>
              <w:pStyle w:val="TableParagraph"/>
              <w:rPr>
                <w:rFonts w:ascii="Times New Roman"/>
                <w:sz w:val="18"/>
              </w:rPr>
            </w:pPr>
          </w:p>
        </w:tc>
        <w:tc>
          <w:tcPr>
            <w:tcW w:w="1013" w:type="dxa"/>
            <w:tcBorders>
              <w:bottom w:val="single" w:sz="4" w:space="0" w:color="000000"/>
            </w:tcBorders>
          </w:tcPr>
          <w:p>
            <w:pPr>
              <w:pStyle w:val="TableParagraph"/>
              <w:spacing w:before="7"/>
              <w:ind w:left="-3" w:right="110"/>
              <w:jc w:val="right"/>
              <w:rPr>
                <w:sz w:val="20"/>
              </w:rPr>
            </w:pPr>
            <w:r>
              <w:rPr>
                <w:spacing w:val="-2"/>
                <w:sz w:val="20"/>
              </w:rPr>
              <w:t>4,639</w:t>
            </w:r>
          </w:p>
        </w:tc>
      </w:tr>
      <w:tr>
        <w:trPr>
          <w:trHeight w:val="457" w:hRule="atLeast"/>
        </w:trPr>
        <w:tc>
          <w:tcPr>
            <w:tcW w:w="3722" w:type="dxa"/>
          </w:tcPr>
          <w:p>
            <w:pPr>
              <w:pStyle w:val="TableParagraph"/>
              <w:spacing w:line="210" w:lineRule="exact" w:before="227"/>
              <w:ind w:left="50"/>
              <w:rPr>
                <w:b/>
                <w:sz w:val="20"/>
              </w:rPr>
            </w:pPr>
            <w:r>
              <w:rPr>
                <w:b/>
                <w:spacing w:val="-2"/>
                <w:sz w:val="20"/>
              </w:rPr>
              <w:t>Total</w:t>
            </w:r>
          </w:p>
        </w:tc>
        <w:tc>
          <w:tcPr>
            <w:tcW w:w="1006" w:type="dxa"/>
            <w:tcBorders>
              <w:top w:val="single" w:sz="4" w:space="0" w:color="000000"/>
            </w:tcBorders>
          </w:tcPr>
          <w:p>
            <w:pPr>
              <w:pStyle w:val="TableParagraph"/>
              <w:tabs>
                <w:tab w:pos="395" w:val="left" w:leader="none"/>
              </w:tabs>
              <w:spacing w:line="210" w:lineRule="exact" w:before="227"/>
              <w:jc w:val="right"/>
              <w:rPr>
                <w:sz w:val="20"/>
              </w:rPr>
            </w:pPr>
            <w:r>
              <w:rPr>
                <w:sz w:val="20"/>
                <w:u w:val="double"/>
              </w:rPr>
              <w:tab/>
            </w:r>
            <w:r>
              <w:rPr>
                <w:spacing w:val="-2"/>
                <w:sz w:val="20"/>
                <w:u w:val="double"/>
              </w:rPr>
              <w:t>8,486</w:t>
            </w:r>
            <w:r>
              <w:rPr>
                <w:spacing w:val="80"/>
                <w:sz w:val="20"/>
                <w:u w:val="double"/>
              </w:rPr>
              <w:t> </w:t>
            </w:r>
          </w:p>
        </w:tc>
        <w:tc>
          <w:tcPr>
            <w:tcW w:w="272" w:type="dxa"/>
          </w:tcPr>
          <w:p>
            <w:pPr>
              <w:pStyle w:val="TableParagraph"/>
              <w:rPr>
                <w:rFonts w:ascii="Times New Roman"/>
                <w:sz w:val="20"/>
              </w:rPr>
            </w:pPr>
          </w:p>
        </w:tc>
        <w:tc>
          <w:tcPr>
            <w:tcW w:w="1006" w:type="dxa"/>
            <w:tcBorders>
              <w:top w:val="single" w:sz="4" w:space="0" w:color="000000"/>
            </w:tcBorders>
          </w:tcPr>
          <w:p>
            <w:pPr>
              <w:pStyle w:val="TableParagraph"/>
              <w:tabs>
                <w:tab w:pos="392" w:val="left" w:leader="none"/>
              </w:tabs>
              <w:spacing w:line="210" w:lineRule="exact" w:before="227"/>
              <w:ind w:left="-2" w:right="1"/>
              <w:jc w:val="right"/>
              <w:rPr>
                <w:sz w:val="20"/>
              </w:rPr>
            </w:pPr>
            <w:r>
              <w:rPr>
                <w:sz w:val="20"/>
                <w:u w:val="double"/>
              </w:rPr>
              <w:tab/>
            </w:r>
            <w:r>
              <w:rPr>
                <w:spacing w:val="-2"/>
                <w:sz w:val="20"/>
                <w:u w:val="double"/>
              </w:rPr>
              <w:t>8,480</w:t>
            </w:r>
            <w:r>
              <w:rPr>
                <w:spacing w:val="80"/>
                <w:sz w:val="20"/>
                <w:u w:val="double"/>
              </w:rPr>
              <w:t> </w:t>
            </w:r>
          </w:p>
        </w:tc>
        <w:tc>
          <w:tcPr>
            <w:tcW w:w="269" w:type="dxa"/>
          </w:tcPr>
          <w:p>
            <w:pPr>
              <w:pStyle w:val="TableParagraph"/>
              <w:rPr>
                <w:rFonts w:ascii="Times New Roman"/>
                <w:sz w:val="20"/>
              </w:rPr>
            </w:pPr>
          </w:p>
        </w:tc>
        <w:tc>
          <w:tcPr>
            <w:tcW w:w="1008" w:type="dxa"/>
            <w:tcBorders>
              <w:top w:val="single" w:sz="4" w:space="0" w:color="000000"/>
            </w:tcBorders>
          </w:tcPr>
          <w:p>
            <w:pPr>
              <w:pStyle w:val="TableParagraph"/>
              <w:tabs>
                <w:tab w:pos="394" w:val="left" w:leader="none"/>
              </w:tabs>
              <w:spacing w:line="210" w:lineRule="exact" w:before="227"/>
              <w:ind w:left="-2" w:right="1"/>
              <w:jc w:val="right"/>
              <w:rPr>
                <w:sz w:val="20"/>
              </w:rPr>
            </w:pPr>
            <w:r>
              <w:rPr>
                <w:sz w:val="20"/>
                <w:u w:val="double"/>
              </w:rPr>
              <w:tab/>
            </w:r>
            <w:r>
              <w:rPr>
                <w:spacing w:val="-2"/>
                <w:sz w:val="20"/>
                <w:u w:val="double"/>
              </w:rPr>
              <w:t>9,647</w:t>
            </w:r>
            <w:r>
              <w:rPr>
                <w:spacing w:val="80"/>
                <w:sz w:val="20"/>
                <w:u w:val="double"/>
              </w:rPr>
              <w:t> </w:t>
            </w:r>
          </w:p>
        </w:tc>
        <w:tc>
          <w:tcPr>
            <w:tcW w:w="262" w:type="dxa"/>
          </w:tcPr>
          <w:p>
            <w:pPr>
              <w:pStyle w:val="TableParagraph"/>
              <w:rPr>
                <w:rFonts w:ascii="Times New Roman"/>
                <w:sz w:val="20"/>
              </w:rPr>
            </w:pPr>
          </w:p>
        </w:tc>
        <w:tc>
          <w:tcPr>
            <w:tcW w:w="1013" w:type="dxa"/>
            <w:tcBorders>
              <w:top w:val="single" w:sz="4" w:space="0" w:color="000000"/>
            </w:tcBorders>
          </w:tcPr>
          <w:p>
            <w:pPr>
              <w:pStyle w:val="TableParagraph"/>
              <w:tabs>
                <w:tab w:pos="400" w:val="left" w:leader="none"/>
              </w:tabs>
              <w:spacing w:line="210" w:lineRule="exact" w:before="227"/>
              <w:ind w:left="-3"/>
              <w:jc w:val="right"/>
              <w:rPr>
                <w:sz w:val="20"/>
              </w:rPr>
            </w:pPr>
            <w:r>
              <w:rPr>
                <w:sz w:val="20"/>
                <w:u w:val="double"/>
              </w:rPr>
              <w:tab/>
            </w:r>
            <w:r>
              <w:rPr>
                <w:spacing w:val="-2"/>
                <w:sz w:val="20"/>
                <w:u w:val="double"/>
              </w:rPr>
              <w:t>9,563</w:t>
            </w:r>
            <w:r>
              <w:rPr>
                <w:spacing w:val="80"/>
                <w:sz w:val="20"/>
                <w:u w:val="double"/>
              </w:rPr>
              <w:t> </w:t>
            </w:r>
          </w:p>
        </w:tc>
      </w:tr>
    </w:tbl>
    <w:p>
      <w:pPr>
        <w:pStyle w:val="TableParagraph"/>
        <w:spacing w:after="0" w:line="210" w:lineRule="exact"/>
        <w:jc w:val="right"/>
        <w:rPr>
          <w:sz w:val="20"/>
        </w:rPr>
        <w:sectPr>
          <w:type w:val="continuous"/>
          <w:pgSz w:w="11910" w:h="16850"/>
          <w:pgMar w:header="727" w:footer="702" w:top="1920" w:bottom="280" w:left="566" w:right="708"/>
        </w:sectPr>
      </w:pPr>
    </w:p>
    <w:p>
      <w:pPr>
        <w:pStyle w:val="BodyText"/>
        <w:rPr>
          <w:b/>
          <w:sz w:val="22"/>
        </w:rPr>
      </w:pPr>
    </w:p>
    <w:p>
      <w:pPr>
        <w:pStyle w:val="BodyText"/>
        <w:rPr>
          <w:b/>
          <w:sz w:val="22"/>
        </w:rPr>
      </w:pPr>
    </w:p>
    <w:p>
      <w:pPr>
        <w:pStyle w:val="BodyText"/>
        <w:spacing w:before="189"/>
        <w:rPr>
          <w:b/>
          <w:sz w:val="22"/>
        </w:rPr>
      </w:pPr>
    </w:p>
    <w:p>
      <w:pPr>
        <w:pStyle w:val="ListParagraph"/>
        <w:numPr>
          <w:ilvl w:val="0"/>
          <w:numId w:val="16"/>
        </w:numPr>
        <w:tabs>
          <w:tab w:pos="850" w:val="left" w:leader="none"/>
        </w:tabs>
        <w:spacing w:line="240" w:lineRule="auto" w:before="0" w:after="0"/>
        <w:ind w:left="850" w:right="0" w:hanging="425"/>
        <w:jc w:val="left"/>
        <w:rPr>
          <w:b/>
          <w:sz w:val="22"/>
        </w:rPr>
      </w:pPr>
      <w:r>
        <w:rPr>
          <w:b/>
          <w:sz w:val="22"/>
        </w:rPr>
        <w:t>Creditors</w:t>
      </w:r>
      <w:r>
        <w:rPr>
          <w:b/>
          <w:spacing w:val="-8"/>
          <w:sz w:val="22"/>
        </w:rPr>
        <w:t> </w:t>
      </w:r>
      <w:r>
        <w:rPr>
          <w:b/>
          <w:sz w:val="22"/>
        </w:rPr>
        <w:t>-</w:t>
      </w:r>
      <w:r>
        <w:rPr>
          <w:b/>
          <w:spacing w:val="-4"/>
          <w:sz w:val="22"/>
        </w:rPr>
        <w:t> </w:t>
      </w:r>
      <w:r>
        <w:rPr>
          <w:b/>
          <w:sz w:val="22"/>
        </w:rPr>
        <w:t>amounts</w:t>
      </w:r>
      <w:r>
        <w:rPr>
          <w:b/>
          <w:spacing w:val="-5"/>
          <w:sz w:val="22"/>
        </w:rPr>
        <w:t> </w:t>
      </w:r>
      <w:r>
        <w:rPr>
          <w:b/>
          <w:sz w:val="22"/>
        </w:rPr>
        <w:t>falling</w:t>
      </w:r>
      <w:r>
        <w:rPr>
          <w:b/>
          <w:spacing w:val="-5"/>
          <w:sz w:val="22"/>
        </w:rPr>
        <w:t> </w:t>
      </w:r>
      <w:r>
        <w:rPr>
          <w:b/>
          <w:sz w:val="22"/>
        </w:rPr>
        <w:t>due</w:t>
      </w:r>
      <w:r>
        <w:rPr>
          <w:b/>
          <w:spacing w:val="-4"/>
          <w:sz w:val="22"/>
        </w:rPr>
        <w:t> </w:t>
      </w:r>
      <w:r>
        <w:rPr>
          <w:b/>
          <w:sz w:val="22"/>
        </w:rPr>
        <w:t>after</w:t>
      </w:r>
      <w:r>
        <w:rPr>
          <w:b/>
          <w:spacing w:val="-4"/>
          <w:sz w:val="22"/>
        </w:rPr>
        <w:t> </w:t>
      </w:r>
      <w:r>
        <w:rPr>
          <w:b/>
          <w:sz w:val="22"/>
        </w:rPr>
        <w:t>more</w:t>
      </w:r>
      <w:r>
        <w:rPr>
          <w:b/>
          <w:spacing w:val="-5"/>
          <w:sz w:val="22"/>
        </w:rPr>
        <w:t> </w:t>
      </w:r>
      <w:r>
        <w:rPr>
          <w:b/>
          <w:sz w:val="22"/>
        </w:rPr>
        <w:t>than</w:t>
      </w:r>
      <w:r>
        <w:rPr>
          <w:b/>
          <w:spacing w:val="-3"/>
          <w:sz w:val="22"/>
        </w:rPr>
        <w:t> </w:t>
      </w:r>
      <w:r>
        <w:rPr>
          <w:b/>
          <w:sz w:val="22"/>
        </w:rPr>
        <w:t>one</w:t>
      </w:r>
      <w:r>
        <w:rPr>
          <w:b/>
          <w:spacing w:val="-3"/>
          <w:sz w:val="22"/>
        </w:rPr>
        <w:t> </w:t>
      </w:r>
      <w:r>
        <w:rPr>
          <w:b/>
          <w:spacing w:val="-4"/>
          <w:sz w:val="22"/>
        </w:rPr>
        <w:t>year</w:t>
      </w:r>
    </w:p>
    <w:p>
      <w:pPr>
        <w:pStyle w:val="BodyText"/>
        <w:spacing w:before="1" w:after="1"/>
        <w:rPr>
          <w:b/>
          <w:sz w:val="11"/>
        </w:rPr>
      </w:pPr>
    </w:p>
    <w:tbl>
      <w:tblPr>
        <w:tblW w:w="0" w:type="auto"/>
        <w:jc w:val="left"/>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55"/>
        <w:gridCol w:w="1530"/>
        <w:gridCol w:w="1303"/>
        <w:gridCol w:w="1273"/>
        <w:gridCol w:w="1196"/>
      </w:tblGrid>
      <w:tr>
        <w:trPr>
          <w:trHeight w:val="225" w:hRule="atLeast"/>
        </w:trPr>
        <w:tc>
          <w:tcPr>
            <w:tcW w:w="4155" w:type="dxa"/>
            <w:vMerge w:val="restart"/>
          </w:tcPr>
          <w:p>
            <w:pPr>
              <w:pStyle w:val="TableParagraph"/>
              <w:rPr>
                <w:rFonts w:ascii="Times New Roman"/>
                <w:sz w:val="20"/>
              </w:rPr>
            </w:pPr>
          </w:p>
        </w:tc>
        <w:tc>
          <w:tcPr>
            <w:tcW w:w="1530" w:type="dxa"/>
          </w:tcPr>
          <w:p>
            <w:pPr>
              <w:pStyle w:val="TableParagraph"/>
              <w:spacing w:line="205" w:lineRule="exact"/>
              <w:ind w:right="216"/>
              <w:jc w:val="right"/>
              <w:rPr>
                <w:b/>
                <w:sz w:val="20"/>
              </w:rPr>
            </w:pPr>
            <w:r>
              <w:rPr>
                <w:b/>
                <w:spacing w:val="-4"/>
                <w:sz w:val="20"/>
              </w:rPr>
              <w:t>Group</w:t>
            </w:r>
          </w:p>
        </w:tc>
        <w:tc>
          <w:tcPr>
            <w:tcW w:w="1303" w:type="dxa"/>
          </w:tcPr>
          <w:p>
            <w:pPr>
              <w:pStyle w:val="TableParagraph"/>
              <w:spacing w:line="205" w:lineRule="exact"/>
              <w:ind w:left="333"/>
              <w:rPr>
                <w:b/>
                <w:sz w:val="20"/>
              </w:rPr>
            </w:pPr>
            <w:r>
              <w:rPr>
                <w:b/>
                <w:spacing w:val="-2"/>
                <w:sz w:val="20"/>
              </w:rPr>
              <w:t>College</w:t>
            </w:r>
          </w:p>
        </w:tc>
        <w:tc>
          <w:tcPr>
            <w:tcW w:w="1273" w:type="dxa"/>
          </w:tcPr>
          <w:p>
            <w:pPr>
              <w:pStyle w:val="TableParagraph"/>
              <w:spacing w:line="205" w:lineRule="exact"/>
              <w:ind w:left="430"/>
              <w:rPr>
                <w:b/>
                <w:sz w:val="20"/>
              </w:rPr>
            </w:pPr>
            <w:r>
              <w:rPr>
                <w:b/>
                <w:spacing w:val="-4"/>
                <w:sz w:val="20"/>
              </w:rPr>
              <w:t>Group</w:t>
            </w:r>
          </w:p>
        </w:tc>
        <w:tc>
          <w:tcPr>
            <w:tcW w:w="1196" w:type="dxa"/>
          </w:tcPr>
          <w:p>
            <w:pPr>
              <w:pStyle w:val="TableParagraph"/>
              <w:spacing w:line="205" w:lineRule="exact"/>
              <w:ind w:left="311"/>
              <w:rPr>
                <w:b/>
                <w:sz w:val="20"/>
              </w:rPr>
            </w:pPr>
            <w:r>
              <w:rPr>
                <w:b/>
                <w:spacing w:val="-2"/>
                <w:sz w:val="20"/>
              </w:rPr>
              <w:t>College</w:t>
            </w:r>
          </w:p>
        </w:tc>
      </w:tr>
      <w:tr>
        <w:trPr>
          <w:trHeight w:val="574" w:hRule="atLeast"/>
        </w:trPr>
        <w:tc>
          <w:tcPr>
            <w:tcW w:w="4155" w:type="dxa"/>
            <w:vMerge/>
            <w:tcBorders>
              <w:top w:val="nil"/>
            </w:tcBorders>
          </w:tcPr>
          <w:p>
            <w:pPr>
              <w:rPr>
                <w:sz w:val="2"/>
                <w:szCs w:val="2"/>
              </w:rPr>
            </w:pPr>
          </w:p>
        </w:tc>
        <w:tc>
          <w:tcPr>
            <w:tcW w:w="1530" w:type="dxa"/>
          </w:tcPr>
          <w:p>
            <w:pPr>
              <w:pStyle w:val="TableParagraph"/>
              <w:spacing w:line="225" w:lineRule="exact"/>
              <w:ind w:left="867"/>
              <w:rPr>
                <w:b/>
                <w:sz w:val="20"/>
              </w:rPr>
            </w:pPr>
            <w:r>
              <w:rPr>
                <w:b/>
                <w:spacing w:val="-4"/>
                <w:sz w:val="20"/>
              </w:rPr>
              <w:t>2023</w:t>
            </w:r>
          </w:p>
          <w:p>
            <w:pPr>
              <w:pStyle w:val="TableParagraph"/>
              <w:ind w:left="810"/>
              <w:rPr>
                <w:b/>
                <w:sz w:val="20"/>
              </w:rPr>
            </w:pPr>
            <w:r>
              <w:rPr>
                <w:b/>
                <w:spacing w:val="-2"/>
                <w:sz w:val="20"/>
              </w:rPr>
              <w:t>£’000</w:t>
            </w:r>
          </w:p>
        </w:tc>
        <w:tc>
          <w:tcPr>
            <w:tcW w:w="1303" w:type="dxa"/>
          </w:tcPr>
          <w:p>
            <w:pPr>
              <w:pStyle w:val="TableParagraph"/>
              <w:spacing w:line="225" w:lineRule="exact"/>
              <w:ind w:left="612"/>
              <w:rPr>
                <w:b/>
                <w:sz w:val="20"/>
              </w:rPr>
            </w:pPr>
            <w:r>
              <w:rPr>
                <w:b/>
                <w:spacing w:val="-4"/>
                <w:sz w:val="20"/>
              </w:rPr>
              <w:t>2023</w:t>
            </w:r>
          </w:p>
          <w:p>
            <w:pPr>
              <w:pStyle w:val="TableParagraph"/>
              <w:ind w:left="554"/>
              <w:rPr>
                <w:b/>
                <w:sz w:val="20"/>
              </w:rPr>
            </w:pPr>
            <w:r>
              <w:rPr>
                <w:b/>
                <w:spacing w:val="-2"/>
                <w:sz w:val="20"/>
              </w:rPr>
              <w:t>£’000</w:t>
            </w:r>
          </w:p>
        </w:tc>
        <w:tc>
          <w:tcPr>
            <w:tcW w:w="1273" w:type="dxa"/>
          </w:tcPr>
          <w:p>
            <w:pPr>
              <w:pStyle w:val="TableParagraph"/>
              <w:spacing w:line="225" w:lineRule="exact"/>
              <w:ind w:left="586"/>
              <w:rPr>
                <w:b/>
                <w:sz w:val="20"/>
              </w:rPr>
            </w:pPr>
            <w:r>
              <w:rPr>
                <w:b/>
                <w:spacing w:val="-4"/>
                <w:sz w:val="20"/>
              </w:rPr>
              <w:t>2022</w:t>
            </w:r>
          </w:p>
          <w:p>
            <w:pPr>
              <w:pStyle w:val="TableParagraph"/>
              <w:ind w:left="528"/>
              <w:rPr>
                <w:b/>
                <w:sz w:val="20"/>
              </w:rPr>
            </w:pPr>
            <w:r>
              <w:rPr>
                <w:b/>
                <w:spacing w:val="-2"/>
                <w:sz w:val="20"/>
              </w:rPr>
              <w:t>£’000</w:t>
            </w:r>
          </w:p>
        </w:tc>
        <w:tc>
          <w:tcPr>
            <w:tcW w:w="1196" w:type="dxa"/>
          </w:tcPr>
          <w:p>
            <w:pPr>
              <w:pStyle w:val="TableParagraph"/>
              <w:spacing w:line="225" w:lineRule="exact"/>
              <w:ind w:left="589"/>
              <w:rPr>
                <w:b/>
                <w:sz w:val="20"/>
              </w:rPr>
            </w:pPr>
            <w:r>
              <w:rPr>
                <w:b/>
                <w:spacing w:val="-4"/>
                <w:sz w:val="20"/>
              </w:rPr>
              <w:t>2022</w:t>
            </w:r>
          </w:p>
          <w:p>
            <w:pPr>
              <w:pStyle w:val="TableParagraph"/>
              <w:ind w:left="532"/>
              <w:rPr>
                <w:b/>
                <w:sz w:val="20"/>
              </w:rPr>
            </w:pPr>
            <w:r>
              <w:rPr>
                <w:b/>
                <w:spacing w:val="-2"/>
                <w:sz w:val="20"/>
              </w:rPr>
              <w:t>£’000</w:t>
            </w:r>
          </w:p>
        </w:tc>
      </w:tr>
      <w:tr>
        <w:trPr>
          <w:trHeight w:val="465" w:hRule="atLeast"/>
        </w:trPr>
        <w:tc>
          <w:tcPr>
            <w:tcW w:w="4155" w:type="dxa"/>
          </w:tcPr>
          <w:p>
            <w:pPr>
              <w:pStyle w:val="TableParagraph"/>
              <w:spacing w:before="112"/>
              <w:ind w:left="1034"/>
              <w:rPr>
                <w:sz w:val="20"/>
              </w:rPr>
            </w:pPr>
            <w:r>
              <w:rPr>
                <w:sz w:val="20"/>
              </w:rPr>
              <w:t>Government</w:t>
            </w:r>
            <w:r>
              <w:rPr>
                <w:spacing w:val="-10"/>
                <w:sz w:val="20"/>
              </w:rPr>
              <w:t> </w:t>
            </w:r>
            <w:r>
              <w:rPr>
                <w:sz w:val="20"/>
              </w:rPr>
              <w:t>capital</w:t>
            </w:r>
            <w:r>
              <w:rPr>
                <w:spacing w:val="-10"/>
                <w:sz w:val="20"/>
              </w:rPr>
              <w:t> </w:t>
            </w:r>
            <w:r>
              <w:rPr>
                <w:spacing w:val="-2"/>
                <w:sz w:val="20"/>
              </w:rPr>
              <w:t>grants</w:t>
            </w:r>
          </w:p>
        </w:tc>
        <w:tc>
          <w:tcPr>
            <w:tcW w:w="1530" w:type="dxa"/>
          </w:tcPr>
          <w:p>
            <w:pPr>
              <w:pStyle w:val="TableParagraph"/>
              <w:tabs>
                <w:tab w:pos="381" w:val="left" w:leader="none"/>
              </w:tabs>
              <w:spacing w:before="112"/>
              <w:ind w:right="108"/>
              <w:jc w:val="right"/>
              <w:rPr>
                <w:sz w:val="20"/>
              </w:rPr>
            </w:pPr>
            <w:r>
              <w:rPr>
                <w:sz w:val="20"/>
                <w:u w:val="single"/>
              </w:rPr>
              <w:tab/>
            </w:r>
            <w:r>
              <w:rPr>
                <w:spacing w:val="-2"/>
                <w:sz w:val="20"/>
                <w:u w:val="single"/>
              </w:rPr>
              <w:t>6,115</w:t>
            </w:r>
            <w:r>
              <w:rPr>
                <w:spacing w:val="80"/>
                <w:sz w:val="20"/>
                <w:u w:val="single"/>
              </w:rPr>
              <w:t> </w:t>
            </w:r>
          </w:p>
        </w:tc>
        <w:tc>
          <w:tcPr>
            <w:tcW w:w="1303" w:type="dxa"/>
          </w:tcPr>
          <w:p>
            <w:pPr>
              <w:pStyle w:val="TableParagraph"/>
              <w:tabs>
                <w:tab w:pos="379" w:val="left" w:leader="none"/>
              </w:tabs>
              <w:spacing w:before="112"/>
              <w:ind w:right="134"/>
              <w:jc w:val="right"/>
              <w:rPr>
                <w:sz w:val="20"/>
              </w:rPr>
            </w:pPr>
            <w:r>
              <w:rPr>
                <w:sz w:val="20"/>
                <w:u w:val="single"/>
              </w:rPr>
              <w:tab/>
            </w:r>
            <w:r>
              <w:rPr>
                <w:spacing w:val="-2"/>
                <w:sz w:val="20"/>
                <w:u w:val="single"/>
              </w:rPr>
              <w:t>6,115</w:t>
            </w:r>
            <w:r>
              <w:rPr>
                <w:spacing w:val="80"/>
                <w:sz w:val="20"/>
                <w:u w:val="single"/>
              </w:rPr>
              <w:t> </w:t>
            </w:r>
          </w:p>
        </w:tc>
        <w:tc>
          <w:tcPr>
            <w:tcW w:w="1273" w:type="dxa"/>
          </w:tcPr>
          <w:p>
            <w:pPr>
              <w:pStyle w:val="TableParagraph"/>
              <w:tabs>
                <w:tab w:pos="381" w:val="left" w:leader="none"/>
              </w:tabs>
              <w:spacing w:before="112"/>
              <w:ind w:right="130"/>
              <w:jc w:val="right"/>
              <w:rPr>
                <w:sz w:val="20"/>
              </w:rPr>
            </w:pPr>
            <w:r>
              <w:rPr>
                <w:sz w:val="20"/>
                <w:u w:val="single"/>
              </w:rPr>
              <w:tab/>
            </w:r>
            <w:r>
              <w:rPr>
                <w:spacing w:val="-2"/>
                <w:sz w:val="20"/>
                <w:u w:val="single"/>
              </w:rPr>
              <w:t>5,273</w:t>
            </w:r>
            <w:r>
              <w:rPr>
                <w:spacing w:val="80"/>
                <w:sz w:val="20"/>
                <w:u w:val="single"/>
              </w:rPr>
              <w:t> </w:t>
            </w:r>
          </w:p>
        </w:tc>
        <w:tc>
          <w:tcPr>
            <w:tcW w:w="1196" w:type="dxa"/>
          </w:tcPr>
          <w:p>
            <w:pPr>
              <w:pStyle w:val="TableParagraph"/>
              <w:tabs>
                <w:tab w:pos="388" w:val="left" w:leader="none"/>
              </w:tabs>
              <w:spacing w:before="112"/>
              <w:ind w:right="52"/>
              <w:jc w:val="right"/>
              <w:rPr>
                <w:sz w:val="20"/>
              </w:rPr>
            </w:pPr>
            <w:r>
              <w:rPr>
                <w:sz w:val="20"/>
                <w:u w:val="single"/>
              </w:rPr>
              <w:tab/>
            </w:r>
            <w:r>
              <w:rPr>
                <w:spacing w:val="-2"/>
                <w:sz w:val="20"/>
                <w:u w:val="single"/>
              </w:rPr>
              <w:t>5,273</w:t>
            </w:r>
            <w:r>
              <w:rPr>
                <w:spacing w:val="80"/>
                <w:sz w:val="20"/>
                <w:u w:val="single"/>
              </w:rPr>
              <w:t> </w:t>
            </w:r>
          </w:p>
        </w:tc>
      </w:tr>
      <w:tr>
        <w:trPr>
          <w:trHeight w:val="551" w:hRule="atLeast"/>
        </w:trPr>
        <w:tc>
          <w:tcPr>
            <w:tcW w:w="4155" w:type="dxa"/>
          </w:tcPr>
          <w:p>
            <w:pPr>
              <w:pStyle w:val="TableParagraph"/>
              <w:spacing w:before="116"/>
              <w:ind w:left="1034"/>
              <w:rPr>
                <w:b/>
                <w:sz w:val="20"/>
              </w:rPr>
            </w:pPr>
            <w:r>
              <w:rPr>
                <w:b/>
                <w:spacing w:val="-2"/>
                <w:sz w:val="20"/>
              </w:rPr>
              <w:t>Total</w:t>
            </w:r>
          </w:p>
        </w:tc>
        <w:tc>
          <w:tcPr>
            <w:tcW w:w="1530" w:type="dxa"/>
          </w:tcPr>
          <w:p>
            <w:pPr>
              <w:pStyle w:val="TableParagraph"/>
              <w:tabs>
                <w:tab w:pos="395" w:val="left" w:leader="none"/>
              </w:tabs>
              <w:spacing w:before="116"/>
              <w:ind w:right="108"/>
              <w:jc w:val="right"/>
              <w:rPr>
                <w:sz w:val="20"/>
              </w:rPr>
            </w:pPr>
            <w:r>
              <w:rPr>
                <w:sz w:val="20"/>
                <w:u w:val="double"/>
              </w:rPr>
              <w:tab/>
            </w:r>
            <w:r>
              <w:rPr>
                <w:spacing w:val="-2"/>
                <w:sz w:val="20"/>
                <w:u w:val="double"/>
              </w:rPr>
              <w:t>6,115</w:t>
            </w:r>
            <w:r>
              <w:rPr>
                <w:spacing w:val="80"/>
                <w:sz w:val="20"/>
                <w:u w:val="double"/>
              </w:rPr>
              <w:t> </w:t>
            </w:r>
          </w:p>
        </w:tc>
        <w:tc>
          <w:tcPr>
            <w:tcW w:w="1303" w:type="dxa"/>
          </w:tcPr>
          <w:p>
            <w:pPr>
              <w:pStyle w:val="TableParagraph"/>
              <w:tabs>
                <w:tab w:pos="393" w:val="left" w:leader="none"/>
              </w:tabs>
              <w:spacing w:before="116"/>
              <w:ind w:right="134"/>
              <w:jc w:val="right"/>
              <w:rPr>
                <w:sz w:val="20"/>
              </w:rPr>
            </w:pPr>
            <w:r>
              <w:rPr>
                <w:sz w:val="20"/>
                <w:u w:val="double"/>
              </w:rPr>
              <w:tab/>
            </w:r>
            <w:r>
              <w:rPr>
                <w:spacing w:val="-2"/>
                <w:sz w:val="20"/>
                <w:u w:val="double"/>
              </w:rPr>
              <w:t>6,115</w:t>
            </w:r>
            <w:r>
              <w:rPr>
                <w:spacing w:val="80"/>
                <w:sz w:val="20"/>
                <w:u w:val="double"/>
              </w:rPr>
              <w:t> </w:t>
            </w:r>
          </w:p>
        </w:tc>
        <w:tc>
          <w:tcPr>
            <w:tcW w:w="1273" w:type="dxa"/>
          </w:tcPr>
          <w:p>
            <w:pPr>
              <w:pStyle w:val="TableParagraph"/>
              <w:tabs>
                <w:tab w:pos="395" w:val="left" w:leader="none"/>
              </w:tabs>
              <w:spacing w:before="116"/>
              <w:ind w:right="130"/>
              <w:jc w:val="right"/>
              <w:rPr>
                <w:sz w:val="20"/>
              </w:rPr>
            </w:pPr>
            <w:r>
              <w:rPr>
                <w:sz w:val="20"/>
                <w:u w:val="double"/>
              </w:rPr>
              <w:tab/>
            </w:r>
            <w:r>
              <w:rPr>
                <w:spacing w:val="-2"/>
                <w:sz w:val="20"/>
                <w:u w:val="double"/>
              </w:rPr>
              <w:t>5,273</w:t>
            </w:r>
            <w:r>
              <w:rPr>
                <w:spacing w:val="80"/>
                <w:sz w:val="20"/>
                <w:u w:val="double"/>
              </w:rPr>
              <w:t> </w:t>
            </w:r>
          </w:p>
        </w:tc>
        <w:tc>
          <w:tcPr>
            <w:tcW w:w="1196" w:type="dxa"/>
          </w:tcPr>
          <w:p>
            <w:pPr>
              <w:pStyle w:val="TableParagraph"/>
              <w:tabs>
                <w:tab w:pos="403" w:val="left" w:leader="none"/>
              </w:tabs>
              <w:spacing w:before="116"/>
              <w:ind w:right="52"/>
              <w:jc w:val="right"/>
              <w:rPr>
                <w:sz w:val="20"/>
              </w:rPr>
            </w:pPr>
            <w:r>
              <w:rPr>
                <w:sz w:val="20"/>
                <w:u w:val="double"/>
              </w:rPr>
              <w:tab/>
            </w:r>
            <w:r>
              <w:rPr>
                <w:spacing w:val="-2"/>
                <w:sz w:val="20"/>
                <w:u w:val="double"/>
              </w:rPr>
              <w:t>5,273</w:t>
            </w:r>
            <w:r>
              <w:rPr>
                <w:spacing w:val="80"/>
                <w:sz w:val="20"/>
                <w:u w:val="double"/>
              </w:rPr>
              <w:t> </w:t>
            </w:r>
          </w:p>
        </w:tc>
      </w:tr>
      <w:tr>
        <w:trPr>
          <w:trHeight w:val="514" w:hRule="atLeast"/>
        </w:trPr>
        <w:tc>
          <w:tcPr>
            <w:tcW w:w="4155" w:type="dxa"/>
          </w:tcPr>
          <w:p>
            <w:pPr>
              <w:pStyle w:val="TableParagraph"/>
              <w:spacing w:before="199"/>
              <w:ind w:left="50"/>
              <w:rPr>
                <w:b/>
                <w:sz w:val="22"/>
              </w:rPr>
            </w:pPr>
            <w:r>
              <w:rPr>
                <w:b/>
                <w:sz w:val="22"/>
              </w:rPr>
              <w:t>16.</w:t>
            </w:r>
            <w:r>
              <w:rPr>
                <w:b/>
                <w:spacing w:val="54"/>
                <w:sz w:val="22"/>
              </w:rPr>
              <w:t> </w:t>
            </w:r>
            <w:r>
              <w:rPr>
                <w:b/>
                <w:sz w:val="22"/>
              </w:rPr>
              <w:t>Provisions</w:t>
            </w:r>
            <w:r>
              <w:rPr>
                <w:b/>
                <w:spacing w:val="-4"/>
                <w:sz w:val="22"/>
              </w:rPr>
              <w:t> </w:t>
            </w:r>
            <w:r>
              <w:rPr>
                <w:b/>
                <w:sz w:val="22"/>
              </w:rPr>
              <w:t>for</w:t>
            </w:r>
            <w:r>
              <w:rPr>
                <w:b/>
                <w:spacing w:val="-3"/>
                <w:sz w:val="22"/>
              </w:rPr>
              <w:t> </w:t>
            </w:r>
            <w:r>
              <w:rPr>
                <w:b/>
                <w:spacing w:val="-2"/>
                <w:sz w:val="22"/>
              </w:rPr>
              <w:t>liabilities</w:t>
            </w:r>
          </w:p>
        </w:tc>
        <w:tc>
          <w:tcPr>
            <w:tcW w:w="1530" w:type="dxa"/>
          </w:tcPr>
          <w:p>
            <w:pPr>
              <w:pStyle w:val="TableParagraph"/>
              <w:rPr>
                <w:rFonts w:ascii="Times New Roman"/>
                <w:sz w:val="20"/>
              </w:rPr>
            </w:pPr>
          </w:p>
        </w:tc>
        <w:tc>
          <w:tcPr>
            <w:tcW w:w="1303" w:type="dxa"/>
          </w:tcPr>
          <w:p>
            <w:pPr>
              <w:pStyle w:val="TableParagraph"/>
              <w:rPr>
                <w:rFonts w:ascii="Times New Roman"/>
                <w:sz w:val="20"/>
              </w:rPr>
            </w:pPr>
          </w:p>
        </w:tc>
        <w:tc>
          <w:tcPr>
            <w:tcW w:w="1273" w:type="dxa"/>
          </w:tcPr>
          <w:p>
            <w:pPr>
              <w:pStyle w:val="TableParagraph"/>
              <w:rPr>
                <w:rFonts w:ascii="Times New Roman"/>
                <w:sz w:val="20"/>
              </w:rPr>
            </w:pPr>
          </w:p>
        </w:tc>
        <w:tc>
          <w:tcPr>
            <w:tcW w:w="1196" w:type="dxa"/>
          </w:tcPr>
          <w:p>
            <w:pPr>
              <w:pStyle w:val="TableParagraph"/>
              <w:rPr>
                <w:rFonts w:ascii="Times New Roman"/>
                <w:sz w:val="20"/>
              </w:rPr>
            </w:pPr>
          </w:p>
        </w:tc>
      </w:tr>
      <w:tr>
        <w:trPr>
          <w:trHeight w:val="978" w:hRule="atLeast"/>
        </w:trPr>
        <w:tc>
          <w:tcPr>
            <w:tcW w:w="4155" w:type="dxa"/>
          </w:tcPr>
          <w:p>
            <w:pPr>
              <w:pStyle w:val="TableParagraph"/>
              <w:rPr>
                <w:b/>
                <w:sz w:val="20"/>
              </w:rPr>
            </w:pPr>
          </w:p>
          <w:p>
            <w:pPr>
              <w:pStyle w:val="TableParagraph"/>
              <w:rPr>
                <w:b/>
                <w:sz w:val="20"/>
              </w:rPr>
            </w:pPr>
          </w:p>
          <w:p>
            <w:pPr>
              <w:pStyle w:val="TableParagraph"/>
              <w:spacing w:before="54"/>
              <w:rPr>
                <w:b/>
                <w:sz w:val="20"/>
              </w:rPr>
            </w:pPr>
          </w:p>
          <w:p>
            <w:pPr>
              <w:pStyle w:val="TableParagraph"/>
              <w:spacing w:line="214" w:lineRule="exact"/>
              <w:ind w:left="1010"/>
              <w:rPr>
                <w:b/>
                <w:sz w:val="20"/>
              </w:rPr>
            </w:pPr>
            <w:r>
              <w:rPr>
                <w:b/>
                <w:sz w:val="20"/>
              </w:rPr>
              <w:t>Group</w:t>
            </w:r>
            <w:r>
              <w:rPr>
                <w:b/>
                <w:spacing w:val="-6"/>
                <w:sz w:val="20"/>
              </w:rPr>
              <w:t> </w:t>
            </w:r>
            <w:r>
              <w:rPr>
                <w:b/>
                <w:sz w:val="20"/>
              </w:rPr>
              <w:t>and</w:t>
            </w:r>
            <w:r>
              <w:rPr>
                <w:b/>
                <w:spacing w:val="-5"/>
                <w:sz w:val="20"/>
              </w:rPr>
              <w:t> </w:t>
            </w:r>
            <w:r>
              <w:rPr>
                <w:b/>
                <w:spacing w:val="-2"/>
                <w:sz w:val="20"/>
              </w:rPr>
              <w:t>College</w:t>
            </w:r>
          </w:p>
        </w:tc>
        <w:tc>
          <w:tcPr>
            <w:tcW w:w="1530" w:type="dxa"/>
          </w:tcPr>
          <w:p>
            <w:pPr>
              <w:pStyle w:val="TableParagraph"/>
              <w:rPr>
                <w:rFonts w:ascii="Times New Roman"/>
                <w:sz w:val="20"/>
              </w:rPr>
            </w:pPr>
          </w:p>
        </w:tc>
        <w:tc>
          <w:tcPr>
            <w:tcW w:w="1303" w:type="dxa"/>
          </w:tcPr>
          <w:p>
            <w:pPr>
              <w:pStyle w:val="TableParagraph"/>
              <w:spacing w:before="55"/>
              <w:ind w:left="285" w:right="238" w:hanging="176"/>
              <w:jc w:val="right"/>
              <w:rPr>
                <w:b/>
                <w:sz w:val="20"/>
              </w:rPr>
            </w:pPr>
            <w:r>
              <w:rPr>
                <w:b/>
                <w:spacing w:val="-2"/>
                <w:sz w:val="20"/>
              </w:rPr>
              <w:t>Enhanced Pension</w:t>
            </w:r>
          </w:p>
          <w:p>
            <w:pPr>
              <w:pStyle w:val="TableParagraph"/>
              <w:spacing w:line="228" w:lineRule="exact"/>
              <w:ind w:right="239"/>
              <w:jc w:val="right"/>
              <w:rPr>
                <w:b/>
                <w:sz w:val="20"/>
              </w:rPr>
            </w:pPr>
            <w:r>
              <w:rPr>
                <w:b/>
                <w:spacing w:val="-2"/>
                <w:sz w:val="20"/>
              </w:rPr>
              <w:t>£’000</w:t>
            </w:r>
          </w:p>
        </w:tc>
        <w:tc>
          <w:tcPr>
            <w:tcW w:w="1273" w:type="dxa"/>
          </w:tcPr>
          <w:p>
            <w:pPr>
              <w:pStyle w:val="TableParagraph"/>
              <w:spacing w:before="55"/>
              <w:ind w:left="502"/>
              <w:rPr>
                <w:b/>
                <w:sz w:val="20"/>
              </w:rPr>
            </w:pPr>
            <w:r>
              <w:rPr>
                <w:b/>
                <w:spacing w:val="-2"/>
                <w:sz w:val="20"/>
              </w:rPr>
              <w:t>Other</w:t>
            </w:r>
          </w:p>
          <w:p>
            <w:pPr>
              <w:pStyle w:val="TableParagraph"/>
              <w:spacing w:before="229"/>
              <w:ind w:left="533"/>
              <w:rPr>
                <w:b/>
                <w:sz w:val="20"/>
              </w:rPr>
            </w:pPr>
            <w:r>
              <w:rPr>
                <w:b/>
                <w:spacing w:val="-2"/>
                <w:sz w:val="20"/>
              </w:rPr>
              <w:t>£’000</w:t>
            </w:r>
          </w:p>
        </w:tc>
        <w:tc>
          <w:tcPr>
            <w:tcW w:w="1196" w:type="dxa"/>
          </w:tcPr>
          <w:p>
            <w:pPr>
              <w:pStyle w:val="TableParagraph"/>
              <w:spacing w:before="55"/>
              <w:ind w:left="561"/>
              <w:rPr>
                <w:b/>
                <w:sz w:val="20"/>
              </w:rPr>
            </w:pPr>
            <w:r>
              <w:rPr>
                <w:b/>
                <w:spacing w:val="-2"/>
                <w:sz w:val="20"/>
              </w:rPr>
              <w:t>Total</w:t>
            </w:r>
          </w:p>
          <w:p>
            <w:pPr>
              <w:pStyle w:val="TableParagraph"/>
              <w:spacing w:before="229"/>
              <w:ind w:left="537"/>
              <w:rPr>
                <w:b/>
                <w:sz w:val="20"/>
              </w:rPr>
            </w:pPr>
            <w:r>
              <w:rPr>
                <w:b/>
                <w:spacing w:val="-2"/>
                <w:sz w:val="20"/>
              </w:rPr>
              <w:t>£’000</w:t>
            </w:r>
          </w:p>
        </w:tc>
      </w:tr>
      <w:tr>
        <w:trPr>
          <w:trHeight w:val="226" w:hRule="atLeast"/>
        </w:trPr>
        <w:tc>
          <w:tcPr>
            <w:tcW w:w="4155" w:type="dxa"/>
          </w:tcPr>
          <w:p>
            <w:pPr>
              <w:pStyle w:val="TableParagraph"/>
              <w:spacing w:line="206" w:lineRule="exact"/>
              <w:ind w:left="1010"/>
              <w:rPr>
                <w:sz w:val="20"/>
              </w:rPr>
            </w:pPr>
            <w:r>
              <w:rPr>
                <w:sz w:val="20"/>
              </w:rPr>
              <w:t>At</w:t>
            </w:r>
            <w:r>
              <w:rPr>
                <w:spacing w:val="-5"/>
                <w:sz w:val="20"/>
              </w:rPr>
              <w:t> </w:t>
            </w:r>
            <w:r>
              <w:rPr>
                <w:sz w:val="20"/>
              </w:rPr>
              <w:t>1</w:t>
            </w:r>
            <w:r>
              <w:rPr>
                <w:spacing w:val="-2"/>
                <w:sz w:val="20"/>
              </w:rPr>
              <w:t> </w:t>
            </w:r>
            <w:r>
              <w:rPr>
                <w:sz w:val="20"/>
              </w:rPr>
              <w:t>August</w:t>
            </w:r>
            <w:r>
              <w:rPr>
                <w:spacing w:val="-5"/>
                <w:sz w:val="20"/>
              </w:rPr>
              <w:t> </w:t>
            </w:r>
            <w:r>
              <w:rPr>
                <w:spacing w:val="-4"/>
                <w:sz w:val="20"/>
              </w:rPr>
              <w:t>2022</w:t>
            </w:r>
          </w:p>
        </w:tc>
        <w:tc>
          <w:tcPr>
            <w:tcW w:w="1530" w:type="dxa"/>
          </w:tcPr>
          <w:p>
            <w:pPr>
              <w:pStyle w:val="TableParagraph"/>
              <w:rPr>
                <w:rFonts w:ascii="Times New Roman"/>
                <w:sz w:val="16"/>
              </w:rPr>
            </w:pPr>
          </w:p>
        </w:tc>
        <w:tc>
          <w:tcPr>
            <w:tcW w:w="1303" w:type="dxa"/>
          </w:tcPr>
          <w:p>
            <w:pPr>
              <w:pStyle w:val="TableParagraph"/>
              <w:spacing w:line="206" w:lineRule="exact"/>
              <w:ind w:right="240"/>
              <w:jc w:val="right"/>
              <w:rPr>
                <w:sz w:val="20"/>
              </w:rPr>
            </w:pPr>
            <w:r>
              <w:rPr>
                <w:spacing w:val="-5"/>
                <w:sz w:val="20"/>
              </w:rPr>
              <w:t>461</w:t>
            </w:r>
          </w:p>
        </w:tc>
        <w:tc>
          <w:tcPr>
            <w:tcW w:w="1273" w:type="dxa"/>
          </w:tcPr>
          <w:p>
            <w:pPr>
              <w:pStyle w:val="TableParagraph"/>
              <w:spacing w:line="206" w:lineRule="exact"/>
              <w:ind w:right="238"/>
              <w:jc w:val="right"/>
              <w:rPr>
                <w:sz w:val="20"/>
              </w:rPr>
            </w:pPr>
            <w:r>
              <w:rPr>
                <w:spacing w:val="-5"/>
                <w:sz w:val="20"/>
              </w:rPr>
              <w:t>69</w:t>
            </w:r>
          </w:p>
        </w:tc>
        <w:tc>
          <w:tcPr>
            <w:tcW w:w="1196" w:type="dxa"/>
          </w:tcPr>
          <w:p>
            <w:pPr>
              <w:pStyle w:val="TableParagraph"/>
              <w:spacing w:line="206" w:lineRule="exact"/>
              <w:ind w:right="157"/>
              <w:jc w:val="right"/>
              <w:rPr>
                <w:sz w:val="20"/>
              </w:rPr>
            </w:pPr>
            <w:r>
              <w:rPr>
                <w:spacing w:val="-5"/>
                <w:sz w:val="20"/>
              </w:rPr>
              <w:t>530</w:t>
            </w:r>
          </w:p>
        </w:tc>
      </w:tr>
      <w:tr>
        <w:trPr>
          <w:trHeight w:val="704" w:hRule="atLeast"/>
        </w:trPr>
        <w:tc>
          <w:tcPr>
            <w:tcW w:w="4155" w:type="dxa"/>
          </w:tcPr>
          <w:p>
            <w:pPr>
              <w:pStyle w:val="TableParagraph"/>
              <w:spacing w:line="223" w:lineRule="exact"/>
              <w:ind w:left="1010"/>
              <w:rPr>
                <w:sz w:val="20"/>
              </w:rPr>
            </w:pPr>
            <w:r>
              <w:rPr>
                <w:sz w:val="20"/>
              </w:rPr>
              <w:t>Amounts</w:t>
            </w:r>
            <w:r>
              <w:rPr>
                <w:spacing w:val="-11"/>
                <w:sz w:val="20"/>
              </w:rPr>
              <w:t> </w:t>
            </w:r>
            <w:r>
              <w:rPr>
                <w:spacing w:val="-2"/>
                <w:sz w:val="20"/>
              </w:rPr>
              <w:t>utilised</w:t>
            </w:r>
          </w:p>
          <w:p>
            <w:pPr>
              <w:pStyle w:val="TableParagraph"/>
              <w:spacing w:line="230" w:lineRule="atLeast"/>
              <w:ind w:left="1010" w:right="141"/>
              <w:rPr>
                <w:sz w:val="20"/>
              </w:rPr>
            </w:pPr>
            <w:r>
              <w:rPr>
                <w:sz w:val="20"/>
              </w:rPr>
              <w:t>Additions</w:t>
            </w:r>
            <w:r>
              <w:rPr>
                <w:spacing w:val="-6"/>
                <w:sz w:val="20"/>
              </w:rPr>
              <w:t> </w:t>
            </w:r>
            <w:r>
              <w:rPr>
                <w:sz w:val="20"/>
              </w:rPr>
              <w:t>in</w:t>
            </w:r>
            <w:r>
              <w:rPr>
                <w:spacing w:val="-10"/>
                <w:sz w:val="20"/>
              </w:rPr>
              <w:t> </w:t>
            </w:r>
            <w:r>
              <w:rPr>
                <w:sz w:val="20"/>
              </w:rPr>
              <w:t>the</w:t>
            </w:r>
            <w:r>
              <w:rPr>
                <w:spacing w:val="-10"/>
                <w:sz w:val="20"/>
              </w:rPr>
              <w:t> </w:t>
            </w:r>
            <w:r>
              <w:rPr>
                <w:sz w:val="20"/>
              </w:rPr>
              <w:t>year</w:t>
            </w:r>
            <w:r>
              <w:rPr>
                <w:spacing w:val="-9"/>
                <w:sz w:val="20"/>
              </w:rPr>
              <w:t> </w:t>
            </w:r>
            <w:r>
              <w:rPr>
                <w:sz w:val="20"/>
              </w:rPr>
              <w:t>to</w:t>
            </w:r>
            <w:r>
              <w:rPr>
                <w:spacing w:val="-10"/>
                <w:sz w:val="20"/>
              </w:rPr>
              <w:t> </w:t>
            </w:r>
            <w:r>
              <w:rPr>
                <w:sz w:val="20"/>
              </w:rPr>
              <w:t>income and expenditure account</w:t>
            </w:r>
          </w:p>
        </w:tc>
        <w:tc>
          <w:tcPr>
            <w:tcW w:w="2833" w:type="dxa"/>
            <w:gridSpan w:val="2"/>
          </w:tcPr>
          <w:p>
            <w:pPr>
              <w:pStyle w:val="TableParagraph"/>
              <w:spacing w:line="223" w:lineRule="exact"/>
              <w:ind w:right="183"/>
              <w:jc w:val="right"/>
              <w:rPr>
                <w:sz w:val="20"/>
              </w:rPr>
            </w:pPr>
            <w:r>
              <w:rPr>
                <w:spacing w:val="-4"/>
                <w:sz w:val="20"/>
              </w:rPr>
              <w:t>(43)</w:t>
            </w:r>
          </w:p>
          <w:p>
            <w:pPr>
              <w:pStyle w:val="TableParagraph"/>
              <w:rPr>
                <w:b/>
                <w:sz w:val="20"/>
              </w:rPr>
            </w:pPr>
          </w:p>
          <w:p>
            <w:pPr>
              <w:pStyle w:val="TableParagraph"/>
              <w:tabs>
                <w:tab w:pos="1058" w:val="left" w:leader="none"/>
              </w:tabs>
              <w:spacing w:line="223" w:lineRule="exact" w:before="1"/>
              <w:ind w:right="129"/>
              <w:jc w:val="right"/>
              <w:rPr>
                <w:sz w:val="20"/>
              </w:rPr>
            </w:pPr>
            <w:r>
              <w:rPr>
                <w:sz w:val="20"/>
                <w:u w:val="single"/>
              </w:rPr>
              <w:tab/>
            </w:r>
            <w:r>
              <w:rPr>
                <w:spacing w:val="-10"/>
                <w:sz w:val="20"/>
                <w:u w:val="single"/>
              </w:rPr>
              <w:t>8</w:t>
            </w:r>
            <w:r>
              <w:rPr>
                <w:spacing w:val="80"/>
                <w:sz w:val="20"/>
                <w:u w:val="single"/>
              </w:rPr>
              <w:t> </w:t>
            </w:r>
          </w:p>
        </w:tc>
        <w:tc>
          <w:tcPr>
            <w:tcW w:w="1273" w:type="dxa"/>
          </w:tcPr>
          <w:p>
            <w:pPr>
              <w:pStyle w:val="TableParagraph"/>
              <w:spacing w:line="223" w:lineRule="exact"/>
              <w:ind w:right="179"/>
              <w:jc w:val="right"/>
              <w:rPr>
                <w:sz w:val="20"/>
              </w:rPr>
            </w:pPr>
            <w:r>
              <w:rPr>
                <w:spacing w:val="-5"/>
                <w:sz w:val="20"/>
              </w:rPr>
              <w:t>(4)</w:t>
            </w:r>
          </w:p>
          <w:p>
            <w:pPr>
              <w:pStyle w:val="TableParagraph"/>
              <w:rPr>
                <w:b/>
                <w:sz w:val="20"/>
              </w:rPr>
            </w:pPr>
          </w:p>
          <w:p>
            <w:pPr>
              <w:pStyle w:val="TableParagraph"/>
              <w:tabs>
                <w:tab w:pos="815" w:val="left" w:leader="none"/>
              </w:tabs>
              <w:spacing w:line="223" w:lineRule="exact" w:before="1"/>
              <w:ind w:right="125"/>
              <w:jc w:val="right"/>
              <w:rPr>
                <w:sz w:val="20"/>
              </w:rPr>
            </w:pPr>
            <w:r>
              <w:rPr>
                <w:sz w:val="20"/>
                <w:u w:val="single"/>
              </w:rPr>
              <w:tab/>
            </w:r>
            <w:r>
              <w:rPr>
                <w:spacing w:val="-10"/>
                <w:sz w:val="20"/>
                <w:u w:val="single"/>
              </w:rPr>
              <w:t>-</w:t>
            </w:r>
            <w:r>
              <w:rPr>
                <w:spacing w:val="80"/>
                <w:sz w:val="20"/>
                <w:u w:val="single"/>
              </w:rPr>
              <w:t> </w:t>
            </w:r>
          </w:p>
        </w:tc>
        <w:tc>
          <w:tcPr>
            <w:tcW w:w="1196" w:type="dxa"/>
          </w:tcPr>
          <w:p>
            <w:pPr>
              <w:pStyle w:val="TableParagraph"/>
              <w:spacing w:line="223" w:lineRule="exact"/>
              <w:ind w:right="98"/>
              <w:jc w:val="right"/>
              <w:rPr>
                <w:sz w:val="20"/>
              </w:rPr>
            </w:pPr>
            <w:r>
              <w:rPr>
                <w:spacing w:val="-4"/>
                <w:sz w:val="20"/>
              </w:rPr>
              <w:t>(47)</w:t>
            </w:r>
          </w:p>
          <w:p>
            <w:pPr>
              <w:pStyle w:val="TableParagraph"/>
              <w:rPr>
                <w:b/>
                <w:sz w:val="20"/>
              </w:rPr>
            </w:pPr>
          </w:p>
          <w:p>
            <w:pPr>
              <w:pStyle w:val="TableParagraph"/>
              <w:tabs>
                <w:tab w:pos="772" w:val="left" w:leader="none"/>
              </w:tabs>
              <w:spacing w:line="223" w:lineRule="exact" w:before="1"/>
              <w:ind w:right="47"/>
              <w:jc w:val="right"/>
              <w:rPr>
                <w:sz w:val="20"/>
              </w:rPr>
            </w:pPr>
            <w:r>
              <w:rPr>
                <w:sz w:val="20"/>
                <w:u w:val="single"/>
              </w:rPr>
              <w:tab/>
            </w:r>
            <w:r>
              <w:rPr>
                <w:spacing w:val="-10"/>
                <w:sz w:val="20"/>
                <w:u w:val="single"/>
              </w:rPr>
              <w:t>8</w:t>
            </w:r>
            <w:r>
              <w:rPr>
                <w:spacing w:val="80"/>
                <w:sz w:val="20"/>
                <w:u w:val="single"/>
              </w:rPr>
              <w:t> </w:t>
            </w:r>
          </w:p>
        </w:tc>
      </w:tr>
      <w:tr>
        <w:trPr>
          <w:trHeight w:val="236" w:hRule="atLeast"/>
        </w:trPr>
        <w:tc>
          <w:tcPr>
            <w:tcW w:w="4155" w:type="dxa"/>
          </w:tcPr>
          <w:p>
            <w:pPr>
              <w:pStyle w:val="TableParagraph"/>
              <w:spacing w:line="210" w:lineRule="exact" w:before="6"/>
              <w:ind w:left="1010"/>
              <w:rPr>
                <w:b/>
                <w:sz w:val="20"/>
              </w:rPr>
            </w:pPr>
            <w:r>
              <w:rPr>
                <w:b/>
                <w:sz w:val="20"/>
              </w:rPr>
              <w:t>At</w:t>
            </w:r>
            <w:r>
              <w:rPr>
                <w:b/>
                <w:spacing w:val="-3"/>
                <w:sz w:val="20"/>
              </w:rPr>
              <w:t> </w:t>
            </w:r>
            <w:r>
              <w:rPr>
                <w:b/>
                <w:sz w:val="20"/>
              </w:rPr>
              <w:t>31</w:t>
            </w:r>
            <w:r>
              <w:rPr>
                <w:b/>
                <w:spacing w:val="-4"/>
                <w:sz w:val="20"/>
              </w:rPr>
              <w:t> </w:t>
            </w:r>
            <w:r>
              <w:rPr>
                <w:b/>
                <w:sz w:val="20"/>
              </w:rPr>
              <w:t>July</w:t>
            </w:r>
            <w:r>
              <w:rPr>
                <w:b/>
                <w:spacing w:val="-4"/>
                <w:sz w:val="20"/>
              </w:rPr>
              <w:t> 2023</w:t>
            </w:r>
          </w:p>
        </w:tc>
        <w:tc>
          <w:tcPr>
            <w:tcW w:w="2833" w:type="dxa"/>
            <w:gridSpan w:val="2"/>
          </w:tcPr>
          <w:p>
            <w:pPr>
              <w:pStyle w:val="TableParagraph"/>
              <w:tabs>
                <w:tab w:pos="2259" w:val="left" w:leader="none"/>
              </w:tabs>
              <w:spacing w:line="210" w:lineRule="exact" w:before="6"/>
              <w:ind w:left="1410"/>
              <w:rPr>
                <w:sz w:val="20"/>
              </w:rPr>
            </w:pPr>
            <w:r>
              <w:rPr>
                <w:sz w:val="20"/>
                <w:u w:val="double"/>
              </w:rPr>
              <w:tab/>
            </w:r>
            <w:r>
              <w:rPr>
                <w:spacing w:val="-5"/>
                <w:sz w:val="20"/>
                <w:u w:val="double"/>
              </w:rPr>
              <w:t>426</w:t>
            </w:r>
            <w:r>
              <w:rPr>
                <w:spacing w:val="80"/>
                <w:sz w:val="20"/>
                <w:u w:val="double"/>
              </w:rPr>
              <w:t> </w:t>
            </w:r>
          </w:p>
        </w:tc>
        <w:tc>
          <w:tcPr>
            <w:tcW w:w="1273" w:type="dxa"/>
          </w:tcPr>
          <w:p>
            <w:pPr>
              <w:pStyle w:val="TableParagraph"/>
              <w:tabs>
                <w:tab w:pos="674" w:val="left" w:leader="none"/>
              </w:tabs>
              <w:spacing w:line="210" w:lineRule="exact" w:before="6"/>
              <w:ind w:right="125"/>
              <w:jc w:val="right"/>
              <w:rPr>
                <w:sz w:val="20"/>
              </w:rPr>
            </w:pPr>
            <w:r>
              <w:rPr>
                <w:sz w:val="20"/>
                <w:u w:val="double"/>
              </w:rPr>
              <w:tab/>
            </w:r>
            <w:r>
              <w:rPr>
                <w:spacing w:val="-5"/>
                <w:sz w:val="20"/>
                <w:u w:val="double"/>
              </w:rPr>
              <w:t>65</w:t>
            </w:r>
            <w:r>
              <w:rPr>
                <w:spacing w:val="80"/>
                <w:sz w:val="20"/>
                <w:u w:val="double"/>
              </w:rPr>
              <w:t> </w:t>
            </w:r>
          </w:p>
        </w:tc>
        <w:tc>
          <w:tcPr>
            <w:tcW w:w="1196" w:type="dxa"/>
          </w:tcPr>
          <w:p>
            <w:pPr>
              <w:pStyle w:val="TableParagraph"/>
              <w:tabs>
                <w:tab w:pos="563" w:val="left" w:leader="none"/>
              </w:tabs>
              <w:spacing w:line="210" w:lineRule="exact" w:before="6"/>
              <w:ind w:right="47"/>
              <w:jc w:val="right"/>
              <w:rPr>
                <w:sz w:val="20"/>
              </w:rPr>
            </w:pPr>
            <w:r>
              <w:rPr>
                <w:sz w:val="20"/>
                <w:u w:val="double"/>
              </w:rPr>
              <w:tab/>
            </w:r>
            <w:r>
              <w:rPr>
                <w:spacing w:val="-5"/>
                <w:sz w:val="20"/>
                <w:u w:val="double"/>
              </w:rPr>
              <w:t>491</w:t>
            </w:r>
            <w:r>
              <w:rPr>
                <w:spacing w:val="80"/>
                <w:sz w:val="20"/>
                <w:u w:val="double"/>
              </w:rPr>
              <w:t> </w:t>
            </w:r>
          </w:p>
        </w:tc>
      </w:tr>
    </w:tbl>
    <w:p>
      <w:pPr>
        <w:pStyle w:val="BodyText"/>
        <w:spacing w:before="21"/>
        <w:rPr>
          <w:b/>
          <w:sz w:val="22"/>
        </w:rPr>
      </w:pPr>
    </w:p>
    <w:p>
      <w:pPr>
        <w:pStyle w:val="BodyText"/>
        <w:ind w:left="852" w:right="708"/>
        <w:jc w:val="both"/>
      </w:pPr>
      <w:r>
        <w:rPr/>
        <w:t>Provisions have been made in relation to properties, primarily related to the expected future costs of vacant leasehold properties, current leases considered to be onerous and dilapidations on leasehold properties. The timing in relation to the utilisation of these provisions is dependent on the lease terms. These</w:t>
      </w:r>
      <w:r>
        <w:rPr>
          <w:spacing w:val="-8"/>
        </w:rPr>
        <w:t> </w:t>
      </w:r>
      <w:r>
        <w:rPr/>
        <w:t>provisions</w:t>
      </w:r>
      <w:r>
        <w:rPr>
          <w:spacing w:val="-6"/>
        </w:rPr>
        <w:t> </w:t>
      </w:r>
      <w:r>
        <w:rPr/>
        <w:t>are</w:t>
      </w:r>
      <w:r>
        <w:rPr>
          <w:spacing w:val="-6"/>
        </w:rPr>
        <w:t> </w:t>
      </w:r>
      <w:r>
        <w:rPr/>
        <w:t>estimates</w:t>
      </w:r>
      <w:r>
        <w:rPr>
          <w:spacing w:val="-6"/>
        </w:rPr>
        <w:t> </w:t>
      </w:r>
      <w:r>
        <w:rPr/>
        <w:t>and</w:t>
      </w:r>
      <w:r>
        <w:rPr>
          <w:spacing w:val="-8"/>
        </w:rPr>
        <w:t> </w:t>
      </w:r>
      <w:r>
        <w:rPr/>
        <w:t>the</w:t>
      </w:r>
      <w:r>
        <w:rPr>
          <w:spacing w:val="-8"/>
        </w:rPr>
        <w:t> </w:t>
      </w:r>
      <w:r>
        <w:rPr/>
        <w:t>actual</w:t>
      </w:r>
      <w:r>
        <w:rPr>
          <w:spacing w:val="-9"/>
        </w:rPr>
        <w:t> </w:t>
      </w:r>
      <w:r>
        <w:rPr/>
        <w:t>costs</w:t>
      </w:r>
      <w:r>
        <w:rPr>
          <w:spacing w:val="-6"/>
        </w:rPr>
        <w:t> </w:t>
      </w:r>
      <w:r>
        <w:rPr/>
        <w:t>and</w:t>
      </w:r>
      <w:r>
        <w:rPr>
          <w:spacing w:val="-8"/>
        </w:rPr>
        <w:t> </w:t>
      </w:r>
      <w:r>
        <w:rPr/>
        <w:t>timings</w:t>
      </w:r>
      <w:r>
        <w:rPr>
          <w:spacing w:val="-6"/>
        </w:rPr>
        <w:t> </w:t>
      </w:r>
      <w:r>
        <w:rPr/>
        <w:t>for</w:t>
      </w:r>
      <w:r>
        <w:rPr>
          <w:spacing w:val="-7"/>
        </w:rPr>
        <w:t> </w:t>
      </w:r>
      <w:r>
        <w:rPr/>
        <w:t>future</w:t>
      </w:r>
      <w:r>
        <w:rPr>
          <w:spacing w:val="-8"/>
        </w:rPr>
        <w:t> </w:t>
      </w:r>
      <w:r>
        <w:rPr/>
        <w:t>cash</w:t>
      </w:r>
      <w:r>
        <w:rPr>
          <w:spacing w:val="-8"/>
        </w:rPr>
        <w:t> </w:t>
      </w:r>
      <w:r>
        <w:rPr/>
        <w:t>flows</w:t>
      </w:r>
      <w:r>
        <w:rPr>
          <w:spacing w:val="-6"/>
        </w:rPr>
        <w:t> </w:t>
      </w:r>
      <w:r>
        <w:rPr/>
        <w:t>are</w:t>
      </w:r>
      <w:r>
        <w:rPr>
          <w:spacing w:val="-8"/>
        </w:rPr>
        <w:t> </w:t>
      </w:r>
      <w:r>
        <w:rPr/>
        <w:t>dependent</w:t>
      </w:r>
      <w:r>
        <w:rPr>
          <w:spacing w:val="-8"/>
        </w:rPr>
        <w:t> </w:t>
      </w:r>
      <w:r>
        <w:rPr/>
        <w:t>on future events.</w:t>
      </w:r>
    </w:p>
    <w:p>
      <w:pPr>
        <w:pStyle w:val="BodyText"/>
        <w:spacing w:before="122"/>
        <w:ind w:left="852" w:right="707"/>
        <w:jc w:val="both"/>
      </w:pPr>
      <w:r>
        <w:rPr/>
        <w:t>The enhanced pension provision is in respect of the future enhanced pension benefits for former employees following</w:t>
      </w:r>
      <w:r>
        <w:rPr>
          <w:spacing w:val="-2"/>
        </w:rPr>
        <w:t> </w:t>
      </w:r>
      <w:r>
        <w:rPr/>
        <w:t>early retirements and</w:t>
      </w:r>
      <w:r>
        <w:rPr>
          <w:spacing w:val="-2"/>
        </w:rPr>
        <w:t> </w:t>
      </w:r>
      <w:r>
        <w:rPr/>
        <w:t>has been</w:t>
      </w:r>
      <w:r>
        <w:rPr>
          <w:spacing w:val="-2"/>
        </w:rPr>
        <w:t> </w:t>
      </w:r>
      <w:r>
        <w:rPr/>
        <w:t>calculated</w:t>
      </w:r>
      <w:r>
        <w:rPr>
          <w:spacing w:val="-2"/>
        </w:rPr>
        <w:t> </w:t>
      </w:r>
      <w:r>
        <w:rPr/>
        <w:t>in</w:t>
      </w:r>
      <w:r>
        <w:rPr>
          <w:spacing w:val="-2"/>
        </w:rPr>
        <w:t> </w:t>
      </w:r>
      <w:r>
        <w:rPr/>
        <w:t>accordance</w:t>
      </w:r>
      <w:r>
        <w:rPr>
          <w:spacing w:val="-2"/>
        </w:rPr>
        <w:t> </w:t>
      </w:r>
      <w:r>
        <w:rPr/>
        <w:t>with</w:t>
      </w:r>
      <w:r>
        <w:rPr>
          <w:spacing w:val="-2"/>
        </w:rPr>
        <w:t> </w:t>
      </w:r>
      <w:r>
        <w:rPr/>
        <w:t>guidance issued</w:t>
      </w:r>
      <w:r>
        <w:rPr>
          <w:spacing w:val="-2"/>
        </w:rPr>
        <w:t> </w:t>
      </w:r>
      <w:r>
        <w:rPr/>
        <w:t>by the funding bodies.</w:t>
      </w:r>
    </w:p>
    <w:p>
      <w:pPr>
        <w:pStyle w:val="BodyText"/>
        <w:spacing w:before="119"/>
        <w:ind w:left="852"/>
        <w:jc w:val="both"/>
      </w:pPr>
      <w:r>
        <w:rPr/>
        <w:t>The</w:t>
      </w:r>
      <w:r>
        <w:rPr>
          <w:spacing w:val="-9"/>
        </w:rPr>
        <w:t> </w:t>
      </w:r>
      <w:r>
        <w:rPr/>
        <w:t>principal</w:t>
      </w:r>
      <w:r>
        <w:rPr>
          <w:spacing w:val="-7"/>
        </w:rPr>
        <w:t> </w:t>
      </w:r>
      <w:r>
        <w:rPr/>
        <w:t>assumptions</w:t>
      </w:r>
      <w:r>
        <w:rPr>
          <w:spacing w:val="-8"/>
        </w:rPr>
        <w:t> </w:t>
      </w:r>
      <w:r>
        <w:rPr/>
        <w:t>for</w:t>
      </w:r>
      <w:r>
        <w:rPr>
          <w:spacing w:val="-7"/>
        </w:rPr>
        <w:t> </w:t>
      </w:r>
      <w:r>
        <w:rPr/>
        <w:t>this</w:t>
      </w:r>
      <w:r>
        <w:rPr>
          <w:spacing w:val="-8"/>
        </w:rPr>
        <w:t> </w:t>
      </w:r>
      <w:r>
        <w:rPr/>
        <w:t>calculation</w:t>
      </w:r>
      <w:r>
        <w:rPr>
          <w:spacing w:val="-9"/>
        </w:rPr>
        <w:t> </w:t>
      </w:r>
      <w:r>
        <w:rPr>
          <w:spacing w:val="-4"/>
        </w:rPr>
        <w:t>are:</w:t>
      </w:r>
    </w:p>
    <w:p>
      <w:pPr>
        <w:pStyle w:val="BodyText"/>
        <w:spacing w:before="128"/>
      </w:pPr>
    </w:p>
    <w:tbl>
      <w:tblPr>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2"/>
        <w:gridCol w:w="3544"/>
        <w:gridCol w:w="970"/>
      </w:tblGrid>
      <w:tr>
        <w:trPr>
          <w:trHeight w:val="340" w:hRule="atLeast"/>
        </w:trPr>
        <w:tc>
          <w:tcPr>
            <w:tcW w:w="3872" w:type="dxa"/>
          </w:tcPr>
          <w:p>
            <w:pPr>
              <w:pStyle w:val="TableParagraph"/>
              <w:rPr>
                <w:rFonts w:ascii="Times New Roman"/>
                <w:sz w:val="20"/>
              </w:rPr>
            </w:pPr>
          </w:p>
        </w:tc>
        <w:tc>
          <w:tcPr>
            <w:tcW w:w="3544" w:type="dxa"/>
          </w:tcPr>
          <w:p>
            <w:pPr>
              <w:pStyle w:val="TableParagraph"/>
              <w:spacing w:line="223" w:lineRule="exact"/>
              <w:ind w:right="353"/>
              <w:jc w:val="right"/>
              <w:rPr>
                <w:b/>
                <w:sz w:val="20"/>
              </w:rPr>
            </w:pPr>
            <w:r>
              <w:rPr>
                <w:b/>
                <w:spacing w:val="-4"/>
                <w:sz w:val="20"/>
              </w:rPr>
              <w:t>2023</w:t>
            </w:r>
          </w:p>
        </w:tc>
        <w:tc>
          <w:tcPr>
            <w:tcW w:w="970" w:type="dxa"/>
          </w:tcPr>
          <w:p>
            <w:pPr>
              <w:pStyle w:val="TableParagraph"/>
              <w:spacing w:line="223" w:lineRule="exact"/>
              <w:ind w:right="46"/>
              <w:jc w:val="right"/>
              <w:rPr>
                <w:b/>
                <w:sz w:val="20"/>
              </w:rPr>
            </w:pPr>
            <w:r>
              <w:rPr>
                <w:b/>
                <w:spacing w:val="-4"/>
                <w:sz w:val="20"/>
              </w:rPr>
              <w:t>2022</w:t>
            </w:r>
          </w:p>
        </w:tc>
      </w:tr>
      <w:tr>
        <w:trPr>
          <w:trHeight w:val="344" w:hRule="atLeast"/>
        </w:trPr>
        <w:tc>
          <w:tcPr>
            <w:tcW w:w="3872" w:type="dxa"/>
          </w:tcPr>
          <w:p>
            <w:pPr>
              <w:pStyle w:val="TableParagraph"/>
              <w:spacing w:line="214" w:lineRule="exact" w:before="110"/>
              <w:ind w:left="50"/>
              <w:rPr>
                <w:sz w:val="20"/>
              </w:rPr>
            </w:pPr>
            <w:r>
              <w:rPr>
                <w:sz w:val="20"/>
              </w:rPr>
              <w:t>Price</w:t>
            </w:r>
            <w:r>
              <w:rPr>
                <w:spacing w:val="-5"/>
                <w:sz w:val="20"/>
              </w:rPr>
              <w:t> </w:t>
            </w:r>
            <w:r>
              <w:rPr>
                <w:spacing w:val="-2"/>
                <w:sz w:val="20"/>
              </w:rPr>
              <w:t>inflation</w:t>
            </w:r>
          </w:p>
        </w:tc>
        <w:tc>
          <w:tcPr>
            <w:tcW w:w="3544" w:type="dxa"/>
          </w:tcPr>
          <w:p>
            <w:pPr>
              <w:pStyle w:val="TableParagraph"/>
              <w:spacing w:line="214" w:lineRule="exact" w:before="110"/>
              <w:ind w:right="354"/>
              <w:jc w:val="right"/>
              <w:rPr>
                <w:sz w:val="20"/>
              </w:rPr>
            </w:pPr>
            <w:r>
              <w:rPr>
                <w:spacing w:val="-2"/>
                <w:sz w:val="20"/>
              </w:rPr>
              <w:t>5.00%</w:t>
            </w:r>
          </w:p>
        </w:tc>
        <w:tc>
          <w:tcPr>
            <w:tcW w:w="970" w:type="dxa"/>
          </w:tcPr>
          <w:p>
            <w:pPr>
              <w:pStyle w:val="TableParagraph"/>
              <w:spacing w:line="214" w:lineRule="exact" w:before="110"/>
              <w:ind w:right="47"/>
              <w:jc w:val="right"/>
              <w:rPr>
                <w:sz w:val="20"/>
              </w:rPr>
            </w:pPr>
            <w:r>
              <w:rPr>
                <w:spacing w:val="-2"/>
                <w:sz w:val="20"/>
              </w:rPr>
              <w:t>3.20%</w:t>
            </w:r>
          </w:p>
        </w:tc>
      </w:tr>
      <w:tr>
        <w:trPr>
          <w:trHeight w:val="226" w:hRule="atLeast"/>
        </w:trPr>
        <w:tc>
          <w:tcPr>
            <w:tcW w:w="3872" w:type="dxa"/>
          </w:tcPr>
          <w:p>
            <w:pPr>
              <w:pStyle w:val="TableParagraph"/>
              <w:spacing w:line="206" w:lineRule="exact"/>
              <w:ind w:left="50"/>
              <w:rPr>
                <w:sz w:val="20"/>
              </w:rPr>
            </w:pPr>
            <w:r>
              <w:rPr>
                <w:sz w:val="20"/>
              </w:rPr>
              <w:t>Discount</w:t>
            </w:r>
            <w:r>
              <w:rPr>
                <w:spacing w:val="-12"/>
                <w:sz w:val="20"/>
              </w:rPr>
              <w:t> </w:t>
            </w:r>
            <w:r>
              <w:rPr>
                <w:spacing w:val="-4"/>
                <w:sz w:val="20"/>
              </w:rPr>
              <w:t>rate</w:t>
            </w:r>
          </w:p>
        </w:tc>
        <w:tc>
          <w:tcPr>
            <w:tcW w:w="3544" w:type="dxa"/>
          </w:tcPr>
          <w:p>
            <w:pPr>
              <w:pStyle w:val="TableParagraph"/>
              <w:spacing w:line="206" w:lineRule="exact"/>
              <w:ind w:right="354"/>
              <w:jc w:val="right"/>
              <w:rPr>
                <w:sz w:val="20"/>
              </w:rPr>
            </w:pPr>
            <w:r>
              <w:rPr>
                <w:spacing w:val="-2"/>
                <w:sz w:val="20"/>
              </w:rPr>
              <w:t>2.80%</w:t>
            </w:r>
          </w:p>
        </w:tc>
        <w:tc>
          <w:tcPr>
            <w:tcW w:w="970" w:type="dxa"/>
          </w:tcPr>
          <w:p>
            <w:pPr>
              <w:pStyle w:val="TableParagraph"/>
              <w:spacing w:line="206" w:lineRule="exact"/>
              <w:ind w:right="47"/>
              <w:jc w:val="right"/>
              <w:rPr>
                <w:sz w:val="20"/>
              </w:rPr>
            </w:pPr>
            <w:r>
              <w:rPr>
                <w:spacing w:val="-2"/>
                <w:sz w:val="20"/>
              </w:rPr>
              <w:t>2.90%</w:t>
            </w:r>
          </w:p>
        </w:tc>
      </w:tr>
    </w:tbl>
    <w:p>
      <w:pPr>
        <w:pStyle w:val="TableParagraph"/>
        <w:spacing w:after="0" w:line="206" w:lineRule="exact"/>
        <w:jc w:val="right"/>
        <w:rPr>
          <w:sz w:val="20"/>
        </w:rPr>
        <w:sectPr>
          <w:headerReference w:type="default" r:id="rId48"/>
          <w:footerReference w:type="default" r:id="rId49"/>
          <w:pgSz w:w="11910" w:h="16850"/>
          <w:pgMar w:header="727" w:footer="702" w:top="1520" w:bottom="900" w:left="566" w:right="708"/>
        </w:sectPr>
      </w:pPr>
    </w:p>
    <w:p>
      <w:pPr>
        <w:pStyle w:val="BodyText"/>
      </w:pPr>
    </w:p>
    <w:p>
      <w:pPr>
        <w:pStyle w:val="BodyText"/>
      </w:pPr>
    </w:p>
    <w:p>
      <w:pPr>
        <w:pStyle w:val="BodyText"/>
        <w:spacing w:before="144"/>
      </w:pPr>
    </w:p>
    <w:tbl>
      <w:tblPr>
        <w:tblW w:w="0" w:type="auto"/>
        <w:jc w:val="left"/>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7"/>
        <w:gridCol w:w="6001"/>
        <w:gridCol w:w="2136"/>
        <w:gridCol w:w="996"/>
      </w:tblGrid>
      <w:tr>
        <w:trPr>
          <w:trHeight w:val="503" w:hRule="atLeast"/>
        </w:trPr>
        <w:tc>
          <w:tcPr>
            <w:tcW w:w="417" w:type="dxa"/>
          </w:tcPr>
          <w:p>
            <w:pPr>
              <w:pStyle w:val="TableParagraph"/>
              <w:spacing w:line="247" w:lineRule="exact"/>
              <w:ind w:left="50"/>
              <w:rPr>
                <w:b/>
                <w:sz w:val="22"/>
              </w:rPr>
            </w:pPr>
            <w:r>
              <w:rPr>
                <w:b/>
                <w:spacing w:val="-5"/>
                <w:sz w:val="22"/>
              </w:rPr>
              <w:t>17.</w:t>
            </w:r>
          </w:p>
        </w:tc>
        <w:tc>
          <w:tcPr>
            <w:tcW w:w="6001" w:type="dxa"/>
          </w:tcPr>
          <w:p>
            <w:pPr>
              <w:pStyle w:val="TableParagraph"/>
              <w:spacing w:line="247" w:lineRule="exact"/>
              <w:ind w:left="60"/>
              <w:rPr>
                <w:b/>
                <w:sz w:val="22"/>
              </w:rPr>
            </w:pPr>
            <w:r>
              <w:rPr>
                <w:b/>
                <w:sz w:val="22"/>
              </w:rPr>
              <w:t>(a)</w:t>
            </w:r>
            <w:r>
              <w:rPr>
                <w:b/>
                <w:spacing w:val="-2"/>
                <w:sz w:val="22"/>
              </w:rPr>
              <w:t> </w:t>
            </w:r>
            <w:r>
              <w:rPr>
                <w:b/>
                <w:sz w:val="22"/>
              </w:rPr>
              <w:t>Notes</w:t>
            </w:r>
            <w:r>
              <w:rPr>
                <w:b/>
                <w:spacing w:val="-5"/>
                <w:sz w:val="22"/>
              </w:rPr>
              <w:t> </w:t>
            </w:r>
            <w:r>
              <w:rPr>
                <w:b/>
                <w:sz w:val="22"/>
              </w:rPr>
              <w:t>to</w:t>
            </w:r>
            <w:r>
              <w:rPr>
                <w:b/>
                <w:spacing w:val="-5"/>
                <w:sz w:val="22"/>
              </w:rPr>
              <w:t> </w:t>
            </w:r>
            <w:r>
              <w:rPr>
                <w:b/>
                <w:sz w:val="22"/>
              </w:rPr>
              <w:t>the</w:t>
            </w:r>
            <w:r>
              <w:rPr>
                <w:b/>
                <w:spacing w:val="-3"/>
                <w:sz w:val="22"/>
              </w:rPr>
              <w:t> </w:t>
            </w:r>
            <w:r>
              <w:rPr>
                <w:b/>
                <w:sz w:val="22"/>
              </w:rPr>
              <w:t>cash</w:t>
            </w:r>
            <w:r>
              <w:rPr>
                <w:b/>
                <w:spacing w:val="-5"/>
                <w:sz w:val="22"/>
              </w:rPr>
              <w:t> </w:t>
            </w:r>
            <w:r>
              <w:rPr>
                <w:b/>
                <w:sz w:val="22"/>
              </w:rPr>
              <w:t>flow</w:t>
            </w:r>
            <w:r>
              <w:rPr>
                <w:b/>
                <w:spacing w:val="-1"/>
                <w:sz w:val="22"/>
              </w:rPr>
              <w:t> </w:t>
            </w:r>
            <w:r>
              <w:rPr>
                <w:b/>
                <w:sz w:val="22"/>
              </w:rPr>
              <w:t>statement</w:t>
            </w:r>
            <w:r>
              <w:rPr>
                <w:b/>
                <w:spacing w:val="-4"/>
                <w:sz w:val="22"/>
              </w:rPr>
              <w:t> </w:t>
            </w:r>
            <w:r>
              <w:rPr>
                <w:b/>
                <w:sz w:val="22"/>
              </w:rPr>
              <w:t>-</w:t>
            </w:r>
            <w:r>
              <w:rPr>
                <w:b/>
                <w:spacing w:val="-4"/>
                <w:sz w:val="22"/>
              </w:rPr>
              <w:t> </w:t>
            </w:r>
            <w:r>
              <w:rPr>
                <w:b/>
                <w:spacing w:val="-2"/>
                <w:sz w:val="22"/>
              </w:rPr>
              <w:t>Group</w:t>
            </w:r>
          </w:p>
        </w:tc>
        <w:tc>
          <w:tcPr>
            <w:tcW w:w="3132" w:type="dxa"/>
            <w:gridSpan w:val="2"/>
          </w:tcPr>
          <w:p>
            <w:pPr>
              <w:pStyle w:val="TableParagraph"/>
              <w:rPr>
                <w:rFonts w:ascii="Times New Roman"/>
                <w:sz w:val="20"/>
              </w:rPr>
            </w:pPr>
          </w:p>
        </w:tc>
      </w:tr>
      <w:tr>
        <w:trPr>
          <w:trHeight w:val="507" w:hRule="atLeast"/>
        </w:trPr>
        <w:tc>
          <w:tcPr>
            <w:tcW w:w="417" w:type="dxa"/>
          </w:tcPr>
          <w:p>
            <w:pPr>
              <w:pStyle w:val="TableParagraph"/>
              <w:rPr>
                <w:rFonts w:ascii="Times New Roman"/>
                <w:sz w:val="20"/>
              </w:rPr>
            </w:pPr>
          </w:p>
        </w:tc>
        <w:tc>
          <w:tcPr>
            <w:tcW w:w="6001" w:type="dxa"/>
          </w:tcPr>
          <w:p>
            <w:pPr>
              <w:pStyle w:val="TableParagraph"/>
              <w:rPr>
                <w:rFonts w:ascii="Times New Roman"/>
                <w:sz w:val="20"/>
              </w:rPr>
            </w:pPr>
          </w:p>
        </w:tc>
        <w:tc>
          <w:tcPr>
            <w:tcW w:w="2136" w:type="dxa"/>
          </w:tcPr>
          <w:p>
            <w:pPr>
              <w:pStyle w:val="TableParagraph"/>
              <w:spacing w:before="20"/>
              <w:rPr>
                <w:sz w:val="20"/>
              </w:rPr>
            </w:pPr>
          </w:p>
          <w:p>
            <w:pPr>
              <w:pStyle w:val="TableParagraph"/>
              <w:ind w:left="1158"/>
              <w:rPr>
                <w:b/>
                <w:sz w:val="20"/>
              </w:rPr>
            </w:pPr>
            <w:r>
              <w:rPr>
                <w:b/>
                <w:spacing w:val="-4"/>
                <w:sz w:val="20"/>
              </w:rPr>
              <w:t>2023</w:t>
            </w:r>
          </w:p>
        </w:tc>
        <w:tc>
          <w:tcPr>
            <w:tcW w:w="996" w:type="dxa"/>
          </w:tcPr>
          <w:p>
            <w:pPr>
              <w:pStyle w:val="TableParagraph"/>
              <w:spacing w:before="20"/>
              <w:rPr>
                <w:sz w:val="20"/>
              </w:rPr>
            </w:pPr>
          </w:p>
          <w:p>
            <w:pPr>
              <w:pStyle w:val="TableParagraph"/>
              <w:ind w:left="-1" w:right="108"/>
              <w:jc w:val="right"/>
              <w:rPr>
                <w:b/>
                <w:sz w:val="20"/>
              </w:rPr>
            </w:pPr>
            <w:r>
              <w:rPr>
                <w:b/>
                <w:spacing w:val="-4"/>
                <w:sz w:val="20"/>
              </w:rPr>
              <w:t>2022</w:t>
            </w:r>
          </w:p>
        </w:tc>
      </w:tr>
      <w:tr>
        <w:trPr>
          <w:trHeight w:val="417" w:hRule="atLeast"/>
        </w:trPr>
        <w:tc>
          <w:tcPr>
            <w:tcW w:w="417" w:type="dxa"/>
          </w:tcPr>
          <w:p>
            <w:pPr>
              <w:pStyle w:val="TableParagraph"/>
              <w:rPr>
                <w:rFonts w:ascii="Times New Roman"/>
                <w:sz w:val="20"/>
              </w:rPr>
            </w:pPr>
          </w:p>
        </w:tc>
        <w:tc>
          <w:tcPr>
            <w:tcW w:w="6001" w:type="dxa"/>
          </w:tcPr>
          <w:p>
            <w:pPr>
              <w:pStyle w:val="TableParagraph"/>
              <w:rPr>
                <w:rFonts w:ascii="Times New Roman"/>
                <w:sz w:val="20"/>
              </w:rPr>
            </w:pPr>
          </w:p>
        </w:tc>
        <w:tc>
          <w:tcPr>
            <w:tcW w:w="2136" w:type="dxa"/>
          </w:tcPr>
          <w:p>
            <w:pPr>
              <w:pStyle w:val="TableParagraph"/>
              <w:spacing w:before="20"/>
              <w:ind w:left="1100"/>
              <w:rPr>
                <w:b/>
                <w:sz w:val="20"/>
              </w:rPr>
            </w:pPr>
            <w:r>
              <w:rPr>
                <w:b/>
                <w:spacing w:val="-2"/>
                <w:sz w:val="20"/>
              </w:rPr>
              <w:t>£’000</w:t>
            </w:r>
          </w:p>
        </w:tc>
        <w:tc>
          <w:tcPr>
            <w:tcW w:w="996" w:type="dxa"/>
          </w:tcPr>
          <w:p>
            <w:pPr>
              <w:pStyle w:val="TableParagraph"/>
              <w:spacing w:before="20"/>
              <w:ind w:left="-1" w:right="108"/>
              <w:jc w:val="right"/>
              <w:rPr>
                <w:b/>
                <w:sz w:val="20"/>
              </w:rPr>
            </w:pPr>
            <w:r>
              <w:rPr>
                <w:b/>
                <w:spacing w:val="-2"/>
                <w:sz w:val="20"/>
              </w:rPr>
              <w:t>£’000</w:t>
            </w:r>
          </w:p>
        </w:tc>
      </w:tr>
      <w:tr>
        <w:trPr>
          <w:trHeight w:val="416" w:hRule="atLeast"/>
        </w:trPr>
        <w:tc>
          <w:tcPr>
            <w:tcW w:w="417" w:type="dxa"/>
          </w:tcPr>
          <w:p>
            <w:pPr>
              <w:pStyle w:val="TableParagraph"/>
              <w:rPr>
                <w:rFonts w:ascii="Times New Roman"/>
                <w:sz w:val="20"/>
              </w:rPr>
            </w:pPr>
          </w:p>
        </w:tc>
        <w:tc>
          <w:tcPr>
            <w:tcW w:w="6001" w:type="dxa"/>
          </w:tcPr>
          <w:p>
            <w:pPr>
              <w:pStyle w:val="TableParagraph"/>
              <w:spacing w:before="160"/>
              <w:ind w:left="480"/>
              <w:rPr>
                <w:sz w:val="20"/>
              </w:rPr>
            </w:pPr>
            <w:r>
              <w:rPr>
                <w:sz w:val="20"/>
              </w:rPr>
              <w:t>Surplus/(deficit)</w:t>
            </w:r>
            <w:r>
              <w:rPr>
                <w:spacing w:val="-7"/>
                <w:sz w:val="20"/>
              </w:rPr>
              <w:t> </w:t>
            </w:r>
            <w:r>
              <w:rPr>
                <w:sz w:val="20"/>
              </w:rPr>
              <w:t>after</w:t>
            </w:r>
            <w:r>
              <w:rPr>
                <w:spacing w:val="-7"/>
                <w:sz w:val="20"/>
              </w:rPr>
              <w:t> </w:t>
            </w:r>
            <w:r>
              <w:rPr>
                <w:sz w:val="20"/>
              </w:rPr>
              <w:t>tax</w:t>
            </w:r>
            <w:r>
              <w:rPr>
                <w:spacing w:val="-7"/>
                <w:sz w:val="20"/>
              </w:rPr>
              <w:t> </w:t>
            </w:r>
            <w:r>
              <w:rPr>
                <w:sz w:val="20"/>
              </w:rPr>
              <w:t>for</w:t>
            </w:r>
            <w:r>
              <w:rPr>
                <w:spacing w:val="-7"/>
                <w:sz w:val="20"/>
              </w:rPr>
              <w:t> </w:t>
            </w:r>
            <w:r>
              <w:rPr>
                <w:sz w:val="20"/>
              </w:rPr>
              <w:t>the</w:t>
            </w:r>
            <w:r>
              <w:rPr>
                <w:spacing w:val="-7"/>
                <w:sz w:val="20"/>
              </w:rPr>
              <w:t> </w:t>
            </w:r>
            <w:r>
              <w:rPr>
                <w:spacing w:val="-4"/>
                <w:sz w:val="20"/>
              </w:rPr>
              <w:t>year</w:t>
            </w:r>
          </w:p>
        </w:tc>
        <w:tc>
          <w:tcPr>
            <w:tcW w:w="2136" w:type="dxa"/>
          </w:tcPr>
          <w:p>
            <w:pPr>
              <w:pStyle w:val="TableParagraph"/>
              <w:spacing w:before="160"/>
              <w:ind w:left="1268"/>
              <w:rPr>
                <w:sz w:val="20"/>
              </w:rPr>
            </w:pPr>
            <w:r>
              <w:rPr>
                <w:spacing w:val="-5"/>
                <w:sz w:val="20"/>
              </w:rPr>
              <w:t>975</w:t>
            </w:r>
          </w:p>
        </w:tc>
        <w:tc>
          <w:tcPr>
            <w:tcW w:w="996" w:type="dxa"/>
          </w:tcPr>
          <w:p>
            <w:pPr>
              <w:pStyle w:val="TableParagraph"/>
              <w:spacing w:before="160"/>
              <w:ind w:left="308"/>
              <w:rPr>
                <w:sz w:val="20"/>
              </w:rPr>
            </w:pPr>
            <w:r>
              <w:rPr>
                <w:spacing w:val="-2"/>
                <w:sz w:val="20"/>
              </w:rPr>
              <w:t>(2,298)</w:t>
            </w:r>
          </w:p>
        </w:tc>
      </w:tr>
      <w:tr>
        <w:trPr>
          <w:trHeight w:val="531" w:hRule="atLeast"/>
        </w:trPr>
        <w:tc>
          <w:tcPr>
            <w:tcW w:w="417" w:type="dxa"/>
          </w:tcPr>
          <w:p>
            <w:pPr>
              <w:pStyle w:val="TableParagraph"/>
              <w:rPr>
                <w:rFonts w:ascii="Times New Roman"/>
                <w:sz w:val="20"/>
              </w:rPr>
            </w:pPr>
          </w:p>
        </w:tc>
        <w:tc>
          <w:tcPr>
            <w:tcW w:w="6001" w:type="dxa"/>
          </w:tcPr>
          <w:p>
            <w:pPr>
              <w:pStyle w:val="TableParagraph"/>
              <w:spacing w:before="19"/>
              <w:ind w:left="480"/>
              <w:rPr>
                <w:sz w:val="20"/>
              </w:rPr>
            </w:pPr>
            <w:r>
              <w:rPr>
                <w:sz w:val="20"/>
              </w:rPr>
              <w:t>Adjustment</w:t>
            </w:r>
            <w:r>
              <w:rPr>
                <w:spacing w:val="-15"/>
                <w:sz w:val="20"/>
              </w:rPr>
              <w:t> </w:t>
            </w:r>
            <w:r>
              <w:rPr>
                <w:spacing w:val="-4"/>
                <w:sz w:val="20"/>
              </w:rPr>
              <w:t>for:</w:t>
            </w:r>
          </w:p>
          <w:p>
            <w:pPr>
              <w:pStyle w:val="TableParagraph"/>
              <w:spacing w:line="214" w:lineRule="exact" w:before="49"/>
              <w:ind w:left="480"/>
              <w:rPr>
                <w:sz w:val="20"/>
              </w:rPr>
            </w:pPr>
            <w:r>
              <w:rPr>
                <w:sz w:val="20"/>
              </w:rPr>
              <w:t>Depreciation</w:t>
            </w:r>
            <w:r>
              <w:rPr>
                <w:spacing w:val="-10"/>
                <w:sz w:val="20"/>
              </w:rPr>
              <w:t> </w:t>
            </w:r>
            <w:r>
              <w:rPr>
                <w:sz w:val="20"/>
              </w:rPr>
              <w:t>and</w:t>
            </w:r>
            <w:r>
              <w:rPr>
                <w:spacing w:val="-7"/>
                <w:sz w:val="20"/>
              </w:rPr>
              <w:t> </w:t>
            </w:r>
            <w:r>
              <w:rPr>
                <w:spacing w:val="-2"/>
                <w:sz w:val="20"/>
              </w:rPr>
              <w:t>impairment</w:t>
            </w:r>
          </w:p>
        </w:tc>
        <w:tc>
          <w:tcPr>
            <w:tcW w:w="2136" w:type="dxa"/>
          </w:tcPr>
          <w:p>
            <w:pPr>
              <w:pStyle w:val="TableParagraph"/>
              <w:spacing w:before="19"/>
              <w:rPr>
                <w:sz w:val="20"/>
              </w:rPr>
            </w:pPr>
          </w:p>
          <w:p>
            <w:pPr>
              <w:pStyle w:val="TableParagraph"/>
              <w:spacing w:before="1"/>
              <w:ind w:left="1100"/>
              <w:rPr>
                <w:sz w:val="20"/>
              </w:rPr>
            </w:pPr>
            <w:r>
              <w:rPr>
                <w:spacing w:val="-2"/>
                <w:sz w:val="20"/>
              </w:rPr>
              <w:t>2,675</w:t>
            </w:r>
          </w:p>
        </w:tc>
        <w:tc>
          <w:tcPr>
            <w:tcW w:w="996" w:type="dxa"/>
          </w:tcPr>
          <w:p>
            <w:pPr>
              <w:pStyle w:val="TableParagraph"/>
              <w:spacing w:before="19"/>
              <w:rPr>
                <w:sz w:val="20"/>
              </w:rPr>
            </w:pPr>
          </w:p>
          <w:p>
            <w:pPr>
              <w:pStyle w:val="TableParagraph"/>
              <w:spacing w:before="1"/>
              <w:ind w:left="-1" w:right="108"/>
              <w:jc w:val="right"/>
              <w:rPr>
                <w:sz w:val="20"/>
              </w:rPr>
            </w:pPr>
            <w:r>
              <w:rPr>
                <w:spacing w:val="-2"/>
                <w:sz w:val="20"/>
              </w:rPr>
              <w:t>2,790</w:t>
            </w:r>
          </w:p>
        </w:tc>
      </w:tr>
      <w:tr>
        <w:trPr>
          <w:trHeight w:val="278" w:hRule="atLeast"/>
        </w:trPr>
        <w:tc>
          <w:tcPr>
            <w:tcW w:w="417" w:type="dxa"/>
          </w:tcPr>
          <w:p>
            <w:pPr>
              <w:pStyle w:val="TableParagraph"/>
              <w:rPr>
                <w:rFonts w:ascii="Times New Roman"/>
                <w:sz w:val="20"/>
              </w:rPr>
            </w:pPr>
          </w:p>
        </w:tc>
        <w:tc>
          <w:tcPr>
            <w:tcW w:w="6001" w:type="dxa"/>
          </w:tcPr>
          <w:p>
            <w:pPr>
              <w:pStyle w:val="TableParagraph"/>
              <w:spacing w:line="214" w:lineRule="exact" w:before="44"/>
              <w:ind w:left="480"/>
              <w:rPr>
                <w:sz w:val="20"/>
              </w:rPr>
            </w:pPr>
            <w:r>
              <w:rPr>
                <w:sz w:val="20"/>
              </w:rPr>
              <w:t>Interest</w:t>
            </w:r>
            <w:r>
              <w:rPr>
                <w:spacing w:val="-12"/>
                <w:sz w:val="20"/>
              </w:rPr>
              <w:t> </w:t>
            </w:r>
            <w:r>
              <w:rPr>
                <w:spacing w:val="-2"/>
                <w:sz w:val="20"/>
              </w:rPr>
              <w:t>receivable</w:t>
            </w:r>
          </w:p>
        </w:tc>
        <w:tc>
          <w:tcPr>
            <w:tcW w:w="2136" w:type="dxa"/>
          </w:tcPr>
          <w:p>
            <w:pPr>
              <w:pStyle w:val="TableParagraph"/>
              <w:spacing w:line="227" w:lineRule="exact"/>
              <w:ind w:left="1191"/>
              <w:rPr>
                <w:sz w:val="20"/>
              </w:rPr>
            </w:pPr>
            <w:r>
              <w:rPr>
                <w:spacing w:val="-2"/>
                <w:sz w:val="20"/>
              </w:rPr>
              <w:t>(313)</w:t>
            </w:r>
          </w:p>
        </w:tc>
        <w:tc>
          <w:tcPr>
            <w:tcW w:w="996" w:type="dxa"/>
          </w:tcPr>
          <w:p>
            <w:pPr>
              <w:pStyle w:val="TableParagraph"/>
              <w:spacing w:line="227" w:lineRule="exact"/>
              <w:ind w:left="-1" w:right="107"/>
              <w:jc w:val="right"/>
              <w:rPr>
                <w:sz w:val="20"/>
              </w:rPr>
            </w:pPr>
            <w:r>
              <w:rPr>
                <w:spacing w:val="-10"/>
                <w:sz w:val="20"/>
              </w:rPr>
              <w:t>-</w:t>
            </w:r>
          </w:p>
        </w:tc>
      </w:tr>
      <w:tr>
        <w:trPr>
          <w:trHeight w:val="278" w:hRule="atLeast"/>
        </w:trPr>
        <w:tc>
          <w:tcPr>
            <w:tcW w:w="417" w:type="dxa"/>
          </w:tcPr>
          <w:p>
            <w:pPr>
              <w:pStyle w:val="TableParagraph"/>
              <w:rPr>
                <w:rFonts w:ascii="Times New Roman"/>
                <w:sz w:val="20"/>
              </w:rPr>
            </w:pPr>
          </w:p>
        </w:tc>
        <w:tc>
          <w:tcPr>
            <w:tcW w:w="6001" w:type="dxa"/>
          </w:tcPr>
          <w:p>
            <w:pPr>
              <w:pStyle w:val="TableParagraph"/>
              <w:spacing w:line="214" w:lineRule="exact" w:before="44"/>
              <w:ind w:left="480"/>
              <w:rPr>
                <w:sz w:val="20"/>
              </w:rPr>
            </w:pPr>
            <w:r>
              <w:rPr>
                <w:sz w:val="20"/>
              </w:rPr>
              <w:t>Interest</w:t>
            </w:r>
            <w:r>
              <w:rPr>
                <w:spacing w:val="-12"/>
                <w:sz w:val="20"/>
              </w:rPr>
              <w:t> </w:t>
            </w:r>
            <w:r>
              <w:rPr>
                <w:spacing w:val="-2"/>
                <w:sz w:val="20"/>
              </w:rPr>
              <w:t>payable</w:t>
            </w:r>
          </w:p>
        </w:tc>
        <w:tc>
          <w:tcPr>
            <w:tcW w:w="2136" w:type="dxa"/>
          </w:tcPr>
          <w:p>
            <w:pPr>
              <w:pStyle w:val="TableParagraph"/>
              <w:spacing w:line="227" w:lineRule="exact"/>
              <w:ind w:right="532"/>
              <w:jc w:val="right"/>
              <w:rPr>
                <w:sz w:val="20"/>
              </w:rPr>
            </w:pPr>
            <w:r>
              <w:rPr>
                <w:spacing w:val="-10"/>
                <w:sz w:val="20"/>
              </w:rPr>
              <w:t>-</w:t>
            </w:r>
          </w:p>
        </w:tc>
        <w:tc>
          <w:tcPr>
            <w:tcW w:w="996" w:type="dxa"/>
          </w:tcPr>
          <w:p>
            <w:pPr>
              <w:pStyle w:val="TableParagraph"/>
              <w:spacing w:line="227" w:lineRule="exact"/>
              <w:ind w:left="-1" w:right="109"/>
              <w:jc w:val="right"/>
              <w:rPr>
                <w:sz w:val="20"/>
              </w:rPr>
            </w:pPr>
            <w:r>
              <w:rPr>
                <w:spacing w:val="-5"/>
                <w:sz w:val="20"/>
              </w:rPr>
              <w:t>398</w:t>
            </w:r>
          </w:p>
        </w:tc>
      </w:tr>
      <w:tr>
        <w:trPr>
          <w:trHeight w:val="278" w:hRule="atLeast"/>
        </w:trPr>
        <w:tc>
          <w:tcPr>
            <w:tcW w:w="417" w:type="dxa"/>
          </w:tcPr>
          <w:p>
            <w:pPr>
              <w:pStyle w:val="TableParagraph"/>
              <w:rPr>
                <w:rFonts w:ascii="Times New Roman"/>
                <w:sz w:val="20"/>
              </w:rPr>
            </w:pPr>
          </w:p>
        </w:tc>
        <w:tc>
          <w:tcPr>
            <w:tcW w:w="6001" w:type="dxa"/>
          </w:tcPr>
          <w:p>
            <w:pPr>
              <w:pStyle w:val="TableParagraph"/>
              <w:spacing w:line="214" w:lineRule="exact" w:before="44"/>
              <w:ind w:left="480"/>
              <w:rPr>
                <w:sz w:val="20"/>
              </w:rPr>
            </w:pPr>
            <w:r>
              <w:rPr>
                <w:sz w:val="20"/>
              </w:rPr>
              <w:t>Decrease</w:t>
            </w:r>
            <w:r>
              <w:rPr>
                <w:spacing w:val="-7"/>
                <w:sz w:val="20"/>
              </w:rPr>
              <w:t> </w:t>
            </w:r>
            <w:r>
              <w:rPr>
                <w:sz w:val="20"/>
              </w:rPr>
              <w:t>in</w:t>
            </w:r>
            <w:r>
              <w:rPr>
                <w:spacing w:val="-6"/>
                <w:sz w:val="20"/>
              </w:rPr>
              <w:t> </w:t>
            </w:r>
            <w:r>
              <w:rPr>
                <w:spacing w:val="-2"/>
                <w:sz w:val="20"/>
              </w:rPr>
              <w:t>provisions</w:t>
            </w:r>
          </w:p>
        </w:tc>
        <w:tc>
          <w:tcPr>
            <w:tcW w:w="2136" w:type="dxa"/>
          </w:tcPr>
          <w:p>
            <w:pPr>
              <w:pStyle w:val="TableParagraph"/>
              <w:spacing w:line="227" w:lineRule="exact"/>
              <w:ind w:left="1304"/>
              <w:rPr>
                <w:sz w:val="20"/>
              </w:rPr>
            </w:pPr>
            <w:r>
              <w:rPr>
                <w:spacing w:val="-4"/>
                <w:sz w:val="20"/>
              </w:rPr>
              <w:t>(39)</w:t>
            </w:r>
          </w:p>
        </w:tc>
        <w:tc>
          <w:tcPr>
            <w:tcW w:w="996" w:type="dxa"/>
          </w:tcPr>
          <w:p>
            <w:pPr>
              <w:pStyle w:val="TableParagraph"/>
              <w:spacing w:line="227" w:lineRule="exact"/>
              <w:ind w:left="-1" w:right="55"/>
              <w:jc w:val="right"/>
              <w:rPr>
                <w:sz w:val="20"/>
              </w:rPr>
            </w:pPr>
            <w:r>
              <w:rPr>
                <w:spacing w:val="-2"/>
                <w:sz w:val="20"/>
              </w:rPr>
              <w:t>(238)</w:t>
            </w:r>
          </w:p>
        </w:tc>
      </w:tr>
      <w:tr>
        <w:trPr>
          <w:trHeight w:val="275" w:hRule="atLeast"/>
        </w:trPr>
        <w:tc>
          <w:tcPr>
            <w:tcW w:w="417" w:type="dxa"/>
          </w:tcPr>
          <w:p>
            <w:pPr>
              <w:pStyle w:val="TableParagraph"/>
              <w:rPr>
                <w:rFonts w:ascii="Times New Roman"/>
                <w:sz w:val="20"/>
              </w:rPr>
            </w:pPr>
          </w:p>
        </w:tc>
        <w:tc>
          <w:tcPr>
            <w:tcW w:w="6001" w:type="dxa"/>
          </w:tcPr>
          <w:p>
            <w:pPr>
              <w:pStyle w:val="TableParagraph"/>
              <w:spacing w:line="211" w:lineRule="exact" w:before="44"/>
              <w:ind w:left="480"/>
              <w:rPr>
                <w:sz w:val="20"/>
              </w:rPr>
            </w:pPr>
            <w:r>
              <w:rPr>
                <w:sz w:val="20"/>
              </w:rPr>
              <w:t>Pension</w:t>
            </w:r>
            <w:r>
              <w:rPr>
                <w:spacing w:val="-10"/>
                <w:sz w:val="20"/>
              </w:rPr>
              <w:t> </w:t>
            </w:r>
            <w:r>
              <w:rPr>
                <w:sz w:val="20"/>
              </w:rPr>
              <w:t>costs</w:t>
            </w:r>
            <w:r>
              <w:rPr>
                <w:spacing w:val="-6"/>
                <w:sz w:val="20"/>
              </w:rPr>
              <w:t> </w:t>
            </w:r>
            <w:r>
              <w:rPr>
                <w:sz w:val="20"/>
              </w:rPr>
              <w:t>less</w:t>
            </w:r>
            <w:r>
              <w:rPr>
                <w:spacing w:val="-9"/>
                <w:sz w:val="20"/>
              </w:rPr>
              <w:t> </w:t>
            </w:r>
            <w:r>
              <w:rPr>
                <w:sz w:val="20"/>
              </w:rPr>
              <w:t>contributions</w:t>
            </w:r>
            <w:r>
              <w:rPr>
                <w:spacing w:val="-6"/>
                <w:sz w:val="20"/>
              </w:rPr>
              <w:t> </w:t>
            </w:r>
            <w:r>
              <w:rPr>
                <w:spacing w:val="-2"/>
                <w:sz w:val="20"/>
              </w:rPr>
              <w:t>payable</w:t>
            </w:r>
          </w:p>
        </w:tc>
        <w:tc>
          <w:tcPr>
            <w:tcW w:w="2136" w:type="dxa"/>
          </w:tcPr>
          <w:p>
            <w:pPr>
              <w:pStyle w:val="TableParagraph"/>
              <w:spacing w:line="227" w:lineRule="exact"/>
              <w:ind w:right="531"/>
              <w:jc w:val="right"/>
              <w:rPr>
                <w:sz w:val="20"/>
              </w:rPr>
            </w:pPr>
            <w:r>
              <w:rPr>
                <w:sz w:val="20"/>
              </w:rPr>
              <mc:AlternateContent>
                <mc:Choice Requires="wps">
                  <w:drawing>
                    <wp:anchor distT="0" distB="0" distL="0" distR="0" allowOverlap="1" layoutInCell="1" locked="0" behindDoc="1" simplePos="0" relativeHeight="482999296">
                      <wp:simplePos x="0" y="0"/>
                      <wp:positionH relativeFrom="column">
                        <wp:posOffset>457200</wp:posOffset>
                      </wp:positionH>
                      <wp:positionV relativeFrom="paragraph">
                        <wp:posOffset>174915</wp:posOffset>
                      </wp:positionV>
                      <wp:extent cx="629920" cy="635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629920" cy="6350"/>
                                <a:chExt cx="629920" cy="6350"/>
                              </a:xfrm>
                            </wpg:grpSpPr>
                            <wps:wsp>
                              <wps:cNvPr id="128" name="Graphic 128"/>
                              <wps:cNvSpPr/>
                              <wps:spPr>
                                <a:xfrm>
                                  <a:off x="0" y="0"/>
                                  <a:ext cx="629920" cy="6350"/>
                                </a:xfrm>
                                <a:custGeom>
                                  <a:avLst/>
                                  <a:gdLst/>
                                  <a:ahLst/>
                                  <a:cxnLst/>
                                  <a:rect l="l" t="t" r="r" b="b"/>
                                  <a:pathLst>
                                    <a:path w="629920" h="6350">
                                      <a:moveTo>
                                        <a:pt x="629412" y="0"/>
                                      </a:moveTo>
                                      <a:lnTo>
                                        <a:pt x="0" y="0"/>
                                      </a:lnTo>
                                      <a:lnTo>
                                        <a:pt x="0" y="6096"/>
                                      </a:lnTo>
                                      <a:lnTo>
                                        <a:pt x="629412" y="6096"/>
                                      </a:lnTo>
                                      <a:lnTo>
                                        <a:pt x="6294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3.77288pt;width:49.6pt;height:.5pt;mso-position-horizontal-relative:column;mso-position-vertical-relative:paragraph;z-index:-20317184" id="docshapegroup117" coordorigin="720,275" coordsize="992,10">
                      <v:rect style="position:absolute;left:720;top:275;width:992;height:10" id="docshape118" filled="true" fillcolor="#000000" stroked="false">
                        <v:fill type="solid"/>
                      </v:rect>
                      <w10:wrap type="none"/>
                    </v:group>
                  </w:pict>
                </mc:Fallback>
              </mc:AlternateContent>
            </w:r>
            <w:r>
              <w:rPr>
                <w:spacing w:val="-10"/>
                <w:sz w:val="20"/>
              </w:rPr>
              <w:t>7</w:t>
            </w:r>
          </w:p>
        </w:tc>
        <w:tc>
          <w:tcPr>
            <w:tcW w:w="996" w:type="dxa"/>
            <w:tcBorders>
              <w:bottom w:val="single" w:sz="4" w:space="0" w:color="000000"/>
            </w:tcBorders>
          </w:tcPr>
          <w:p>
            <w:pPr>
              <w:pStyle w:val="TableParagraph"/>
              <w:spacing w:line="227" w:lineRule="exact"/>
              <w:ind w:left="-1" w:right="109"/>
              <w:jc w:val="right"/>
              <w:rPr>
                <w:sz w:val="20"/>
              </w:rPr>
            </w:pPr>
            <w:r>
              <w:rPr>
                <w:spacing w:val="-5"/>
                <w:sz w:val="20"/>
              </w:rPr>
              <w:t>775</w:t>
            </w:r>
          </w:p>
        </w:tc>
      </w:tr>
      <w:tr>
        <w:trPr>
          <w:trHeight w:val="279" w:hRule="atLeast"/>
        </w:trPr>
        <w:tc>
          <w:tcPr>
            <w:tcW w:w="417" w:type="dxa"/>
          </w:tcPr>
          <w:p>
            <w:pPr>
              <w:pStyle w:val="TableParagraph"/>
              <w:rPr>
                <w:rFonts w:ascii="Times New Roman"/>
                <w:sz w:val="20"/>
              </w:rPr>
            </w:pPr>
          </w:p>
        </w:tc>
        <w:tc>
          <w:tcPr>
            <w:tcW w:w="6001" w:type="dxa"/>
          </w:tcPr>
          <w:p>
            <w:pPr>
              <w:pStyle w:val="TableParagraph"/>
              <w:spacing w:line="213" w:lineRule="exact" w:before="47"/>
              <w:ind w:left="480"/>
              <w:rPr>
                <w:sz w:val="20"/>
              </w:rPr>
            </w:pPr>
            <w:r>
              <w:rPr>
                <w:sz w:val="20"/>
              </w:rPr>
              <w:t>Operating</w:t>
            </w:r>
            <w:r>
              <w:rPr>
                <w:spacing w:val="-8"/>
                <w:sz w:val="20"/>
              </w:rPr>
              <w:t> </w:t>
            </w:r>
            <w:r>
              <w:rPr>
                <w:sz w:val="20"/>
              </w:rPr>
              <w:t>cash</w:t>
            </w:r>
            <w:r>
              <w:rPr>
                <w:spacing w:val="-7"/>
                <w:sz w:val="20"/>
              </w:rPr>
              <w:t> </w:t>
            </w:r>
            <w:r>
              <w:rPr>
                <w:sz w:val="20"/>
              </w:rPr>
              <w:t>flow</w:t>
            </w:r>
            <w:r>
              <w:rPr>
                <w:spacing w:val="-7"/>
                <w:sz w:val="20"/>
              </w:rPr>
              <w:t> </w:t>
            </w:r>
            <w:r>
              <w:rPr>
                <w:sz w:val="20"/>
              </w:rPr>
              <w:t>before</w:t>
            </w:r>
            <w:r>
              <w:rPr>
                <w:spacing w:val="-6"/>
                <w:sz w:val="20"/>
              </w:rPr>
              <w:t> </w:t>
            </w:r>
            <w:r>
              <w:rPr>
                <w:sz w:val="20"/>
              </w:rPr>
              <w:t>movements</w:t>
            </w:r>
            <w:r>
              <w:rPr>
                <w:spacing w:val="-6"/>
                <w:sz w:val="20"/>
              </w:rPr>
              <w:t> </w:t>
            </w:r>
            <w:r>
              <w:rPr>
                <w:sz w:val="20"/>
              </w:rPr>
              <w:t>in</w:t>
            </w:r>
            <w:r>
              <w:rPr>
                <w:spacing w:val="-7"/>
                <w:sz w:val="20"/>
              </w:rPr>
              <w:t> </w:t>
            </w:r>
            <w:r>
              <w:rPr>
                <w:sz w:val="20"/>
              </w:rPr>
              <w:t>working</w:t>
            </w:r>
            <w:r>
              <w:rPr>
                <w:spacing w:val="-8"/>
                <w:sz w:val="20"/>
              </w:rPr>
              <w:t> </w:t>
            </w:r>
            <w:r>
              <w:rPr>
                <w:spacing w:val="-2"/>
                <w:sz w:val="20"/>
              </w:rPr>
              <w:t>capital</w:t>
            </w:r>
          </w:p>
        </w:tc>
        <w:tc>
          <w:tcPr>
            <w:tcW w:w="2136" w:type="dxa"/>
          </w:tcPr>
          <w:p>
            <w:pPr>
              <w:pStyle w:val="TableParagraph"/>
              <w:spacing w:line="229" w:lineRule="exact"/>
              <w:ind w:left="1100"/>
              <w:rPr>
                <w:sz w:val="20"/>
              </w:rPr>
            </w:pPr>
            <w:r>
              <w:rPr>
                <w:spacing w:val="-2"/>
                <w:sz w:val="20"/>
              </w:rPr>
              <w:t>3,305</w:t>
            </w:r>
          </w:p>
        </w:tc>
        <w:tc>
          <w:tcPr>
            <w:tcW w:w="996" w:type="dxa"/>
            <w:tcBorders>
              <w:top w:val="single" w:sz="4" w:space="0" w:color="000000"/>
            </w:tcBorders>
          </w:tcPr>
          <w:p>
            <w:pPr>
              <w:pStyle w:val="TableParagraph"/>
              <w:spacing w:line="229" w:lineRule="exact"/>
              <w:ind w:left="-1" w:right="108"/>
              <w:jc w:val="right"/>
              <w:rPr>
                <w:sz w:val="20"/>
              </w:rPr>
            </w:pPr>
            <w:r>
              <w:rPr>
                <w:spacing w:val="-2"/>
                <w:sz w:val="20"/>
              </w:rPr>
              <w:t>1,427</w:t>
            </w:r>
          </w:p>
        </w:tc>
      </w:tr>
      <w:tr>
        <w:trPr>
          <w:trHeight w:val="277" w:hRule="atLeast"/>
        </w:trPr>
        <w:tc>
          <w:tcPr>
            <w:tcW w:w="417" w:type="dxa"/>
          </w:tcPr>
          <w:p>
            <w:pPr>
              <w:pStyle w:val="TableParagraph"/>
              <w:rPr>
                <w:rFonts w:ascii="Times New Roman"/>
                <w:sz w:val="20"/>
              </w:rPr>
            </w:pPr>
          </w:p>
        </w:tc>
        <w:tc>
          <w:tcPr>
            <w:tcW w:w="6001" w:type="dxa"/>
          </w:tcPr>
          <w:p>
            <w:pPr>
              <w:pStyle w:val="TableParagraph"/>
              <w:spacing w:line="214" w:lineRule="exact" w:before="43"/>
              <w:ind w:left="480"/>
              <w:rPr>
                <w:sz w:val="20"/>
              </w:rPr>
            </w:pPr>
            <w:r>
              <w:rPr>
                <w:sz w:val="20"/>
              </w:rPr>
              <w:t>(Increase)/decrease</w:t>
            </w:r>
            <w:r>
              <w:rPr>
                <w:spacing w:val="-14"/>
                <w:sz w:val="20"/>
              </w:rPr>
              <w:t> </w:t>
            </w:r>
            <w:r>
              <w:rPr>
                <w:sz w:val="20"/>
              </w:rPr>
              <w:t>in</w:t>
            </w:r>
            <w:r>
              <w:rPr>
                <w:spacing w:val="-14"/>
                <w:sz w:val="20"/>
              </w:rPr>
              <w:t> </w:t>
            </w:r>
            <w:r>
              <w:rPr>
                <w:spacing w:val="-2"/>
                <w:sz w:val="20"/>
              </w:rPr>
              <w:t>stocks</w:t>
            </w:r>
          </w:p>
        </w:tc>
        <w:tc>
          <w:tcPr>
            <w:tcW w:w="2136" w:type="dxa"/>
          </w:tcPr>
          <w:p>
            <w:pPr>
              <w:pStyle w:val="TableParagraph"/>
              <w:spacing w:line="225" w:lineRule="exact"/>
              <w:ind w:left="1415"/>
              <w:rPr>
                <w:sz w:val="20"/>
              </w:rPr>
            </w:pPr>
            <w:r>
              <w:rPr>
                <w:spacing w:val="-5"/>
                <w:sz w:val="20"/>
              </w:rPr>
              <w:t>(1)</w:t>
            </w:r>
          </w:p>
        </w:tc>
        <w:tc>
          <w:tcPr>
            <w:tcW w:w="996" w:type="dxa"/>
          </w:tcPr>
          <w:p>
            <w:pPr>
              <w:pStyle w:val="TableParagraph"/>
              <w:spacing w:line="225" w:lineRule="exact"/>
              <w:ind w:left="-1" w:right="106"/>
              <w:jc w:val="right"/>
              <w:rPr>
                <w:sz w:val="20"/>
              </w:rPr>
            </w:pPr>
            <w:r>
              <w:rPr>
                <w:spacing w:val="-10"/>
                <w:sz w:val="20"/>
              </w:rPr>
              <w:t>1</w:t>
            </w:r>
          </w:p>
        </w:tc>
      </w:tr>
      <w:tr>
        <w:trPr>
          <w:trHeight w:val="278" w:hRule="atLeast"/>
        </w:trPr>
        <w:tc>
          <w:tcPr>
            <w:tcW w:w="417" w:type="dxa"/>
          </w:tcPr>
          <w:p>
            <w:pPr>
              <w:pStyle w:val="TableParagraph"/>
              <w:rPr>
                <w:rFonts w:ascii="Times New Roman"/>
                <w:sz w:val="20"/>
              </w:rPr>
            </w:pPr>
          </w:p>
        </w:tc>
        <w:tc>
          <w:tcPr>
            <w:tcW w:w="6001" w:type="dxa"/>
          </w:tcPr>
          <w:p>
            <w:pPr>
              <w:pStyle w:val="TableParagraph"/>
              <w:spacing w:line="214" w:lineRule="exact" w:before="44"/>
              <w:ind w:left="480"/>
              <w:rPr>
                <w:sz w:val="20"/>
              </w:rPr>
            </w:pPr>
            <w:r>
              <w:rPr>
                <w:sz w:val="20"/>
              </w:rPr>
              <w:t>Decrease/(increase)</w:t>
            </w:r>
            <w:r>
              <w:rPr>
                <w:spacing w:val="-13"/>
                <w:sz w:val="20"/>
              </w:rPr>
              <w:t> </w:t>
            </w:r>
            <w:r>
              <w:rPr>
                <w:sz w:val="20"/>
              </w:rPr>
              <w:t>in</w:t>
            </w:r>
            <w:r>
              <w:rPr>
                <w:spacing w:val="-12"/>
                <w:sz w:val="20"/>
              </w:rPr>
              <w:t> </w:t>
            </w:r>
            <w:r>
              <w:rPr>
                <w:spacing w:val="-2"/>
                <w:sz w:val="20"/>
              </w:rPr>
              <w:t>debtors</w:t>
            </w:r>
          </w:p>
        </w:tc>
        <w:tc>
          <w:tcPr>
            <w:tcW w:w="2136" w:type="dxa"/>
          </w:tcPr>
          <w:p>
            <w:pPr>
              <w:pStyle w:val="TableParagraph"/>
              <w:spacing w:line="227" w:lineRule="exact"/>
              <w:ind w:left="1268"/>
              <w:rPr>
                <w:sz w:val="20"/>
              </w:rPr>
            </w:pPr>
            <w:r>
              <w:rPr>
                <w:spacing w:val="-5"/>
                <w:sz w:val="20"/>
              </w:rPr>
              <w:t>524</w:t>
            </w:r>
          </w:p>
        </w:tc>
        <w:tc>
          <w:tcPr>
            <w:tcW w:w="996" w:type="dxa"/>
          </w:tcPr>
          <w:p>
            <w:pPr>
              <w:pStyle w:val="TableParagraph"/>
              <w:spacing w:line="227" w:lineRule="exact"/>
              <w:ind w:left="-1" w:right="55"/>
              <w:jc w:val="right"/>
              <w:rPr>
                <w:sz w:val="20"/>
              </w:rPr>
            </w:pPr>
            <w:r>
              <w:rPr>
                <w:spacing w:val="-2"/>
                <w:sz w:val="20"/>
              </w:rPr>
              <w:t>(241)</w:t>
            </w:r>
          </w:p>
        </w:tc>
      </w:tr>
      <w:tr>
        <w:trPr>
          <w:trHeight w:val="275" w:hRule="atLeast"/>
        </w:trPr>
        <w:tc>
          <w:tcPr>
            <w:tcW w:w="417" w:type="dxa"/>
          </w:tcPr>
          <w:p>
            <w:pPr>
              <w:pStyle w:val="TableParagraph"/>
              <w:rPr>
                <w:rFonts w:ascii="Times New Roman"/>
                <w:sz w:val="20"/>
              </w:rPr>
            </w:pPr>
          </w:p>
        </w:tc>
        <w:tc>
          <w:tcPr>
            <w:tcW w:w="6001" w:type="dxa"/>
          </w:tcPr>
          <w:p>
            <w:pPr>
              <w:pStyle w:val="TableParagraph"/>
              <w:spacing w:line="211" w:lineRule="exact" w:before="44"/>
              <w:ind w:left="480"/>
              <w:rPr>
                <w:sz w:val="20"/>
              </w:rPr>
            </w:pPr>
            <w:r>
              <w:rPr>
                <w:sz w:val="20"/>
              </w:rPr>
              <w:t>Decrease</w:t>
            </w:r>
            <w:r>
              <w:rPr>
                <w:spacing w:val="-7"/>
                <w:sz w:val="20"/>
              </w:rPr>
              <w:t> </w:t>
            </w:r>
            <w:r>
              <w:rPr>
                <w:sz w:val="20"/>
              </w:rPr>
              <w:t>in</w:t>
            </w:r>
            <w:r>
              <w:rPr>
                <w:spacing w:val="-6"/>
                <w:sz w:val="20"/>
              </w:rPr>
              <w:t> </w:t>
            </w:r>
            <w:r>
              <w:rPr>
                <w:spacing w:val="-2"/>
                <w:sz w:val="20"/>
              </w:rPr>
              <w:t>creditors</w:t>
            </w:r>
          </w:p>
        </w:tc>
        <w:tc>
          <w:tcPr>
            <w:tcW w:w="2136" w:type="dxa"/>
          </w:tcPr>
          <w:p>
            <w:pPr>
              <w:pStyle w:val="TableParagraph"/>
              <w:spacing w:line="227" w:lineRule="exact"/>
              <w:ind w:left="1191"/>
              <w:rPr>
                <w:sz w:val="20"/>
              </w:rPr>
            </w:pPr>
            <w:r>
              <w:rPr>
                <w:spacing w:val="-2"/>
                <w:sz w:val="20"/>
              </w:rPr>
              <w:t>(319)</w:t>
            </w:r>
          </w:p>
        </w:tc>
        <w:tc>
          <w:tcPr>
            <w:tcW w:w="996" w:type="dxa"/>
            <w:tcBorders>
              <w:bottom w:val="single" w:sz="4" w:space="0" w:color="000000"/>
            </w:tcBorders>
          </w:tcPr>
          <w:p>
            <w:pPr>
              <w:pStyle w:val="TableParagraph"/>
              <w:spacing w:line="227" w:lineRule="exact"/>
              <w:ind w:left="-1" w:right="110"/>
              <w:jc w:val="right"/>
              <w:rPr>
                <w:sz w:val="20"/>
              </w:rPr>
            </w:pPr>
            <w:r>
              <w:rPr>
                <w:spacing w:val="-2"/>
                <w:sz w:val="20"/>
              </w:rPr>
              <w:t>(841)</w:t>
            </w:r>
          </w:p>
        </w:tc>
      </w:tr>
      <w:tr>
        <w:trPr>
          <w:trHeight w:val="732" w:hRule="atLeast"/>
        </w:trPr>
        <w:tc>
          <w:tcPr>
            <w:tcW w:w="417" w:type="dxa"/>
          </w:tcPr>
          <w:p>
            <w:pPr>
              <w:pStyle w:val="TableParagraph"/>
              <w:rPr>
                <w:rFonts w:ascii="Times New Roman"/>
                <w:sz w:val="20"/>
              </w:rPr>
            </w:pPr>
          </w:p>
        </w:tc>
        <w:tc>
          <w:tcPr>
            <w:tcW w:w="6001" w:type="dxa"/>
          </w:tcPr>
          <w:p>
            <w:pPr>
              <w:pStyle w:val="TableParagraph"/>
              <w:spacing w:before="230"/>
              <w:ind w:left="480"/>
              <w:rPr>
                <w:sz w:val="20"/>
              </w:rPr>
            </w:pPr>
            <w:r>
              <w:rPr>
                <w:sz w:val="20"/>
              </w:rPr>
              <w:t>Net</w:t>
            </w:r>
            <w:r>
              <w:rPr>
                <w:spacing w:val="-7"/>
                <w:sz w:val="20"/>
              </w:rPr>
              <w:t> </w:t>
            </w:r>
            <w:r>
              <w:rPr>
                <w:sz w:val="20"/>
              </w:rPr>
              <w:t>cash</w:t>
            </w:r>
            <w:r>
              <w:rPr>
                <w:spacing w:val="-6"/>
                <w:sz w:val="20"/>
              </w:rPr>
              <w:t> </w:t>
            </w:r>
            <w:r>
              <w:rPr>
                <w:sz w:val="20"/>
              </w:rPr>
              <w:t>(used</w:t>
            </w:r>
            <w:r>
              <w:rPr>
                <w:spacing w:val="-7"/>
                <w:sz w:val="20"/>
              </w:rPr>
              <w:t> </w:t>
            </w:r>
            <w:r>
              <w:rPr>
                <w:sz w:val="20"/>
              </w:rPr>
              <w:t>in)/generated</w:t>
            </w:r>
            <w:r>
              <w:rPr>
                <w:spacing w:val="-6"/>
                <w:sz w:val="20"/>
              </w:rPr>
              <w:t> </w:t>
            </w:r>
            <w:r>
              <w:rPr>
                <w:sz w:val="20"/>
              </w:rPr>
              <w:t>from</w:t>
            </w:r>
            <w:r>
              <w:rPr>
                <w:spacing w:val="-7"/>
                <w:sz w:val="20"/>
              </w:rPr>
              <w:t> </w:t>
            </w:r>
            <w:r>
              <w:rPr>
                <w:spacing w:val="-2"/>
                <w:sz w:val="20"/>
              </w:rPr>
              <w:t>operations</w:t>
            </w:r>
          </w:p>
        </w:tc>
        <w:tc>
          <w:tcPr>
            <w:tcW w:w="2136" w:type="dxa"/>
          </w:tcPr>
          <w:p>
            <w:pPr>
              <w:pStyle w:val="TableParagraph"/>
              <w:spacing w:line="20" w:lineRule="exact"/>
              <w:ind w:left="719"/>
              <w:rPr>
                <w:sz w:val="2"/>
              </w:rPr>
            </w:pPr>
            <w:r>
              <w:rPr>
                <w:sz w:val="2"/>
              </w:rPr>
              <mc:AlternateContent>
                <mc:Choice Requires="wps">
                  <w:drawing>
                    <wp:inline distT="0" distB="0" distL="0" distR="0">
                      <wp:extent cx="629920" cy="6350"/>
                      <wp:effectExtent l="0" t="0" r="0" b="0"/>
                      <wp:docPr id="129" name="Group 129"/>
                      <wp:cNvGraphicFramePr>
                        <a:graphicFrameLocks/>
                      </wp:cNvGraphicFramePr>
                      <a:graphic>
                        <a:graphicData uri="http://schemas.microsoft.com/office/word/2010/wordprocessingGroup">
                          <wpg:wgp>
                            <wpg:cNvPr id="129" name="Group 129"/>
                            <wpg:cNvGrpSpPr/>
                            <wpg:grpSpPr>
                              <a:xfrm>
                                <a:off x="0" y="0"/>
                                <a:ext cx="629920" cy="6350"/>
                                <a:chExt cx="629920" cy="6350"/>
                              </a:xfrm>
                            </wpg:grpSpPr>
                            <wps:wsp>
                              <wps:cNvPr id="130" name="Graphic 130"/>
                              <wps:cNvSpPr/>
                              <wps:spPr>
                                <a:xfrm>
                                  <a:off x="0" y="0"/>
                                  <a:ext cx="629920" cy="6350"/>
                                </a:xfrm>
                                <a:custGeom>
                                  <a:avLst/>
                                  <a:gdLst/>
                                  <a:ahLst/>
                                  <a:cxnLst/>
                                  <a:rect l="l" t="t" r="r" b="b"/>
                                  <a:pathLst>
                                    <a:path w="629920" h="6350">
                                      <a:moveTo>
                                        <a:pt x="629412" y="0"/>
                                      </a:moveTo>
                                      <a:lnTo>
                                        <a:pt x="0" y="0"/>
                                      </a:lnTo>
                                      <a:lnTo>
                                        <a:pt x="0" y="6096"/>
                                      </a:lnTo>
                                      <a:lnTo>
                                        <a:pt x="629412" y="6096"/>
                                      </a:lnTo>
                                      <a:lnTo>
                                        <a:pt x="6294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6pt;height:.5pt;mso-position-horizontal-relative:char;mso-position-vertical-relative:line" id="docshapegroup119" coordorigin="0,0" coordsize="992,10">
                      <v:rect style="position:absolute;left:0;top:0;width:992;height:10" id="docshape120" filled="true" fillcolor="#000000" stroked="false">
                        <v:fill type="solid"/>
                      </v:rect>
                    </v:group>
                  </w:pict>
                </mc:Fallback>
              </mc:AlternateContent>
            </w:r>
            <w:r>
              <w:rPr>
                <w:sz w:val="2"/>
              </w:rPr>
            </w:r>
          </w:p>
          <w:p>
            <w:pPr>
              <w:pStyle w:val="TableParagraph"/>
              <w:tabs>
                <w:tab w:pos="1100" w:val="left" w:leader="none"/>
              </w:tabs>
              <w:spacing w:before="210"/>
              <w:ind w:left="719"/>
              <w:rPr>
                <w:sz w:val="20"/>
              </w:rPr>
            </w:pPr>
            <w:r>
              <w:rPr>
                <w:sz w:val="20"/>
                <w:u w:val="double"/>
              </w:rPr>
              <w:tab/>
            </w:r>
            <w:r>
              <w:rPr>
                <w:spacing w:val="-2"/>
                <w:sz w:val="20"/>
                <w:u w:val="double"/>
              </w:rPr>
              <w:t>3,509</w:t>
            </w:r>
            <w:r>
              <w:rPr>
                <w:spacing w:val="80"/>
                <w:sz w:val="20"/>
                <w:u w:val="double"/>
              </w:rPr>
              <w:t> </w:t>
            </w:r>
          </w:p>
        </w:tc>
        <w:tc>
          <w:tcPr>
            <w:tcW w:w="996" w:type="dxa"/>
            <w:tcBorders>
              <w:top w:val="single" w:sz="4" w:space="0" w:color="000000"/>
            </w:tcBorders>
          </w:tcPr>
          <w:p>
            <w:pPr>
              <w:pStyle w:val="TableParagraph"/>
              <w:tabs>
                <w:tab w:pos="474" w:val="left" w:leader="none"/>
              </w:tabs>
              <w:spacing w:before="230"/>
              <w:ind w:left="-1"/>
              <w:jc w:val="right"/>
              <w:rPr>
                <w:sz w:val="20"/>
              </w:rPr>
            </w:pPr>
            <w:r>
              <w:rPr>
                <w:sz w:val="20"/>
                <w:u w:val="double"/>
              </w:rPr>
              <w:tab/>
            </w:r>
            <w:r>
              <w:rPr>
                <w:spacing w:val="-2"/>
                <w:sz w:val="20"/>
                <w:u w:val="double"/>
              </w:rPr>
              <w:t>(346)</w:t>
            </w:r>
            <w:r>
              <w:rPr>
                <w:spacing w:val="40"/>
                <w:sz w:val="20"/>
                <w:u w:val="double"/>
              </w:rPr>
              <w:t> </w:t>
            </w:r>
          </w:p>
        </w:tc>
      </w:tr>
      <w:tr>
        <w:trPr>
          <w:trHeight w:val="729" w:hRule="atLeast"/>
        </w:trPr>
        <w:tc>
          <w:tcPr>
            <w:tcW w:w="417" w:type="dxa"/>
          </w:tcPr>
          <w:p>
            <w:pPr>
              <w:pStyle w:val="TableParagraph"/>
              <w:rPr>
                <w:rFonts w:ascii="Times New Roman"/>
                <w:sz w:val="20"/>
              </w:rPr>
            </w:pPr>
          </w:p>
        </w:tc>
        <w:tc>
          <w:tcPr>
            <w:tcW w:w="6001" w:type="dxa"/>
          </w:tcPr>
          <w:p>
            <w:pPr>
              <w:pStyle w:val="TableParagraph"/>
              <w:spacing w:before="35"/>
              <w:rPr>
                <w:sz w:val="20"/>
              </w:rPr>
            </w:pPr>
          </w:p>
          <w:p>
            <w:pPr>
              <w:pStyle w:val="TableParagraph"/>
              <w:ind w:left="60"/>
              <w:rPr>
                <w:b/>
                <w:sz w:val="20"/>
              </w:rPr>
            </w:pPr>
            <w:r>
              <w:rPr>
                <w:b/>
                <w:sz w:val="20"/>
              </w:rPr>
              <w:t>(b)</w:t>
            </w:r>
            <w:r>
              <w:rPr>
                <w:b/>
                <w:spacing w:val="-6"/>
                <w:sz w:val="20"/>
              </w:rPr>
              <w:t> </w:t>
            </w:r>
            <w:r>
              <w:rPr>
                <w:b/>
                <w:sz w:val="20"/>
              </w:rPr>
              <w:t>Analysis</w:t>
            </w:r>
            <w:r>
              <w:rPr>
                <w:b/>
                <w:spacing w:val="-4"/>
                <w:sz w:val="20"/>
              </w:rPr>
              <w:t> </w:t>
            </w:r>
            <w:r>
              <w:rPr>
                <w:b/>
                <w:sz w:val="20"/>
              </w:rPr>
              <w:t>of</w:t>
            </w:r>
            <w:r>
              <w:rPr>
                <w:b/>
                <w:spacing w:val="-6"/>
                <w:sz w:val="20"/>
              </w:rPr>
              <w:t> </w:t>
            </w:r>
            <w:r>
              <w:rPr>
                <w:b/>
                <w:sz w:val="20"/>
              </w:rPr>
              <w:t>changes</w:t>
            </w:r>
            <w:r>
              <w:rPr>
                <w:b/>
                <w:spacing w:val="-4"/>
                <w:sz w:val="20"/>
              </w:rPr>
              <w:t> </w:t>
            </w:r>
            <w:r>
              <w:rPr>
                <w:b/>
                <w:sz w:val="20"/>
              </w:rPr>
              <w:t>in</w:t>
            </w:r>
            <w:r>
              <w:rPr>
                <w:b/>
                <w:spacing w:val="-6"/>
                <w:sz w:val="20"/>
              </w:rPr>
              <w:t> </w:t>
            </w:r>
            <w:r>
              <w:rPr>
                <w:b/>
                <w:sz w:val="20"/>
              </w:rPr>
              <w:t>net</w:t>
            </w:r>
            <w:r>
              <w:rPr>
                <w:b/>
                <w:spacing w:val="-5"/>
                <w:sz w:val="20"/>
              </w:rPr>
              <w:t> </w:t>
            </w:r>
            <w:r>
              <w:rPr>
                <w:b/>
                <w:spacing w:val="-2"/>
                <w:sz w:val="20"/>
              </w:rPr>
              <w:t>funds</w:t>
            </w:r>
          </w:p>
        </w:tc>
        <w:tc>
          <w:tcPr>
            <w:tcW w:w="2136" w:type="dxa"/>
          </w:tcPr>
          <w:p>
            <w:pPr>
              <w:pStyle w:val="TableParagraph"/>
              <w:rPr>
                <w:sz w:val="20"/>
              </w:rPr>
            </w:pPr>
          </w:p>
          <w:p>
            <w:pPr>
              <w:pStyle w:val="TableParagraph"/>
              <w:spacing w:before="35"/>
              <w:rPr>
                <w:sz w:val="20"/>
              </w:rPr>
            </w:pPr>
          </w:p>
          <w:p>
            <w:pPr>
              <w:pStyle w:val="TableParagraph"/>
              <w:tabs>
                <w:tab w:pos="715" w:val="left" w:leader="none"/>
              </w:tabs>
              <w:spacing w:line="214" w:lineRule="exact" w:before="1"/>
              <w:ind w:right="103"/>
              <w:jc w:val="right"/>
              <w:rPr>
                <w:b/>
                <w:sz w:val="20"/>
              </w:rPr>
            </w:pPr>
            <w:r>
              <w:rPr>
                <w:b/>
                <w:spacing w:val="-5"/>
                <w:sz w:val="20"/>
              </w:rPr>
              <w:t>At</w:t>
            </w:r>
            <w:r>
              <w:rPr>
                <w:b/>
                <w:sz w:val="20"/>
              </w:rPr>
              <w:tab/>
            </w:r>
            <w:r>
              <w:rPr>
                <w:b/>
                <w:spacing w:val="-4"/>
                <w:sz w:val="20"/>
              </w:rPr>
              <w:t>Cash</w:t>
            </w:r>
          </w:p>
        </w:tc>
        <w:tc>
          <w:tcPr>
            <w:tcW w:w="996" w:type="dxa"/>
          </w:tcPr>
          <w:p>
            <w:pPr>
              <w:pStyle w:val="TableParagraph"/>
              <w:rPr>
                <w:sz w:val="20"/>
              </w:rPr>
            </w:pPr>
          </w:p>
          <w:p>
            <w:pPr>
              <w:pStyle w:val="TableParagraph"/>
              <w:spacing w:before="35"/>
              <w:rPr>
                <w:sz w:val="20"/>
              </w:rPr>
            </w:pPr>
          </w:p>
          <w:p>
            <w:pPr>
              <w:pStyle w:val="TableParagraph"/>
              <w:spacing w:line="214" w:lineRule="exact" w:before="1"/>
              <w:ind w:left="-1" w:right="109"/>
              <w:jc w:val="right"/>
              <w:rPr>
                <w:b/>
                <w:sz w:val="20"/>
              </w:rPr>
            </w:pPr>
            <w:r>
              <w:rPr>
                <w:b/>
                <w:sz w:val="20"/>
              </w:rPr>
              <w:t>At</w:t>
            </w:r>
            <w:r>
              <w:rPr>
                <w:b/>
                <w:spacing w:val="-3"/>
                <w:sz w:val="20"/>
              </w:rPr>
              <w:t> </w:t>
            </w:r>
            <w:r>
              <w:rPr>
                <w:b/>
                <w:spacing w:val="-5"/>
                <w:sz w:val="20"/>
              </w:rPr>
              <w:t>31</w:t>
            </w:r>
          </w:p>
        </w:tc>
      </w:tr>
      <w:tr>
        <w:trPr>
          <w:trHeight w:val="229" w:hRule="atLeast"/>
        </w:trPr>
        <w:tc>
          <w:tcPr>
            <w:tcW w:w="417" w:type="dxa"/>
          </w:tcPr>
          <w:p>
            <w:pPr>
              <w:pStyle w:val="TableParagraph"/>
              <w:rPr>
                <w:rFonts w:ascii="Times New Roman"/>
                <w:sz w:val="16"/>
              </w:rPr>
            </w:pPr>
          </w:p>
        </w:tc>
        <w:tc>
          <w:tcPr>
            <w:tcW w:w="6001" w:type="dxa"/>
          </w:tcPr>
          <w:p>
            <w:pPr>
              <w:pStyle w:val="TableParagraph"/>
              <w:rPr>
                <w:rFonts w:ascii="Times New Roman"/>
                <w:sz w:val="16"/>
              </w:rPr>
            </w:pPr>
          </w:p>
        </w:tc>
        <w:tc>
          <w:tcPr>
            <w:tcW w:w="2136" w:type="dxa"/>
          </w:tcPr>
          <w:p>
            <w:pPr>
              <w:pStyle w:val="TableParagraph"/>
              <w:tabs>
                <w:tab w:pos="1334" w:val="left" w:leader="none"/>
              </w:tabs>
              <w:spacing w:line="209" w:lineRule="exact"/>
              <w:ind w:right="101"/>
              <w:jc w:val="right"/>
              <w:rPr>
                <w:b/>
                <w:sz w:val="20"/>
              </w:rPr>
            </w:pPr>
            <w:r>
              <w:rPr>
                <w:b/>
                <w:sz w:val="20"/>
              </w:rPr>
              <w:t>1</w:t>
            </w:r>
            <w:r>
              <w:rPr>
                <w:b/>
                <w:spacing w:val="-3"/>
                <w:sz w:val="20"/>
              </w:rPr>
              <w:t> </w:t>
            </w:r>
            <w:r>
              <w:rPr>
                <w:b/>
                <w:spacing w:val="-2"/>
                <w:sz w:val="20"/>
              </w:rPr>
              <w:t>August</w:t>
            </w:r>
            <w:r>
              <w:rPr>
                <w:b/>
                <w:sz w:val="20"/>
              </w:rPr>
              <w:tab/>
            </w:r>
            <w:r>
              <w:rPr>
                <w:b/>
                <w:spacing w:val="-4"/>
                <w:sz w:val="20"/>
              </w:rPr>
              <w:t>flows</w:t>
            </w:r>
          </w:p>
        </w:tc>
        <w:tc>
          <w:tcPr>
            <w:tcW w:w="996" w:type="dxa"/>
          </w:tcPr>
          <w:p>
            <w:pPr>
              <w:pStyle w:val="TableParagraph"/>
              <w:spacing w:line="209" w:lineRule="exact"/>
              <w:ind w:left="-1" w:right="111"/>
              <w:jc w:val="right"/>
              <w:rPr>
                <w:b/>
                <w:sz w:val="20"/>
              </w:rPr>
            </w:pPr>
            <w:r>
              <w:rPr>
                <w:b/>
                <w:spacing w:val="-4"/>
                <w:sz w:val="20"/>
              </w:rPr>
              <w:t>July</w:t>
            </w:r>
          </w:p>
        </w:tc>
      </w:tr>
      <w:tr>
        <w:trPr>
          <w:trHeight w:val="574" w:hRule="atLeast"/>
        </w:trPr>
        <w:tc>
          <w:tcPr>
            <w:tcW w:w="417" w:type="dxa"/>
          </w:tcPr>
          <w:p>
            <w:pPr>
              <w:pStyle w:val="TableParagraph"/>
              <w:rPr>
                <w:rFonts w:ascii="Times New Roman"/>
                <w:sz w:val="20"/>
              </w:rPr>
            </w:pPr>
          </w:p>
        </w:tc>
        <w:tc>
          <w:tcPr>
            <w:tcW w:w="6001" w:type="dxa"/>
          </w:tcPr>
          <w:p>
            <w:pPr>
              <w:pStyle w:val="TableParagraph"/>
              <w:rPr>
                <w:rFonts w:ascii="Times New Roman"/>
                <w:sz w:val="20"/>
              </w:rPr>
            </w:pPr>
          </w:p>
        </w:tc>
        <w:tc>
          <w:tcPr>
            <w:tcW w:w="2136" w:type="dxa"/>
          </w:tcPr>
          <w:p>
            <w:pPr>
              <w:pStyle w:val="TableParagraph"/>
              <w:spacing w:line="225" w:lineRule="exact"/>
              <w:ind w:left="596"/>
              <w:rPr>
                <w:b/>
                <w:sz w:val="20"/>
              </w:rPr>
            </w:pPr>
            <w:r>
              <w:rPr>
                <w:b/>
                <w:spacing w:val="-4"/>
                <w:sz w:val="20"/>
              </w:rPr>
              <w:t>2022</w:t>
            </w:r>
          </w:p>
          <w:p>
            <w:pPr>
              <w:pStyle w:val="TableParagraph"/>
              <w:tabs>
                <w:tab w:pos="1532" w:val="left" w:leader="none"/>
              </w:tabs>
              <w:ind w:left="541"/>
              <w:rPr>
                <w:b/>
                <w:sz w:val="20"/>
              </w:rPr>
            </w:pPr>
            <w:r>
              <w:rPr>
                <w:b/>
                <w:spacing w:val="-2"/>
                <w:sz w:val="20"/>
              </w:rPr>
              <w:t>£’000</w:t>
            </w:r>
            <w:r>
              <w:rPr>
                <w:b/>
                <w:sz w:val="20"/>
              </w:rPr>
              <w:tab/>
            </w:r>
            <w:r>
              <w:rPr>
                <w:b/>
                <w:spacing w:val="-4"/>
                <w:sz w:val="20"/>
              </w:rPr>
              <w:t>£’000</w:t>
            </w:r>
          </w:p>
        </w:tc>
        <w:tc>
          <w:tcPr>
            <w:tcW w:w="996" w:type="dxa"/>
          </w:tcPr>
          <w:p>
            <w:pPr>
              <w:pStyle w:val="TableParagraph"/>
              <w:spacing w:line="225" w:lineRule="exact"/>
              <w:ind w:left="440"/>
              <w:rPr>
                <w:b/>
                <w:sz w:val="20"/>
              </w:rPr>
            </w:pPr>
            <w:r>
              <w:rPr>
                <w:b/>
                <w:spacing w:val="-4"/>
                <w:sz w:val="20"/>
              </w:rPr>
              <w:t>2023</w:t>
            </w:r>
          </w:p>
          <w:p>
            <w:pPr>
              <w:pStyle w:val="TableParagraph"/>
              <w:ind w:left="383"/>
              <w:rPr>
                <w:b/>
                <w:sz w:val="20"/>
              </w:rPr>
            </w:pPr>
            <w:r>
              <w:rPr>
                <w:b/>
                <w:spacing w:val="-2"/>
                <w:sz w:val="20"/>
              </w:rPr>
              <w:t>£’000</w:t>
            </w:r>
          </w:p>
        </w:tc>
      </w:tr>
      <w:tr>
        <w:trPr>
          <w:trHeight w:val="572" w:hRule="atLeast"/>
        </w:trPr>
        <w:tc>
          <w:tcPr>
            <w:tcW w:w="417" w:type="dxa"/>
          </w:tcPr>
          <w:p>
            <w:pPr>
              <w:pStyle w:val="TableParagraph"/>
              <w:rPr>
                <w:rFonts w:ascii="Times New Roman"/>
                <w:sz w:val="20"/>
              </w:rPr>
            </w:pPr>
          </w:p>
        </w:tc>
        <w:tc>
          <w:tcPr>
            <w:tcW w:w="6001" w:type="dxa"/>
          </w:tcPr>
          <w:p>
            <w:pPr>
              <w:pStyle w:val="TableParagraph"/>
              <w:spacing w:before="112"/>
              <w:ind w:left="60"/>
              <w:rPr>
                <w:sz w:val="20"/>
              </w:rPr>
            </w:pPr>
            <w:r>
              <w:rPr>
                <w:sz w:val="20"/>
              </w:rPr>
              <w:t>Cash</w:t>
            </w:r>
            <w:r>
              <w:rPr>
                <w:spacing w:val="-5"/>
                <w:sz w:val="20"/>
              </w:rPr>
              <w:t> </w:t>
            </w:r>
            <w:r>
              <w:rPr>
                <w:sz w:val="20"/>
              </w:rPr>
              <w:t>and</w:t>
            </w:r>
            <w:r>
              <w:rPr>
                <w:spacing w:val="-4"/>
                <w:sz w:val="20"/>
              </w:rPr>
              <w:t> </w:t>
            </w:r>
            <w:r>
              <w:rPr>
                <w:sz w:val="20"/>
              </w:rPr>
              <w:t>cash</w:t>
            </w:r>
            <w:r>
              <w:rPr>
                <w:spacing w:val="-5"/>
                <w:sz w:val="20"/>
              </w:rPr>
              <w:t> </w:t>
            </w:r>
            <w:r>
              <w:rPr>
                <w:spacing w:val="-2"/>
                <w:sz w:val="20"/>
              </w:rPr>
              <w:t>equivalents</w:t>
            </w:r>
          </w:p>
        </w:tc>
        <w:tc>
          <w:tcPr>
            <w:tcW w:w="2136" w:type="dxa"/>
          </w:tcPr>
          <w:p>
            <w:pPr>
              <w:pStyle w:val="TableParagraph"/>
              <w:tabs>
                <w:tab w:pos="991" w:val="left" w:leader="none"/>
              </w:tabs>
              <w:spacing w:before="112"/>
              <w:ind w:right="104"/>
              <w:jc w:val="right"/>
              <w:rPr>
                <w:sz w:val="20"/>
              </w:rPr>
            </w:pPr>
            <w:r>
              <w:rPr>
                <w:spacing w:val="-2"/>
                <w:sz w:val="20"/>
              </w:rPr>
              <w:t>7,030</w:t>
            </w:r>
            <w:r>
              <w:rPr>
                <w:sz w:val="20"/>
              </w:rPr>
              <w:tab/>
            </w:r>
            <w:r>
              <w:rPr>
                <w:spacing w:val="-4"/>
                <w:sz w:val="20"/>
              </w:rPr>
              <w:t>1,391</w:t>
            </w:r>
          </w:p>
        </w:tc>
        <w:tc>
          <w:tcPr>
            <w:tcW w:w="996" w:type="dxa"/>
          </w:tcPr>
          <w:p>
            <w:pPr>
              <w:pStyle w:val="TableParagraph"/>
              <w:spacing w:before="112"/>
              <w:ind w:left="383"/>
              <w:rPr>
                <w:sz w:val="20"/>
              </w:rPr>
            </w:pPr>
            <w:r>
              <w:rPr>
                <w:spacing w:val="-2"/>
                <w:sz w:val="20"/>
              </w:rPr>
              <w:t>8,421</w:t>
            </w:r>
          </w:p>
        </w:tc>
      </w:tr>
      <w:tr>
        <w:trPr>
          <w:trHeight w:val="229" w:hRule="atLeast"/>
        </w:trPr>
        <w:tc>
          <w:tcPr>
            <w:tcW w:w="6418" w:type="dxa"/>
            <w:gridSpan w:val="2"/>
          </w:tcPr>
          <w:p>
            <w:pPr>
              <w:pStyle w:val="TableParagraph"/>
              <w:spacing w:line="209" w:lineRule="exact"/>
              <w:ind w:left="477"/>
              <w:rPr>
                <w:b/>
                <w:sz w:val="20"/>
              </w:rPr>
            </w:pPr>
            <w:r>
              <w:rPr>
                <w:b/>
                <w:spacing w:val="-2"/>
                <w:sz w:val="20"/>
              </w:rPr>
              <w:t>Total</w:t>
            </w:r>
          </w:p>
        </w:tc>
        <w:tc>
          <w:tcPr>
            <w:tcW w:w="3132" w:type="dxa"/>
            <w:gridSpan w:val="2"/>
            <w:tcBorders>
              <w:top w:val="single" w:sz="4" w:space="0" w:color="000000"/>
            </w:tcBorders>
          </w:tcPr>
          <w:p>
            <w:pPr>
              <w:pStyle w:val="TableParagraph"/>
              <w:tabs>
                <w:tab w:pos="539" w:val="left" w:leader="none"/>
                <w:tab w:pos="1530" w:val="left" w:leader="none"/>
                <w:tab w:pos="2519" w:val="left" w:leader="none"/>
              </w:tabs>
              <w:spacing w:line="209" w:lineRule="exact"/>
              <w:ind w:left="-1"/>
              <w:rPr>
                <w:b/>
                <w:sz w:val="20"/>
              </w:rPr>
            </w:pPr>
            <w:r>
              <w:rPr>
                <w:b/>
                <w:sz w:val="20"/>
                <w:u w:val="single"/>
              </w:rPr>
              <w:tab/>
            </w:r>
            <w:r>
              <w:rPr>
                <w:b/>
                <w:spacing w:val="-2"/>
                <w:sz w:val="20"/>
                <w:u w:val="single"/>
              </w:rPr>
              <w:t>7,030</w:t>
            </w:r>
            <w:r>
              <w:rPr>
                <w:b/>
                <w:sz w:val="20"/>
                <w:u w:val="single"/>
              </w:rPr>
              <w:tab/>
            </w:r>
            <w:r>
              <w:rPr>
                <w:b/>
                <w:spacing w:val="-4"/>
                <w:sz w:val="20"/>
                <w:u w:val="single"/>
              </w:rPr>
              <w:t>1,391</w:t>
            </w:r>
            <w:r>
              <w:rPr>
                <w:b/>
                <w:sz w:val="20"/>
                <w:u w:val="single"/>
              </w:rPr>
              <w:tab/>
            </w:r>
            <w:r>
              <w:rPr>
                <w:b/>
                <w:spacing w:val="-2"/>
                <w:sz w:val="20"/>
                <w:u w:val="single"/>
              </w:rPr>
              <w:t>8,421</w:t>
            </w:r>
            <w:r>
              <w:rPr>
                <w:b/>
                <w:spacing w:val="80"/>
                <w:sz w:val="20"/>
                <w:u w:val="single"/>
              </w:rPr>
              <w:t> </w:t>
            </w:r>
          </w:p>
        </w:tc>
      </w:tr>
    </w:tbl>
    <w:p>
      <w:pPr>
        <w:pStyle w:val="TableParagraph"/>
        <w:spacing w:after="0" w:line="209" w:lineRule="exact"/>
        <w:rPr>
          <w:b/>
          <w:sz w:val="20"/>
        </w:rPr>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ind w:left="425"/>
      </w:pPr>
      <w:r>
        <w:rPr/>
        <w:t>18.</w:t>
      </w:r>
      <w:r>
        <w:rPr>
          <w:spacing w:val="53"/>
        </w:rPr>
        <w:t> </w:t>
      </w:r>
      <w:r>
        <w:rPr/>
        <w:t>Retirement</w:t>
      </w:r>
      <w:r>
        <w:rPr>
          <w:spacing w:val="-4"/>
        </w:rPr>
        <w:t> </w:t>
      </w:r>
      <w:r>
        <w:rPr>
          <w:spacing w:val="-2"/>
        </w:rPr>
        <w:t>benefits</w:t>
      </w:r>
    </w:p>
    <w:p>
      <w:pPr>
        <w:pStyle w:val="BodyText"/>
        <w:rPr>
          <w:b/>
          <w:sz w:val="22"/>
        </w:rPr>
      </w:pPr>
    </w:p>
    <w:p>
      <w:pPr>
        <w:pStyle w:val="BodyText"/>
        <w:ind w:left="852" w:right="610"/>
        <w:jc w:val="both"/>
      </w:pPr>
      <w:r>
        <w:rPr/>
        <w:t>The</w:t>
      </w:r>
      <w:r>
        <w:rPr>
          <w:spacing w:val="-4"/>
        </w:rPr>
        <w:t> </w:t>
      </w:r>
      <w:r>
        <w:rPr/>
        <w:t>College’s</w:t>
      </w:r>
      <w:r>
        <w:rPr>
          <w:spacing w:val="-3"/>
        </w:rPr>
        <w:t> </w:t>
      </w:r>
      <w:r>
        <w:rPr/>
        <w:t>employees</w:t>
      </w:r>
      <w:r>
        <w:rPr>
          <w:spacing w:val="-3"/>
        </w:rPr>
        <w:t> </w:t>
      </w:r>
      <w:r>
        <w:rPr/>
        <w:t>belong</w:t>
      </w:r>
      <w:r>
        <w:rPr>
          <w:spacing w:val="-4"/>
        </w:rPr>
        <w:t> </w:t>
      </w:r>
      <w:r>
        <w:rPr/>
        <w:t>to</w:t>
      </w:r>
      <w:r>
        <w:rPr>
          <w:spacing w:val="-4"/>
        </w:rPr>
        <w:t> </w:t>
      </w:r>
      <w:r>
        <w:rPr/>
        <w:t>two</w:t>
      </w:r>
      <w:r>
        <w:rPr>
          <w:spacing w:val="-2"/>
        </w:rPr>
        <w:t> </w:t>
      </w:r>
      <w:r>
        <w:rPr/>
        <w:t>principal</w:t>
      </w:r>
      <w:r>
        <w:rPr>
          <w:spacing w:val="-5"/>
        </w:rPr>
        <w:t> </w:t>
      </w:r>
      <w:r>
        <w:rPr/>
        <w:t>post-employment</w:t>
      </w:r>
      <w:r>
        <w:rPr>
          <w:spacing w:val="-4"/>
        </w:rPr>
        <w:t> </w:t>
      </w:r>
      <w:r>
        <w:rPr/>
        <w:t>benefit</w:t>
      </w:r>
      <w:r>
        <w:rPr>
          <w:spacing w:val="-2"/>
        </w:rPr>
        <w:t> </w:t>
      </w:r>
      <w:r>
        <w:rPr/>
        <w:t>plans:</w:t>
      </w:r>
      <w:r>
        <w:rPr>
          <w:spacing w:val="-4"/>
        </w:rPr>
        <w:t> </w:t>
      </w:r>
      <w:r>
        <w:rPr/>
        <w:t>the</w:t>
      </w:r>
      <w:r>
        <w:rPr>
          <w:spacing w:val="-4"/>
        </w:rPr>
        <w:t> </w:t>
      </w:r>
      <w:r>
        <w:rPr/>
        <w:t>Teachers’</w:t>
      </w:r>
      <w:r>
        <w:rPr>
          <w:spacing w:val="-5"/>
        </w:rPr>
        <w:t> </w:t>
      </w:r>
      <w:r>
        <w:rPr/>
        <w:t>Pension Scheme England and Wales (TPS) for academic and related staff; and the East Riding Pension Fund (ERPF) for non-teaching staff, which is managed by East Riding Council. Both are multi-employer defined-benefit</w:t>
      </w:r>
      <w:r>
        <w:rPr>
          <w:spacing w:val="-9"/>
        </w:rPr>
        <w:t> </w:t>
      </w:r>
      <w:r>
        <w:rPr/>
        <w:t>plans</w:t>
      </w:r>
      <w:r>
        <w:rPr>
          <w:sz w:val="24"/>
        </w:rPr>
        <w:t>.</w:t>
      </w:r>
      <w:r>
        <w:rPr>
          <w:spacing w:val="23"/>
          <w:sz w:val="24"/>
        </w:rPr>
        <w:t> </w:t>
      </w:r>
      <w:r>
        <w:rPr/>
        <w:t>The</w:t>
      </w:r>
      <w:r>
        <w:rPr>
          <w:spacing w:val="-9"/>
        </w:rPr>
        <w:t> </w:t>
      </w:r>
      <w:r>
        <w:rPr/>
        <w:t>employees</w:t>
      </w:r>
      <w:r>
        <w:rPr>
          <w:spacing w:val="-10"/>
        </w:rPr>
        <w:t> </w:t>
      </w:r>
      <w:r>
        <w:rPr/>
        <w:t>of</w:t>
      </w:r>
      <w:r>
        <w:rPr>
          <w:spacing w:val="-11"/>
        </w:rPr>
        <w:t> </w:t>
      </w:r>
      <w:r>
        <w:rPr/>
        <w:t>the</w:t>
      </w:r>
      <w:r>
        <w:rPr>
          <w:spacing w:val="-11"/>
        </w:rPr>
        <w:t> </w:t>
      </w:r>
      <w:r>
        <w:rPr/>
        <w:t>subsidiaries</w:t>
      </w:r>
      <w:r>
        <w:rPr>
          <w:spacing w:val="-10"/>
        </w:rPr>
        <w:t> </w:t>
      </w:r>
      <w:r>
        <w:rPr/>
        <w:t>may</w:t>
      </w:r>
      <w:r>
        <w:rPr>
          <w:spacing w:val="-10"/>
        </w:rPr>
        <w:t> </w:t>
      </w:r>
      <w:r>
        <w:rPr/>
        <w:t>also</w:t>
      </w:r>
      <w:r>
        <w:rPr>
          <w:spacing w:val="-9"/>
        </w:rPr>
        <w:t> </w:t>
      </w:r>
      <w:r>
        <w:rPr/>
        <w:t>be</w:t>
      </w:r>
      <w:r>
        <w:rPr>
          <w:spacing w:val="-9"/>
        </w:rPr>
        <w:t> </w:t>
      </w:r>
      <w:r>
        <w:rPr/>
        <w:t>members</w:t>
      </w:r>
      <w:r>
        <w:rPr>
          <w:spacing w:val="-10"/>
        </w:rPr>
        <w:t> </w:t>
      </w:r>
      <w:r>
        <w:rPr/>
        <w:t>of</w:t>
      </w:r>
      <w:r>
        <w:rPr>
          <w:spacing w:val="-9"/>
        </w:rPr>
        <w:t> </w:t>
      </w:r>
      <w:r>
        <w:rPr/>
        <w:t>a</w:t>
      </w:r>
      <w:r>
        <w:rPr>
          <w:spacing w:val="-11"/>
        </w:rPr>
        <w:t> </w:t>
      </w:r>
      <w:r>
        <w:rPr/>
        <w:t>defined</w:t>
      </w:r>
      <w:r>
        <w:rPr>
          <w:spacing w:val="-11"/>
        </w:rPr>
        <w:t> </w:t>
      </w:r>
      <w:r>
        <w:rPr/>
        <w:t>contribution stakeholder pension scheme.</w:t>
      </w:r>
    </w:p>
    <w:p>
      <w:pPr>
        <w:pStyle w:val="BodyText"/>
      </w:pPr>
    </w:p>
    <w:p>
      <w:pPr>
        <w:pStyle w:val="BodyText"/>
        <w:ind w:left="852" w:right="609"/>
        <w:jc w:val="both"/>
      </w:pPr>
      <w:r>
        <w:rPr/>
        <w:t>The group also operates a defined benefit contribution scheme for all qualifying employees. The assets of the scheme are held separately from those of the group in an independently administered fund.</w:t>
      </w:r>
    </w:p>
    <w:p>
      <w:pPr>
        <w:pStyle w:val="BodyText"/>
        <w:spacing w:before="29" w:after="1"/>
      </w:pP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1"/>
        <w:gridCol w:w="1466"/>
        <w:gridCol w:w="811"/>
        <w:gridCol w:w="1212"/>
        <w:gridCol w:w="861"/>
      </w:tblGrid>
      <w:tr>
        <w:trPr>
          <w:trHeight w:val="572" w:hRule="atLeast"/>
        </w:trPr>
        <w:tc>
          <w:tcPr>
            <w:tcW w:w="4161" w:type="dxa"/>
          </w:tcPr>
          <w:p>
            <w:pPr>
              <w:pStyle w:val="TableParagraph"/>
              <w:spacing w:line="223" w:lineRule="exact"/>
              <w:ind w:left="50"/>
              <w:rPr>
                <w:b/>
                <w:sz w:val="20"/>
              </w:rPr>
            </w:pPr>
            <w:r>
              <w:rPr>
                <w:b/>
                <w:sz w:val="20"/>
              </w:rPr>
              <w:t>Total</w:t>
            </w:r>
            <w:r>
              <w:rPr>
                <w:b/>
                <w:spacing w:val="-7"/>
                <w:sz w:val="20"/>
              </w:rPr>
              <w:t> </w:t>
            </w:r>
            <w:r>
              <w:rPr>
                <w:b/>
                <w:sz w:val="20"/>
              </w:rPr>
              <w:t>pension</w:t>
            </w:r>
            <w:r>
              <w:rPr>
                <w:b/>
                <w:spacing w:val="-6"/>
                <w:sz w:val="20"/>
              </w:rPr>
              <w:t> </w:t>
            </w:r>
            <w:r>
              <w:rPr>
                <w:b/>
                <w:sz w:val="20"/>
              </w:rPr>
              <w:t>cost</w:t>
            </w:r>
            <w:r>
              <w:rPr>
                <w:b/>
                <w:spacing w:val="-5"/>
                <w:sz w:val="20"/>
              </w:rPr>
              <w:t> </w:t>
            </w:r>
            <w:r>
              <w:rPr>
                <w:b/>
                <w:sz w:val="20"/>
              </w:rPr>
              <w:t>for</w:t>
            </w:r>
            <w:r>
              <w:rPr>
                <w:b/>
                <w:spacing w:val="-5"/>
                <w:sz w:val="20"/>
              </w:rPr>
              <w:t> </w:t>
            </w:r>
            <w:r>
              <w:rPr>
                <w:b/>
                <w:sz w:val="20"/>
              </w:rPr>
              <w:t>the</w:t>
            </w:r>
            <w:r>
              <w:rPr>
                <w:b/>
                <w:spacing w:val="-5"/>
                <w:sz w:val="20"/>
              </w:rPr>
              <w:t> </w:t>
            </w:r>
            <w:r>
              <w:rPr>
                <w:b/>
                <w:spacing w:val="-4"/>
                <w:sz w:val="20"/>
              </w:rPr>
              <w:t>year</w:t>
            </w:r>
          </w:p>
        </w:tc>
        <w:tc>
          <w:tcPr>
            <w:tcW w:w="1466" w:type="dxa"/>
          </w:tcPr>
          <w:p>
            <w:pPr>
              <w:pStyle w:val="TableParagraph"/>
              <w:rPr>
                <w:rFonts w:ascii="Times New Roman"/>
                <w:sz w:val="20"/>
              </w:rPr>
            </w:pPr>
          </w:p>
        </w:tc>
        <w:tc>
          <w:tcPr>
            <w:tcW w:w="811" w:type="dxa"/>
          </w:tcPr>
          <w:p>
            <w:pPr>
              <w:pStyle w:val="TableParagraph"/>
              <w:spacing w:line="223" w:lineRule="exact"/>
              <w:ind w:left="257"/>
              <w:rPr>
                <w:b/>
                <w:sz w:val="20"/>
              </w:rPr>
            </w:pPr>
            <w:r>
              <w:rPr>
                <w:b/>
                <w:spacing w:val="-4"/>
                <w:sz w:val="20"/>
              </w:rPr>
              <w:t>2023</w:t>
            </w:r>
          </w:p>
          <w:p>
            <w:pPr>
              <w:pStyle w:val="TableParagraph"/>
              <w:ind w:left="199"/>
              <w:rPr>
                <w:b/>
                <w:sz w:val="20"/>
              </w:rPr>
            </w:pPr>
            <w:r>
              <w:rPr>
                <w:b/>
                <w:spacing w:val="-2"/>
                <w:sz w:val="20"/>
              </w:rPr>
              <w:t>£’000</w:t>
            </w:r>
          </w:p>
        </w:tc>
        <w:tc>
          <w:tcPr>
            <w:tcW w:w="1212" w:type="dxa"/>
          </w:tcPr>
          <w:p>
            <w:pPr>
              <w:pStyle w:val="TableParagraph"/>
              <w:rPr>
                <w:rFonts w:ascii="Times New Roman"/>
                <w:sz w:val="20"/>
              </w:rPr>
            </w:pPr>
          </w:p>
        </w:tc>
        <w:tc>
          <w:tcPr>
            <w:tcW w:w="861" w:type="dxa"/>
          </w:tcPr>
          <w:p>
            <w:pPr>
              <w:pStyle w:val="TableParagraph"/>
              <w:spacing w:line="223" w:lineRule="exact"/>
              <w:ind w:left="259"/>
              <w:rPr>
                <w:b/>
                <w:sz w:val="20"/>
              </w:rPr>
            </w:pPr>
            <w:r>
              <w:rPr>
                <w:b/>
                <w:spacing w:val="-4"/>
                <w:sz w:val="20"/>
              </w:rPr>
              <w:t>2022</w:t>
            </w:r>
          </w:p>
          <w:p>
            <w:pPr>
              <w:pStyle w:val="TableParagraph"/>
              <w:ind w:left="202"/>
              <w:rPr>
                <w:b/>
                <w:sz w:val="20"/>
              </w:rPr>
            </w:pPr>
            <w:r>
              <w:rPr>
                <w:b/>
                <w:spacing w:val="-2"/>
                <w:sz w:val="20"/>
              </w:rPr>
              <w:t>£’000</w:t>
            </w:r>
          </w:p>
        </w:tc>
      </w:tr>
      <w:tr>
        <w:trPr>
          <w:trHeight w:val="1034" w:hRule="atLeast"/>
        </w:trPr>
        <w:tc>
          <w:tcPr>
            <w:tcW w:w="4161" w:type="dxa"/>
          </w:tcPr>
          <w:p>
            <w:pPr>
              <w:pStyle w:val="TableParagraph"/>
              <w:spacing w:before="112"/>
              <w:ind w:left="50" w:right="206"/>
              <w:rPr>
                <w:sz w:val="20"/>
              </w:rPr>
            </w:pPr>
            <w:r>
              <w:rPr>
                <w:sz w:val="20"/>
              </w:rPr>
              <w:t>Teachers’</w:t>
            </w:r>
            <w:r>
              <w:rPr>
                <w:spacing w:val="-14"/>
                <w:sz w:val="20"/>
              </w:rPr>
              <w:t> </w:t>
            </w:r>
            <w:r>
              <w:rPr>
                <w:sz w:val="20"/>
              </w:rPr>
              <w:t>Pension</w:t>
            </w:r>
            <w:r>
              <w:rPr>
                <w:spacing w:val="-14"/>
                <w:sz w:val="20"/>
              </w:rPr>
              <w:t> </w:t>
            </w:r>
            <w:r>
              <w:rPr>
                <w:sz w:val="20"/>
              </w:rPr>
              <w:t>Scheme:</w:t>
            </w:r>
            <w:r>
              <w:rPr>
                <w:spacing w:val="-14"/>
                <w:sz w:val="20"/>
              </w:rPr>
              <w:t> </w:t>
            </w:r>
            <w:r>
              <w:rPr>
                <w:sz w:val="20"/>
              </w:rPr>
              <w:t>contributions </w:t>
            </w:r>
            <w:r>
              <w:rPr>
                <w:spacing w:val="-4"/>
                <w:sz w:val="20"/>
              </w:rPr>
              <w:t>paid</w:t>
            </w:r>
          </w:p>
          <w:p>
            <w:pPr>
              <w:pStyle w:val="TableParagraph"/>
              <w:spacing w:line="230" w:lineRule="exact"/>
              <w:ind w:left="50" w:right="625"/>
              <w:rPr>
                <w:sz w:val="20"/>
              </w:rPr>
            </w:pPr>
            <w:r>
              <w:rPr>
                <w:sz w:val="20"/>
              </w:rPr>
              <w:t>East</w:t>
            </w:r>
            <w:r>
              <w:rPr>
                <w:spacing w:val="-14"/>
                <w:sz w:val="20"/>
              </w:rPr>
              <w:t> </w:t>
            </w:r>
            <w:r>
              <w:rPr>
                <w:sz w:val="20"/>
              </w:rPr>
              <w:t>Riding</w:t>
            </w:r>
            <w:r>
              <w:rPr>
                <w:spacing w:val="-13"/>
                <w:sz w:val="20"/>
              </w:rPr>
              <w:t> </w:t>
            </w:r>
            <w:r>
              <w:rPr>
                <w:sz w:val="20"/>
              </w:rPr>
              <w:t>Pension</w:t>
            </w:r>
            <w:r>
              <w:rPr>
                <w:spacing w:val="-14"/>
                <w:sz w:val="20"/>
              </w:rPr>
              <w:t> </w:t>
            </w:r>
            <w:r>
              <w:rPr>
                <w:sz w:val="20"/>
              </w:rPr>
              <w:t>Fund: Contributions paid</w:t>
            </w:r>
          </w:p>
        </w:tc>
        <w:tc>
          <w:tcPr>
            <w:tcW w:w="1466" w:type="dxa"/>
          </w:tcPr>
          <w:p>
            <w:pPr>
              <w:pStyle w:val="TableParagraph"/>
              <w:rPr>
                <w:sz w:val="20"/>
              </w:rPr>
            </w:pPr>
          </w:p>
          <w:p>
            <w:pPr>
              <w:pStyle w:val="TableParagraph"/>
              <w:rPr>
                <w:sz w:val="20"/>
              </w:rPr>
            </w:pPr>
          </w:p>
          <w:p>
            <w:pPr>
              <w:pStyle w:val="TableParagraph"/>
              <w:spacing w:before="110"/>
              <w:rPr>
                <w:sz w:val="20"/>
              </w:rPr>
            </w:pPr>
          </w:p>
          <w:p>
            <w:pPr>
              <w:pStyle w:val="TableParagraph"/>
              <w:spacing w:line="214" w:lineRule="exact"/>
              <w:ind w:right="309"/>
              <w:jc w:val="right"/>
              <w:rPr>
                <w:sz w:val="20"/>
              </w:rPr>
            </w:pPr>
            <w:r>
              <w:rPr>
                <w:spacing w:val="-5"/>
                <w:sz w:val="20"/>
              </w:rPr>
              <w:t>746</w:t>
            </w:r>
          </w:p>
        </w:tc>
        <w:tc>
          <w:tcPr>
            <w:tcW w:w="811" w:type="dxa"/>
          </w:tcPr>
          <w:p>
            <w:pPr>
              <w:pStyle w:val="TableParagraph"/>
              <w:spacing w:before="112"/>
              <w:ind w:right="109"/>
              <w:jc w:val="right"/>
              <w:rPr>
                <w:sz w:val="20"/>
              </w:rPr>
            </w:pPr>
            <w:r>
              <w:rPr>
                <w:spacing w:val="-2"/>
                <w:sz w:val="20"/>
              </w:rPr>
              <w:t>1,205</w:t>
            </w:r>
          </w:p>
        </w:tc>
        <w:tc>
          <w:tcPr>
            <w:tcW w:w="1212" w:type="dxa"/>
          </w:tcPr>
          <w:p>
            <w:pPr>
              <w:pStyle w:val="TableParagraph"/>
              <w:rPr>
                <w:sz w:val="20"/>
              </w:rPr>
            </w:pPr>
          </w:p>
          <w:p>
            <w:pPr>
              <w:pStyle w:val="TableParagraph"/>
              <w:rPr>
                <w:sz w:val="20"/>
              </w:rPr>
            </w:pPr>
          </w:p>
          <w:p>
            <w:pPr>
              <w:pStyle w:val="TableParagraph"/>
              <w:spacing w:before="110"/>
              <w:rPr>
                <w:sz w:val="20"/>
              </w:rPr>
            </w:pPr>
          </w:p>
          <w:p>
            <w:pPr>
              <w:pStyle w:val="TableParagraph"/>
              <w:spacing w:line="214" w:lineRule="exact"/>
              <w:ind w:left="569"/>
              <w:rPr>
                <w:sz w:val="20"/>
              </w:rPr>
            </w:pPr>
            <w:r>
              <w:rPr>
                <w:spacing w:val="-5"/>
                <w:sz w:val="20"/>
              </w:rPr>
              <w:t>735</w:t>
            </w:r>
          </w:p>
        </w:tc>
        <w:tc>
          <w:tcPr>
            <w:tcW w:w="861" w:type="dxa"/>
          </w:tcPr>
          <w:p>
            <w:pPr>
              <w:pStyle w:val="TableParagraph"/>
              <w:spacing w:before="112"/>
              <w:ind w:right="157"/>
              <w:jc w:val="right"/>
              <w:rPr>
                <w:sz w:val="20"/>
              </w:rPr>
            </w:pPr>
            <w:r>
              <w:rPr>
                <w:spacing w:val="-2"/>
                <w:sz w:val="20"/>
              </w:rPr>
              <w:t>1,292</w:t>
            </w:r>
          </w:p>
        </w:tc>
      </w:tr>
      <w:tr>
        <w:trPr>
          <w:trHeight w:val="230" w:hRule="atLeast"/>
        </w:trPr>
        <w:tc>
          <w:tcPr>
            <w:tcW w:w="4161" w:type="dxa"/>
          </w:tcPr>
          <w:p>
            <w:pPr>
              <w:pStyle w:val="TableParagraph"/>
              <w:spacing w:line="210" w:lineRule="exact"/>
              <w:ind w:left="50"/>
              <w:rPr>
                <w:sz w:val="20"/>
              </w:rPr>
            </w:pPr>
            <w:r>
              <w:rPr>
                <w:sz w:val="20"/>
              </w:rPr>
              <w:t>Deficit</w:t>
            </w:r>
            <w:r>
              <w:rPr>
                <w:spacing w:val="-9"/>
                <w:sz w:val="20"/>
              </w:rPr>
              <w:t> </w:t>
            </w:r>
            <w:r>
              <w:rPr>
                <w:spacing w:val="-2"/>
                <w:sz w:val="20"/>
              </w:rPr>
              <w:t>funding</w:t>
            </w:r>
          </w:p>
        </w:tc>
        <w:tc>
          <w:tcPr>
            <w:tcW w:w="1466" w:type="dxa"/>
          </w:tcPr>
          <w:p>
            <w:pPr>
              <w:pStyle w:val="TableParagraph"/>
              <w:spacing w:line="210" w:lineRule="exact"/>
              <w:ind w:right="309"/>
              <w:jc w:val="right"/>
              <w:rPr>
                <w:sz w:val="20"/>
              </w:rPr>
            </w:pPr>
            <w:r>
              <w:rPr>
                <w:spacing w:val="-5"/>
                <w:sz w:val="20"/>
              </w:rPr>
              <w:t>107</w:t>
            </w:r>
          </w:p>
        </w:tc>
        <w:tc>
          <w:tcPr>
            <w:tcW w:w="811" w:type="dxa"/>
          </w:tcPr>
          <w:p>
            <w:pPr>
              <w:pStyle w:val="TableParagraph"/>
              <w:rPr>
                <w:rFonts w:ascii="Times New Roman"/>
                <w:sz w:val="16"/>
              </w:rPr>
            </w:pPr>
          </w:p>
        </w:tc>
        <w:tc>
          <w:tcPr>
            <w:tcW w:w="1212" w:type="dxa"/>
          </w:tcPr>
          <w:p>
            <w:pPr>
              <w:pStyle w:val="TableParagraph"/>
              <w:spacing w:line="210" w:lineRule="exact"/>
              <w:ind w:left="569"/>
              <w:rPr>
                <w:sz w:val="20"/>
              </w:rPr>
            </w:pPr>
            <w:r>
              <w:rPr>
                <w:spacing w:val="-5"/>
                <w:sz w:val="20"/>
              </w:rPr>
              <w:t>107</w:t>
            </w:r>
          </w:p>
        </w:tc>
        <w:tc>
          <w:tcPr>
            <w:tcW w:w="861" w:type="dxa"/>
          </w:tcPr>
          <w:p>
            <w:pPr>
              <w:pStyle w:val="TableParagraph"/>
              <w:rPr>
                <w:rFonts w:ascii="Times New Roman"/>
                <w:sz w:val="16"/>
              </w:rPr>
            </w:pPr>
          </w:p>
        </w:tc>
      </w:tr>
      <w:tr>
        <w:trPr>
          <w:trHeight w:val="235" w:hRule="atLeast"/>
        </w:trPr>
        <w:tc>
          <w:tcPr>
            <w:tcW w:w="4161" w:type="dxa"/>
          </w:tcPr>
          <w:p>
            <w:pPr>
              <w:pStyle w:val="TableParagraph"/>
              <w:spacing w:line="215" w:lineRule="exact"/>
              <w:ind w:left="50"/>
              <w:rPr>
                <w:sz w:val="20"/>
              </w:rPr>
            </w:pPr>
            <w:r>
              <w:rPr>
                <w:sz w:val="20"/>
              </w:rPr>
              <w:t>FRS</w:t>
            </w:r>
            <w:r>
              <w:rPr>
                <w:spacing w:val="-6"/>
                <w:sz w:val="20"/>
              </w:rPr>
              <w:t> </w:t>
            </w:r>
            <w:r>
              <w:rPr>
                <w:sz w:val="20"/>
              </w:rPr>
              <w:t>102</w:t>
            </w:r>
            <w:r>
              <w:rPr>
                <w:spacing w:val="-5"/>
                <w:sz w:val="20"/>
              </w:rPr>
              <w:t> </w:t>
            </w:r>
            <w:r>
              <w:rPr>
                <w:sz w:val="20"/>
              </w:rPr>
              <w:t>(28)</w:t>
            </w:r>
            <w:r>
              <w:rPr>
                <w:spacing w:val="-4"/>
                <w:sz w:val="20"/>
              </w:rPr>
              <w:t> </w:t>
            </w:r>
            <w:r>
              <w:rPr>
                <w:spacing w:val="-2"/>
                <w:sz w:val="20"/>
              </w:rPr>
              <w:t>charge</w:t>
            </w:r>
          </w:p>
        </w:tc>
        <w:tc>
          <w:tcPr>
            <w:tcW w:w="1466" w:type="dxa"/>
          </w:tcPr>
          <w:p>
            <w:pPr>
              <w:pStyle w:val="TableParagraph"/>
              <w:tabs>
                <w:tab w:pos="791" w:val="left" w:leader="none"/>
              </w:tabs>
              <w:spacing w:line="215" w:lineRule="exact"/>
              <w:ind w:right="196"/>
              <w:jc w:val="right"/>
              <w:rPr>
                <w:sz w:val="20"/>
              </w:rPr>
            </w:pPr>
            <w:r>
              <w:rPr>
                <w:sz w:val="20"/>
                <w:u w:val="single"/>
              </w:rPr>
              <w:tab/>
            </w:r>
            <w:r>
              <w:rPr>
                <w:spacing w:val="-10"/>
                <w:sz w:val="20"/>
                <w:u w:val="single"/>
              </w:rPr>
              <w:t>7</w:t>
            </w:r>
            <w:r>
              <w:rPr>
                <w:spacing w:val="80"/>
                <w:sz w:val="20"/>
                <w:u w:val="single"/>
              </w:rPr>
              <w:t> </w:t>
            </w:r>
          </w:p>
        </w:tc>
        <w:tc>
          <w:tcPr>
            <w:tcW w:w="811" w:type="dxa"/>
          </w:tcPr>
          <w:p>
            <w:pPr>
              <w:pStyle w:val="TableParagraph"/>
              <w:rPr>
                <w:rFonts w:ascii="Times New Roman"/>
                <w:sz w:val="16"/>
              </w:rPr>
            </w:pPr>
          </w:p>
        </w:tc>
        <w:tc>
          <w:tcPr>
            <w:tcW w:w="1212" w:type="dxa"/>
          </w:tcPr>
          <w:p>
            <w:pPr>
              <w:pStyle w:val="TableParagraph"/>
              <w:tabs>
                <w:tab w:pos="569" w:val="left" w:leader="none"/>
              </w:tabs>
              <w:spacing w:line="215" w:lineRule="exact"/>
              <w:rPr>
                <w:sz w:val="20"/>
              </w:rPr>
            </w:pPr>
            <w:r>
              <w:rPr>
                <w:sz w:val="20"/>
                <w:u w:val="single"/>
              </w:rPr>
              <w:tab/>
            </w:r>
            <w:r>
              <w:rPr>
                <w:spacing w:val="-5"/>
                <w:sz w:val="20"/>
                <w:u w:val="single"/>
              </w:rPr>
              <w:t>775</w:t>
            </w:r>
            <w:r>
              <w:rPr>
                <w:spacing w:val="80"/>
                <w:sz w:val="20"/>
                <w:u w:val="single"/>
              </w:rPr>
              <w:t> </w:t>
            </w:r>
          </w:p>
        </w:tc>
        <w:tc>
          <w:tcPr>
            <w:tcW w:w="861" w:type="dxa"/>
          </w:tcPr>
          <w:p>
            <w:pPr>
              <w:pStyle w:val="TableParagraph"/>
              <w:rPr>
                <w:rFonts w:ascii="Times New Roman"/>
                <w:sz w:val="16"/>
              </w:rPr>
            </w:pPr>
          </w:p>
        </w:tc>
      </w:tr>
      <w:tr>
        <w:trPr>
          <w:trHeight w:val="464" w:hRule="atLeast"/>
        </w:trPr>
        <w:tc>
          <w:tcPr>
            <w:tcW w:w="4161" w:type="dxa"/>
          </w:tcPr>
          <w:p>
            <w:pPr>
              <w:pStyle w:val="TableParagraph"/>
              <w:spacing w:line="230" w:lineRule="atLeast"/>
              <w:ind w:left="50"/>
              <w:rPr>
                <w:sz w:val="20"/>
              </w:rPr>
            </w:pPr>
            <w:r>
              <w:rPr>
                <w:sz w:val="20"/>
              </w:rPr>
              <w:t>Charge</w:t>
            </w:r>
            <w:r>
              <w:rPr>
                <w:spacing w:val="-8"/>
                <w:sz w:val="20"/>
              </w:rPr>
              <w:t> </w:t>
            </w:r>
            <w:r>
              <w:rPr>
                <w:sz w:val="20"/>
              </w:rPr>
              <w:t>to</w:t>
            </w:r>
            <w:r>
              <w:rPr>
                <w:spacing w:val="-10"/>
                <w:sz w:val="20"/>
              </w:rPr>
              <w:t> </w:t>
            </w:r>
            <w:r>
              <w:rPr>
                <w:sz w:val="20"/>
              </w:rPr>
              <w:t>the</w:t>
            </w:r>
            <w:r>
              <w:rPr>
                <w:spacing w:val="-8"/>
                <w:sz w:val="20"/>
              </w:rPr>
              <w:t> </w:t>
            </w:r>
            <w:r>
              <w:rPr>
                <w:sz w:val="20"/>
              </w:rPr>
              <w:t>Statement</w:t>
            </w:r>
            <w:r>
              <w:rPr>
                <w:spacing w:val="-8"/>
                <w:sz w:val="20"/>
              </w:rPr>
              <w:t> </w:t>
            </w:r>
            <w:r>
              <w:rPr>
                <w:sz w:val="20"/>
              </w:rPr>
              <w:t>of</w:t>
            </w:r>
            <w:r>
              <w:rPr>
                <w:spacing w:val="-8"/>
                <w:sz w:val="20"/>
              </w:rPr>
              <w:t> </w:t>
            </w:r>
            <w:r>
              <w:rPr>
                <w:sz w:val="20"/>
              </w:rPr>
              <w:t>Comprehensive </w:t>
            </w:r>
            <w:r>
              <w:rPr>
                <w:spacing w:val="-2"/>
                <w:sz w:val="20"/>
              </w:rPr>
              <w:t>Income</w:t>
            </w:r>
          </w:p>
        </w:tc>
        <w:tc>
          <w:tcPr>
            <w:tcW w:w="1466" w:type="dxa"/>
          </w:tcPr>
          <w:p>
            <w:pPr>
              <w:pStyle w:val="TableParagraph"/>
              <w:rPr>
                <w:rFonts w:ascii="Times New Roman"/>
                <w:sz w:val="20"/>
              </w:rPr>
            </w:pPr>
          </w:p>
        </w:tc>
        <w:tc>
          <w:tcPr>
            <w:tcW w:w="811" w:type="dxa"/>
          </w:tcPr>
          <w:p>
            <w:pPr>
              <w:pStyle w:val="TableParagraph"/>
              <w:spacing w:before="1"/>
              <w:rPr>
                <w:sz w:val="20"/>
              </w:rPr>
            </w:pPr>
          </w:p>
          <w:p>
            <w:pPr>
              <w:pStyle w:val="TableParagraph"/>
              <w:spacing w:line="213" w:lineRule="exact" w:before="1"/>
              <w:ind w:right="110"/>
              <w:jc w:val="right"/>
              <w:rPr>
                <w:sz w:val="20"/>
              </w:rPr>
            </w:pPr>
            <w:r>
              <w:rPr>
                <w:spacing w:val="-5"/>
                <w:sz w:val="20"/>
              </w:rPr>
              <w:t>860</w:t>
            </w:r>
          </w:p>
        </w:tc>
        <w:tc>
          <w:tcPr>
            <w:tcW w:w="1212" w:type="dxa"/>
          </w:tcPr>
          <w:p>
            <w:pPr>
              <w:pStyle w:val="TableParagraph"/>
              <w:rPr>
                <w:rFonts w:ascii="Times New Roman"/>
                <w:sz w:val="20"/>
              </w:rPr>
            </w:pPr>
          </w:p>
        </w:tc>
        <w:tc>
          <w:tcPr>
            <w:tcW w:w="861" w:type="dxa"/>
          </w:tcPr>
          <w:p>
            <w:pPr>
              <w:pStyle w:val="TableParagraph"/>
              <w:spacing w:before="1"/>
              <w:rPr>
                <w:sz w:val="20"/>
              </w:rPr>
            </w:pPr>
          </w:p>
          <w:p>
            <w:pPr>
              <w:pStyle w:val="TableParagraph"/>
              <w:spacing w:line="213" w:lineRule="exact" w:before="1"/>
              <w:ind w:right="157"/>
              <w:jc w:val="right"/>
              <w:rPr>
                <w:sz w:val="20"/>
              </w:rPr>
            </w:pPr>
            <w:r>
              <w:rPr>
                <w:spacing w:val="-2"/>
                <w:sz w:val="20"/>
              </w:rPr>
              <w:t>1,617</w:t>
            </w:r>
          </w:p>
        </w:tc>
      </w:tr>
      <w:tr>
        <w:trPr>
          <w:trHeight w:val="455" w:hRule="atLeast"/>
        </w:trPr>
        <w:tc>
          <w:tcPr>
            <w:tcW w:w="4161" w:type="dxa"/>
          </w:tcPr>
          <w:p>
            <w:pPr>
              <w:pStyle w:val="TableParagraph"/>
              <w:spacing w:line="225" w:lineRule="exact"/>
              <w:ind w:left="50"/>
              <w:rPr>
                <w:sz w:val="20"/>
              </w:rPr>
            </w:pPr>
            <w:r>
              <w:rPr>
                <w:sz w:val="20"/>
              </w:rPr>
              <w:t>Defined</w:t>
            </w:r>
            <w:r>
              <w:rPr>
                <w:spacing w:val="-13"/>
                <w:sz w:val="20"/>
              </w:rPr>
              <w:t> </w:t>
            </w:r>
            <w:r>
              <w:rPr>
                <w:sz w:val="20"/>
              </w:rPr>
              <w:t>contributions</w:t>
            </w:r>
            <w:r>
              <w:rPr>
                <w:spacing w:val="-12"/>
                <w:sz w:val="20"/>
              </w:rPr>
              <w:t> </w:t>
            </w:r>
            <w:r>
              <w:rPr>
                <w:spacing w:val="-4"/>
                <w:sz w:val="20"/>
              </w:rPr>
              <w:t>paid</w:t>
            </w:r>
          </w:p>
          <w:p>
            <w:pPr>
              <w:pStyle w:val="TableParagraph"/>
              <w:spacing w:line="210" w:lineRule="exact"/>
              <w:ind w:left="50"/>
              <w:rPr>
                <w:sz w:val="20"/>
              </w:rPr>
            </w:pPr>
            <w:r>
              <w:rPr>
                <w:sz w:val="20"/>
              </w:rPr>
              <w:t>Enhanced</w:t>
            </w:r>
            <w:r>
              <w:rPr>
                <w:spacing w:val="-7"/>
                <w:sz w:val="20"/>
              </w:rPr>
              <w:t> </w:t>
            </w:r>
            <w:r>
              <w:rPr>
                <w:sz w:val="20"/>
              </w:rPr>
              <w:t>pension</w:t>
            </w:r>
            <w:r>
              <w:rPr>
                <w:spacing w:val="-7"/>
                <w:sz w:val="20"/>
              </w:rPr>
              <w:t> </w:t>
            </w:r>
            <w:r>
              <w:rPr>
                <w:sz w:val="20"/>
              </w:rPr>
              <w:t>charge</w:t>
            </w:r>
            <w:r>
              <w:rPr>
                <w:spacing w:val="-7"/>
                <w:sz w:val="20"/>
              </w:rPr>
              <w:t> </w:t>
            </w:r>
            <w:r>
              <w:rPr>
                <w:sz w:val="20"/>
              </w:rPr>
              <w:t>to</w:t>
            </w:r>
            <w:r>
              <w:rPr>
                <w:spacing w:val="-9"/>
                <w:sz w:val="20"/>
              </w:rPr>
              <w:t> </w:t>
            </w:r>
            <w:r>
              <w:rPr>
                <w:sz w:val="20"/>
              </w:rPr>
              <w:t>Statement</w:t>
            </w:r>
            <w:r>
              <w:rPr>
                <w:spacing w:val="-6"/>
                <w:sz w:val="20"/>
              </w:rPr>
              <w:t> </w:t>
            </w:r>
            <w:r>
              <w:rPr>
                <w:spacing w:val="-5"/>
                <w:sz w:val="20"/>
              </w:rPr>
              <w:t>of</w:t>
            </w:r>
          </w:p>
        </w:tc>
        <w:tc>
          <w:tcPr>
            <w:tcW w:w="1466" w:type="dxa"/>
          </w:tcPr>
          <w:p>
            <w:pPr>
              <w:pStyle w:val="TableParagraph"/>
              <w:rPr>
                <w:rFonts w:ascii="Times New Roman"/>
                <w:sz w:val="20"/>
              </w:rPr>
            </w:pPr>
          </w:p>
        </w:tc>
        <w:tc>
          <w:tcPr>
            <w:tcW w:w="811" w:type="dxa"/>
          </w:tcPr>
          <w:p>
            <w:pPr>
              <w:pStyle w:val="TableParagraph"/>
              <w:spacing w:line="225" w:lineRule="exact"/>
              <w:ind w:right="110"/>
              <w:jc w:val="right"/>
              <w:rPr>
                <w:sz w:val="20"/>
              </w:rPr>
            </w:pPr>
            <w:r>
              <w:rPr>
                <w:spacing w:val="-5"/>
                <w:sz w:val="20"/>
              </w:rPr>
              <w:t>171</w:t>
            </w:r>
          </w:p>
        </w:tc>
        <w:tc>
          <w:tcPr>
            <w:tcW w:w="1212" w:type="dxa"/>
          </w:tcPr>
          <w:p>
            <w:pPr>
              <w:pStyle w:val="TableParagraph"/>
              <w:rPr>
                <w:rFonts w:ascii="Times New Roman"/>
                <w:sz w:val="20"/>
              </w:rPr>
            </w:pPr>
          </w:p>
        </w:tc>
        <w:tc>
          <w:tcPr>
            <w:tcW w:w="861" w:type="dxa"/>
          </w:tcPr>
          <w:p>
            <w:pPr>
              <w:pStyle w:val="TableParagraph"/>
              <w:spacing w:line="225" w:lineRule="exact"/>
              <w:ind w:right="157"/>
              <w:jc w:val="right"/>
              <w:rPr>
                <w:sz w:val="20"/>
              </w:rPr>
            </w:pPr>
            <w:r>
              <w:rPr>
                <w:spacing w:val="-5"/>
                <w:sz w:val="20"/>
              </w:rPr>
              <w:t>167</w:t>
            </w:r>
          </w:p>
        </w:tc>
      </w:tr>
      <w:tr>
        <w:trPr>
          <w:trHeight w:val="239" w:hRule="atLeast"/>
        </w:trPr>
        <w:tc>
          <w:tcPr>
            <w:tcW w:w="4161" w:type="dxa"/>
          </w:tcPr>
          <w:p>
            <w:pPr>
              <w:pStyle w:val="TableParagraph"/>
              <w:spacing w:line="211" w:lineRule="exact"/>
              <w:ind w:left="50"/>
              <w:rPr>
                <w:sz w:val="20"/>
              </w:rPr>
            </w:pPr>
            <w:r>
              <w:rPr>
                <w:spacing w:val="-2"/>
                <w:sz w:val="20"/>
              </w:rPr>
              <w:t>Comprehensive</w:t>
            </w:r>
            <w:r>
              <w:rPr>
                <w:spacing w:val="7"/>
                <w:sz w:val="20"/>
              </w:rPr>
              <w:t> </w:t>
            </w:r>
            <w:r>
              <w:rPr>
                <w:spacing w:val="-2"/>
                <w:sz w:val="20"/>
              </w:rPr>
              <w:t>Income</w:t>
            </w:r>
          </w:p>
        </w:tc>
        <w:tc>
          <w:tcPr>
            <w:tcW w:w="2277" w:type="dxa"/>
            <w:gridSpan w:val="2"/>
          </w:tcPr>
          <w:p>
            <w:pPr>
              <w:pStyle w:val="TableParagraph"/>
              <w:tabs>
                <w:tab w:pos="2056" w:val="left" w:leader="none"/>
              </w:tabs>
              <w:spacing w:line="211" w:lineRule="exact"/>
              <w:ind w:left="1267" w:right="-15"/>
              <w:rPr>
                <w:sz w:val="20"/>
              </w:rPr>
            </w:pPr>
            <w:r>
              <w:rPr>
                <w:sz w:val="20"/>
                <w:u w:val="single"/>
              </w:rPr>
              <w:tab/>
            </w:r>
            <w:r>
              <w:rPr>
                <w:spacing w:val="-10"/>
                <w:sz w:val="20"/>
                <w:u w:val="single"/>
              </w:rPr>
              <w:t>8</w:t>
            </w:r>
            <w:r>
              <w:rPr>
                <w:spacing w:val="80"/>
                <w:sz w:val="20"/>
                <w:u w:val="single"/>
              </w:rPr>
              <w:t> </w:t>
            </w:r>
          </w:p>
        </w:tc>
        <w:tc>
          <w:tcPr>
            <w:tcW w:w="2073" w:type="dxa"/>
            <w:gridSpan w:val="2"/>
          </w:tcPr>
          <w:p>
            <w:pPr>
              <w:pStyle w:val="TableParagraph"/>
              <w:tabs>
                <w:tab w:pos="1447" w:val="left" w:leader="none"/>
              </w:tabs>
              <w:spacing w:line="211" w:lineRule="exact"/>
              <w:ind w:left="1011"/>
              <w:rPr>
                <w:sz w:val="20"/>
              </w:rPr>
            </w:pPr>
            <w:r>
              <w:rPr>
                <w:sz w:val="20"/>
                <w:u w:val="single"/>
              </w:rPr>
              <w:tab/>
            </w:r>
            <w:r>
              <w:rPr>
                <w:spacing w:val="-2"/>
                <w:sz w:val="20"/>
                <w:u w:val="single"/>
              </w:rPr>
              <w:t>(135)</w:t>
            </w:r>
            <w:r>
              <w:rPr>
                <w:spacing w:val="80"/>
                <w:sz w:val="20"/>
                <w:u w:val="single"/>
              </w:rPr>
              <w:t> </w:t>
            </w:r>
          </w:p>
        </w:tc>
      </w:tr>
      <w:tr>
        <w:trPr>
          <w:trHeight w:val="461" w:hRule="atLeast"/>
        </w:trPr>
        <w:tc>
          <w:tcPr>
            <w:tcW w:w="4161" w:type="dxa"/>
          </w:tcPr>
          <w:p>
            <w:pPr>
              <w:pStyle w:val="TableParagraph"/>
              <w:spacing w:line="230" w:lineRule="atLeast"/>
              <w:ind w:left="50" w:right="206"/>
              <w:rPr>
                <w:b/>
                <w:sz w:val="20"/>
              </w:rPr>
            </w:pPr>
            <w:r>
              <w:rPr>
                <w:b/>
                <w:sz w:val="20"/>
              </w:rPr>
              <w:t>Total</w:t>
            </w:r>
            <w:r>
              <w:rPr>
                <w:b/>
                <w:spacing w:val="-8"/>
                <w:sz w:val="20"/>
              </w:rPr>
              <w:t> </w:t>
            </w:r>
            <w:r>
              <w:rPr>
                <w:b/>
                <w:sz w:val="20"/>
              </w:rPr>
              <w:t>pension</w:t>
            </w:r>
            <w:r>
              <w:rPr>
                <w:b/>
                <w:spacing w:val="-7"/>
                <w:sz w:val="20"/>
              </w:rPr>
              <w:t> </w:t>
            </w:r>
            <w:r>
              <w:rPr>
                <w:b/>
                <w:sz w:val="20"/>
              </w:rPr>
              <w:t>cost</w:t>
            </w:r>
            <w:r>
              <w:rPr>
                <w:b/>
                <w:spacing w:val="-7"/>
                <w:sz w:val="20"/>
              </w:rPr>
              <w:t> </w:t>
            </w:r>
            <w:r>
              <w:rPr>
                <w:b/>
                <w:sz w:val="20"/>
              </w:rPr>
              <w:t>for</w:t>
            </w:r>
            <w:r>
              <w:rPr>
                <w:b/>
                <w:spacing w:val="-6"/>
                <w:sz w:val="20"/>
              </w:rPr>
              <w:t> </w:t>
            </w:r>
            <w:r>
              <w:rPr>
                <w:b/>
                <w:sz w:val="20"/>
              </w:rPr>
              <w:t>the</w:t>
            </w:r>
            <w:r>
              <w:rPr>
                <w:b/>
                <w:spacing w:val="-6"/>
                <w:sz w:val="20"/>
              </w:rPr>
              <w:t> </w:t>
            </w:r>
            <w:r>
              <w:rPr>
                <w:b/>
                <w:sz w:val="20"/>
              </w:rPr>
              <w:t>year</w:t>
            </w:r>
            <w:r>
              <w:rPr>
                <w:b/>
                <w:spacing w:val="-9"/>
                <w:sz w:val="20"/>
              </w:rPr>
              <w:t> </w:t>
            </w:r>
            <w:r>
              <w:rPr>
                <w:b/>
                <w:sz w:val="20"/>
              </w:rPr>
              <w:t>within staff costs</w:t>
            </w:r>
          </w:p>
        </w:tc>
        <w:tc>
          <w:tcPr>
            <w:tcW w:w="2277" w:type="dxa"/>
            <w:gridSpan w:val="2"/>
          </w:tcPr>
          <w:p>
            <w:pPr>
              <w:pStyle w:val="TableParagraph"/>
              <w:spacing w:before="1"/>
              <w:rPr>
                <w:sz w:val="20"/>
              </w:rPr>
            </w:pPr>
          </w:p>
          <w:p>
            <w:pPr>
              <w:pStyle w:val="TableParagraph"/>
              <w:tabs>
                <w:tab w:pos="1665" w:val="left" w:leader="none"/>
              </w:tabs>
              <w:spacing w:line="210" w:lineRule="exact" w:before="1"/>
              <w:ind w:left="1252" w:right="-15"/>
              <w:rPr>
                <w:sz w:val="20"/>
              </w:rPr>
            </w:pPr>
            <w:r>
              <w:rPr>
                <w:sz w:val="20"/>
                <w:u w:val="double"/>
              </w:rPr>
              <w:tab/>
            </w:r>
            <w:r>
              <w:rPr>
                <w:spacing w:val="-2"/>
                <w:sz w:val="20"/>
                <w:u w:val="double"/>
              </w:rPr>
              <w:t>2,244</w:t>
            </w:r>
            <w:r>
              <w:rPr>
                <w:spacing w:val="80"/>
                <w:sz w:val="20"/>
                <w:u w:val="double"/>
              </w:rPr>
              <w:t> </w:t>
            </w:r>
          </w:p>
        </w:tc>
        <w:tc>
          <w:tcPr>
            <w:tcW w:w="2073" w:type="dxa"/>
            <w:gridSpan w:val="2"/>
          </w:tcPr>
          <w:p>
            <w:pPr>
              <w:pStyle w:val="TableParagraph"/>
              <w:spacing w:before="1"/>
              <w:rPr>
                <w:sz w:val="20"/>
              </w:rPr>
            </w:pPr>
          </w:p>
          <w:p>
            <w:pPr>
              <w:pStyle w:val="TableParagraph"/>
              <w:tabs>
                <w:tab w:pos="1414" w:val="left" w:leader="none"/>
              </w:tabs>
              <w:spacing w:line="210" w:lineRule="exact" w:before="1"/>
              <w:ind w:left="996"/>
              <w:rPr>
                <w:sz w:val="20"/>
              </w:rPr>
            </w:pPr>
            <w:r>
              <w:rPr>
                <w:sz w:val="20"/>
                <w:u w:val="double"/>
              </w:rPr>
              <w:tab/>
            </w:r>
            <w:r>
              <w:rPr>
                <w:spacing w:val="-2"/>
                <w:sz w:val="20"/>
                <w:u w:val="double"/>
              </w:rPr>
              <w:t>2,941</w:t>
            </w:r>
            <w:r>
              <w:rPr>
                <w:spacing w:val="80"/>
                <w:sz w:val="20"/>
                <w:u w:val="double"/>
              </w:rPr>
              <w:t> </w:t>
            </w:r>
          </w:p>
        </w:tc>
      </w:tr>
    </w:tbl>
    <w:p>
      <w:pPr>
        <w:pStyle w:val="BodyText"/>
        <w:spacing w:before="56"/>
      </w:pPr>
    </w:p>
    <w:p>
      <w:pPr>
        <w:pStyle w:val="BodyText"/>
        <w:ind w:left="852" w:right="612"/>
        <w:jc w:val="both"/>
      </w:pPr>
      <w:r>
        <w:rPr/>
        <w:t>The pension costs are assessed in accordance with the advice of independent qualified actuaries. The latest formal actuarial valuation of the TPS was 31 March 2020 and of the LGPS 31 March 2022.</w:t>
      </w:r>
    </w:p>
    <w:p>
      <w:pPr>
        <w:pStyle w:val="BodyText"/>
        <w:spacing w:before="230"/>
        <w:ind w:left="852" w:right="610"/>
        <w:jc w:val="both"/>
      </w:pPr>
      <w:r>
        <w:rPr/>
        <w:t>Contributions amounting</w:t>
      </w:r>
      <w:r>
        <w:rPr>
          <w:spacing w:val="-4"/>
        </w:rPr>
        <w:t> </w:t>
      </w:r>
      <w:r>
        <w:rPr/>
        <w:t>to</w:t>
      </w:r>
      <w:r>
        <w:rPr>
          <w:spacing w:val="-2"/>
        </w:rPr>
        <w:t> </w:t>
      </w:r>
      <w:r>
        <w:rPr/>
        <w:t>£264,000</w:t>
      </w:r>
      <w:r>
        <w:rPr>
          <w:spacing w:val="-4"/>
        </w:rPr>
        <w:t> </w:t>
      </w:r>
      <w:r>
        <w:rPr/>
        <w:t>(2022:</w:t>
      </w:r>
      <w:r>
        <w:rPr>
          <w:spacing w:val="-2"/>
        </w:rPr>
        <w:t> </w:t>
      </w:r>
      <w:r>
        <w:rPr/>
        <w:t>£309,000)</w:t>
      </w:r>
      <w:r>
        <w:rPr>
          <w:spacing w:val="-1"/>
        </w:rPr>
        <w:t> </w:t>
      </w:r>
      <w:r>
        <w:rPr/>
        <w:t>were</w:t>
      </w:r>
      <w:r>
        <w:rPr>
          <w:spacing w:val="-2"/>
        </w:rPr>
        <w:t> </w:t>
      </w:r>
      <w:r>
        <w:rPr/>
        <w:t>payable</w:t>
      </w:r>
      <w:r>
        <w:rPr>
          <w:spacing w:val="-2"/>
        </w:rPr>
        <w:t> </w:t>
      </w:r>
      <w:r>
        <w:rPr/>
        <w:t>to</w:t>
      </w:r>
      <w:r>
        <w:rPr>
          <w:spacing w:val="-2"/>
        </w:rPr>
        <w:t> </w:t>
      </w:r>
      <w:r>
        <w:rPr/>
        <w:t>the</w:t>
      </w:r>
      <w:r>
        <w:rPr>
          <w:spacing w:val="-2"/>
        </w:rPr>
        <w:t> </w:t>
      </w:r>
      <w:r>
        <w:rPr/>
        <w:t>schemes</w:t>
      </w:r>
      <w:r>
        <w:rPr>
          <w:spacing w:val="-3"/>
        </w:rPr>
        <w:t> </w:t>
      </w:r>
      <w:r>
        <w:rPr/>
        <w:t>at</w:t>
      </w:r>
      <w:r>
        <w:rPr>
          <w:spacing w:val="-2"/>
        </w:rPr>
        <w:t> </w:t>
      </w:r>
      <w:r>
        <w:rPr/>
        <w:t>31</w:t>
      </w:r>
      <w:r>
        <w:rPr>
          <w:spacing w:val="-4"/>
        </w:rPr>
        <w:t> </w:t>
      </w:r>
      <w:r>
        <w:rPr/>
        <w:t>July</w:t>
      </w:r>
      <w:r>
        <w:rPr>
          <w:spacing w:val="-3"/>
        </w:rPr>
        <w:t> </w:t>
      </w:r>
      <w:r>
        <w:rPr/>
        <w:t>and</w:t>
      </w:r>
      <w:r>
        <w:rPr>
          <w:spacing w:val="-2"/>
        </w:rPr>
        <w:t> </w:t>
      </w:r>
      <w:r>
        <w:rPr/>
        <w:t>are included within creditors.</w:t>
      </w:r>
    </w:p>
    <w:p>
      <w:pPr>
        <w:pStyle w:val="Heading6"/>
        <w:spacing w:before="120"/>
      </w:pPr>
      <w:r>
        <w:rPr/>
        <w:t>Teachers’</w:t>
      </w:r>
      <w:r>
        <w:rPr>
          <w:spacing w:val="-10"/>
        </w:rPr>
        <w:t> </w:t>
      </w:r>
      <w:r>
        <w:rPr/>
        <w:t>Pension</w:t>
      </w:r>
      <w:r>
        <w:rPr>
          <w:spacing w:val="-11"/>
        </w:rPr>
        <w:t> </w:t>
      </w:r>
      <w:r>
        <w:rPr>
          <w:spacing w:val="-2"/>
        </w:rPr>
        <w:t>Scheme</w:t>
      </w:r>
    </w:p>
    <w:p>
      <w:pPr>
        <w:pStyle w:val="BodyText"/>
        <w:spacing w:before="118"/>
        <w:ind w:left="852" w:right="707"/>
        <w:jc w:val="both"/>
      </w:pPr>
      <w:r>
        <w:rPr/>
        <w:t>The</w:t>
      </w:r>
      <w:r>
        <w:rPr>
          <w:spacing w:val="-11"/>
        </w:rPr>
        <w:t> </w:t>
      </w:r>
      <w:r>
        <w:rPr/>
        <w:t>Teachers'</w:t>
      </w:r>
      <w:r>
        <w:rPr>
          <w:spacing w:val="-11"/>
        </w:rPr>
        <w:t> </w:t>
      </w:r>
      <w:r>
        <w:rPr/>
        <w:t>Pension</w:t>
      </w:r>
      <w:r>
        <w:rPr>
          <w:spacing w:val="-9"/>
        </w:rPr>
        <w:t> </w:t>
      </w:r>
      <w:r>
        <w:rPr/>
        <w:t>Scheme</w:t>
      </w:r>
      <w:r>
        <w:rPr>
          <w:spacing w:val="-9"/>
        </w:rPr>
        <w:t> </w:t>
      </w:r>
      <w:r>
        <w:rPr/>
        <w:t>(TPS)</w:t>
      </w:r>
      <w:r>
        <w:rPr>
          <w:spacing w:val="-8"/>
        </w:rPr>
        <w:t> </w:t>
      </w:r>
      <w:r>
        <w:rPr/>
        <w:t>is</w:t>
      </w:r>
      <w:r>
        <w:rPr>
          <w:spacing w:val="-7"/>
        </w:rPr>
        <w:t> </w:t>
      </w:r>
      <w:r>
        <w:rPr/>
        <w:t>a</w:t>
      </w:r>
      <w:r>
        <w:rPr>
          <w:spacing w:val="-11"/>
        </w:rPr>
        <w:t> </w:t>
      </w:r>
      <w:r>
        <w:rPr/>
        <w:t>statutory,</w:t>
      </w:r>
      <w:r>
        <w:rPr>
          <w:spacing w:val="-11"/>
        </w:rPr>
        <w:t> </w:t>
      </w:r>
      <w:r>
        <w:rPr/>
        <w:t>contributory,</w:t>
      </w:r>
      <w:r>
        <w:rPr>
          <w:spacing w:val="-11"/>
        </w:rPr>
        <w:t> </w:t>
      </w:r>
      <w:r>
        <w:rPr/>
        <w:t>defined</w:t>
      </w:r>
      <w:r>
        <w:rPr>
          <w:spacing w:val="-9"/>
        </w:rPr>
        <w:t> </w:t>
      </w:r>
      <w:r>
        <w:rPr/>
        <w:t>benefit</w:t>
      </w:r>
      <w:r>
        <w:rPr>
          <w:spacing w:val="-9"/>
        </w:rPr>
        <w:t> </w:t>
      </w:r>
      <w:r>
        <w:rPr/>
        <w:t>scheme,</w:t>
      </w:r>
      <w:r>
        <w:rPr>
          <w:spacing w:val="-9"/>
        </w:rPr>
        <w:t> </w:t>
      </w:r>
      <w:r>
        <w:rPr/>
        <w:t>governed</w:t>
      </w:r>
      <w:r>
        <w:rPr>
          <w:spacing w:val="-9"/>
        </w:rPr>
        <w:t> </w:t>
      </w:r>
      <w:r>
        <w:rPr/>
        <w:t>by the Teachers’ Pension Scheme Regulations 2014. The TPS is an unfunded scheme and members contribute on a ’pay as you go' basis – these contributions, along with those made by employers, are credited</w:t>
      </w:r>
      <w:r>
        <w:rPr>
          <w:spacing w:val="-14"/>
        </w:rPr>
        <w:t> </w:t>
      </w:r>
      <w:r>
        <w:rPr/>
        <w:t>to</w:t>
      </w:r>
      <w:r>
        <w:rPr>
          <w:spacing w:val="-14"/>
        </w:rPr>
        <w:t> </w:t>
      </w:r>
      <w:r>
        <w:rPr/>
        <w:t>the</w:t>
      </w:r>
      <w:r>
        <w:rPr>
          <w:spacing w:val="-14"/>
        </w:rPr>
        <w:t> </w:t>
      </w:r>
      <w:r>
        <w:rPr/>
        <w:t>Exchequer.</w:t>
      </w:r>
      <w:r>
        <w:rPr>
          <w:spacing w:val="-14"/>
        </w:rPr>
        <w:t> </w:t>
      </w:r>
      <w:r>
        <w:rPr/>
        <w:t>The</w:t>
      </w:r>
      <w:r>
        <w:rPr>
          <w:spacing w:val="-14"/>
        </w:rPr>
        <w:t> </w:t>
      </w:r>
      <w:r>
        <w:rPr/>
        <w:t>TPS</w:t>
      </w:r>
      <w:r>
        <w:rPr>
          <w:spacing w:val="-14"/>
        </w:rPr>
        <w:t> </w:t>
      </w:r>
      <w:r>
        <w:rPr/>
        <w:t>is</w:t>
      </w:r>
      <w:r>
        <w:rPr>
          <w:spacing w:val="-14"/>
        </w:rPr>
        <w:t> </w:t>
      </w:r>
      <w:r>
        <w:rPr/>
        <w:t>a</w:t>
      </w:r>
      <w:r>
        <w:rPr>
          <w:spacing w:val="-14"/>
        </w:rPr>
        <w:t> </w:t>
      </w:r>
      <w:r>
        <w:rPr/>
        <w:t>multi-employer</w:t>
      </w:r>
      <w:r>
        <w:rPr>
          <w:spacing w:val="-14"/>
        </w:rPr>
        <w:t> </w:t>
      </w:r>
      <w:r>
        <w:rPr/>
        <w:t>pension</w:t>
      </w:r>
      <w:r>
        <w:rPr>
          <w:spacing w:val="-13"/>
        </w:rPr>
        <w:t> </w:t>
      </w:r>
      <w:r>
        <w:rPr/>
        <w:t>plan</w:t>
      </w:r>
      <w:r>
        <w:rPr>
          <w:spacing w:val="-14"/>
        </w:rPr>
        <w:t> </w:t>
      </w:r>
      <w:r>
        <w:rPr/>
        <w:t>and</w:t>
      </w:r>
      <w:r>
        <w:rPr>
          <w:spacing w:val="-14"/>
        </w:rPr>
        <w:t> </w:t>
      </w:r>
      <w:r>
        <w:rPr/>
        <w:t>there</w:t>
      </w:r>
      <w:r>
        <w:rPr>
          <w:spacing w:val="-14"/>
        </w:rPr>
        <w:t> </w:t>
      </w:r>
      <w:r>
        <w:rPr/>
        <w:t>is</w:t>
      </w:r>
      <w:r>
        <w:rPr>
          <w:spacing w:val="-14"/>
        </w:rPr>
        <w:t> </w:t>
      </w:r>
      <w:r>
        <w:rPr/>
        <w:t>insufficient</w:t>
      </w:r>
      <w:r>
        <w:rPr>
          <w:spacing w:val="-14"/>
        </w:rPr>
        <w:t> </w:t>
      </w:r>
      <w:r>
        <w:rPr/>
        <w:t>information to account for the scheme on as a defined benefit plan, so it is accounted for as a defined contribution </w:t>
      </w:r>
      <w:r>
        <w:rPr>
          <w:spacing w:val="-2"/>
        </w:rPr>
        <w:t>plan.</w:t>
      </w:r>
    </w:p>
    <w:p>
      <w:pPr>
        <w:pStyle w:val="BodyText"/>
        <w:spacing w:before="1"/>
      </w:pPr>
    </w:p>
    <w:p>
      <w:pPr>
        <w:pStyle w:val="Heading6"/>
        <w:spacing w:before="1"/>
      </w:pPr>
      <w:r>
        <w:rPr/>
        <w:t>Valuation</w:t>
      </w:r>
      <w:r>
        <w:rPr>
          <w:spacing w:val="-9"/>
        </w:rPr>
        <w:t> </w:t>
      </w:r>
      <w:r>
        <w:rPr/>
        <w:t>of</w:t>
      </w:r>
      <w:r>
        <w:rPr>
          <w:spacing w:val="-7"/>
        </w:rPr>
        <w:t> </w:t>
      </w:r>
      <w:r>
        <w:rPr/>
        <w:t>the</w:t>
      </w:r>
      <w:r>
        <w:rPr>
          <w:spacing w:val="-8"/>
        </w:rPr>
        <w:t> </w:t>
      </w:r>
      <w:r>
        <w:rPr/>
        <w:t>Teachers’</w:t>
      </w:r>
      <w:r>
        <w:rPr>
          <w:spacing w:val="-8"/>
        </w:rPr>
        <w:t> </w:t>
      </w:r>
      <w:r>
        <w:rPr/>
        <w:t>Pension</w:t>
      </w:r>
      <w:r>
        <w:rPr>
          <w:spacing w:val="-6"/>
        </w:rPr>
        <w:t> </w:t>
      </w:r>
      <w:r>
        <w:rPr>
          <w:spacing w:val="-2"/>
        </w:rPr>
        <w:t>Scheme</w:t>
      </w:r>
    </w:p>
    <w:p>
      <w:pPr>
        <w:pStyle w:val="BodyText"/>
        <w:rPr>
          <w:b/>
        </w:rPr>
      </w:pPr>
    </w:p>
    <w:p>
      <w:pPr>
        <w:pStyle w:val="BodyText"/>
        <w:spacing w:before="1"/>
        <w:ind w:left="852" w:right="705"/>
        <w:jc w:val="both"/>
      </w:pPr>
      <w:r>
        <w:rPr/>
        <w:t>Not less than every four years the Government Actuary (“GA”), using normal actuarial principles, conducts a formal actuarial review of the TPS. The aim of the review is to specify the level of future contributions. Actuarial scheme valuations are dependent on assumptions about the value of future costs,</w:t>
      </w:r>
      <w:r>
        <w:rPr>
          <w:spacing w:val="-4"/>
        </w:rPr>
        <w:t> </w:t>
      </w:r>
      <w:r>
        <w:rPr/>
        <w:t>design</w:t>
      </w:r>
      <w:r>
        <w:rPr>
          <w:spacing w:val="-4"/>
        </w:rPr>
        <w:t> </w:t>
      </w:r>
      <w:r>
        <w:rPr/>
        <w:t>of</w:t>
      </w:r>
      <w:r>
        <w:rPr>
          <w:spacing w:val="-2"/>
        </w:rPr>
        <w:t> </w:t>
      </w:r>
      <w:r>
        <w:rPr/>
        <w:t>benefits</w:t>
      </w:r>
      <w:r>
        <w:rPr>
          <w:spacing w:val="-3"/>
        </w:rPr>
        <w:t> </w:t>
      </w:r>
      <w:r>
        <w:rPr/>
        <w:t>and</w:t>
      </w:r>
      <w:r>
        <w:rPr>
          <w:spacing w:val="-4"/>
        </w:rPr>
        <w:t> </w:t>
      </w:r>
      <w:r>
        <w:rPr/>
        <w:t>many</w:t>
      </w:r>
      <w:r>
        <w:rPr>
          <w:spacing w:val="-3"/>
        </w:rPr>
        <w:t> </w:t>
      </w:r>
      <w:r>
        <w:rPr/>
        <w:t>other</w:t>
      </w:r>
      <w:r>
        <w:rPr>
          <w:spacing w:val="-3"/>
        </w:rPr>
        <w:t> </w:t>
      </w:r>
      <w:r>
        <w:rPr/>
        <w:t>factors.</w:t>
      </w:r>
      <w:r>
        <w:rPr>
          <w:spacing w:val="-4"/>
        </w:rPr>
        <w:t> </w:t>
      </w:r>
      <w:r>
        <w:rPr/>
        <w:t>The</w:t>
      </w:r>
      <w:r>
        <w:rPr>
          <w:spacing w:val="-2"/>
        </w:rPr>
        <w:t> </w:t>
      </w:r>
      <w:r>
        <w:rPr/>
        <w:t>latest</w:t>
      </w:r>
      <w:r>
        <w:rPr>
          <w:spacing w:val="-4"/>
        </w:rPr>
        <w:t> </w:t>
      </w:r>
      <w:r>
        <w:rPr/>
        <w:t>actuarial</w:t>
      </w:r>
      <w:r>
        <w:rPr>
          <w:spacing w:val="-4"/>
        </w:rPr>
        <w:t> </w:t>
      </w:r>
      <w:r>
        <w:rPr/>
        <w:t>valuation</w:t>
      </w:r>
      <w:r>
        <w:rPr>
          <w:spacing w:val="-4"/>
        </w:rPr>
        <w:t> </w:t>
      </w:r>
      <w:r>
        <w:rPr/>
        <w:t>was</w:t>
      </w:r>
      <w:r>
        <w:rPr>
          <w:spacing w:val="-3"/>
        </w:rPr>
        <w:t> </w:t>
      </w:r>
      <w:r>
        <w:rPr/>
        <w:t>carried</w:t>
      </w:r>
      <w:r>
        <w:rPr>
          <w:spacing w:val="-4"/>
        </w:rPr>
        <w:t> </w:t>
      </w:r>
      <w:r>
        <w:rPr/>
        <w:t>out</w:t>
      </w:r>
      <w:r>
        <w:rPr>
          <w:spacing w:val="-4"/>
        </w:rPr>
        <w:t> </w:t>
      </w:r>
      <w:r>
        <w:rPr/>
        <w:t>as</w:t>
      </w:r>
      <w:r>
        <w:rPr>
          <w:spacing w:val="-3"/>
        </w:rPr>
        <w:t> </w:t>
      </w:r>
      <w:r>
        <w:rPr/>
        <w:t>at</w:t>
      </w:r>
      <w:r>
        <w:rPr>
          <w:spacing w:val="-4"/>
        </w:rPr>
        <w:t> </w:t>
      </w:r>
      <w:r>
        <w:rPr/>
        <w:t>31 March</w:t>
      </w:r>
      <w:r>
        <w:rPr>
          <w:spacing w:val="-4"/>
        </w:rPr>
        <w:t> </w:t>
      </w:r>
      <w:r>
        <w:rPr/>
        <w:t>2020</w:t>
      </w:r>
      <w:r>
        <w:rPr>
          <w:spacing w:val="-2"/>
        </w:rPr>
        <w:t> </w:t>
      </w:r>
      <w:r>
        <w:rPr/>
        <w:t>and</w:t>
      </w:r>
      <w:r>
        <w:rPr>
          <w:spacing w:val="-2"/>
        </w:rPr>
        <w:t> </w:t>
      </w:r>
      <w:r>
        <w:rPr/>
        <w:t>in</w:t>
      </w:r>
      <w:r>
        <w:rPr>
          <w:spacing w:val="-2"/>
        </w:rPr>
        <w:t> </w:t>
      </w:r>
      <w:r>
        <w:rPr/>
        <w:t>accordance</w:t>
      </w:r>
      <w:r>
        <w:rPr>
          <w:spacing w:val="-4"/>
        </w:rPr>
        <w:t> </w:t>
      </w:r>
      <w:r>
        <w:rPr/>
        <w:t>with</w:t>
      </w:r>
      <w:r>
        <w:rPr>
          <w:spacing w:val="-2"/>
        </w:rPr>
        <w:t> </w:t>
      </w:r>
      <w:r>
        <w:rPr/>
        <w:t>The</w:t>
      </w:r>
      <w:r>
        <w:rPr>
          <w:spacing w:val="-2"/>
        </w:rPr>
        <w:t> </w:t>
      </w:r>
      <w:r>
        <w:rPr/>
        <w:t>Public Service</w:t>
      </w:r>
      <w:r>
        <w:rPr>
          <w:spacing w:val="-4"/>
        </w:rPr>
        <w:t> </w:t>
      </w:r>
      <w:r>
        <w:rPr/>
        <w:t>Pensions</w:t>
      </w:r>
      <w:r>
        <w:rPr>
          <w:spacing w:val="-3"/>
        </w:rPr>
        <w:t> </w:t>
      </w:r>
      <w:r>
        <w:rPr/>
        <w:t>(Valuations and</w:t>
      </w:r>
      <w:r>
        <w:rPr>
          <w:spacing w:val="-2"/>
        </w:rPr>
        <w:t> </w:t>
      </w:r>
      <w:r>
        <w:rPr/>
        <w:t>Employer</w:t>
      </w:r>
      <w:r>
        <w:rPr>
          <w:spacing w:val="-3"/>
        </w:rPr>
        <w:t> </w:t>
      </w:r>
      <w:r>
        <w:rPr/>
        <w:t>Cost</w:t>
      </w:r>
      <w:r>
        <w:rPr>
          <w:spacing w:val="-2"/>
        </w:rPr>
        <w:t> </w:t>
      </w:r>
      <w:r>
        <w:rPr/>
        <w:t>Cap) Directions 2023 and the Employer Contribution Rate was assessed using agreed assumptions in line with the Directions and was accepted at the original assessed rate as there was no cost control mechanism breach.</w:t>
      </w:r>
    </w:p>
    <w:p>
      <w:pPr>
        <w:pStyle w:val="BodyText"/>
        <w:spacing w:after="0"/>
        <w:jc w:val="both"/>
        <w:sectPr>
          <w:headerReference w:type="default" r:id="rId50"/>
          <w:footerReference w:type="default" r:id="rId51"/>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numPr>
          <w:ilvl w:val="0"/>
          <w:numId w:val="17"/>
        </w:numPr>
        <w:tabs>
          <w:tab w:pos="850" w:val="left" w:leader="none"/>
        </w:tabs>
        <w:spacing w:line="240" w:lineRule="auto" w:before="0" w:after="0"/>
        <w:ind w:left="850" w:right="0" w:hanging="425"/>
        <w:jc w:val="left"/>
      </w:pPr>
      <w:r>
        <w:rPr/>
        <w:t>Retirement</w:t>
      </w:r>
      <w:r>
        <w:rPr>
          <w:spacing w:val="-8"/>
        </w:rPr>
        <w:t> </w:t>
      </w:r>
      <w:r>
        <w:rPr/>
        <w:t>benefits</w:t>
      </w:r>
      <w:r>
        <w:rPr>
          <w:spacing w:val="-7"/>
        </w:rPr>
        <w:t> </w:t>
      </w:r>
      <w:r>
        <w:rPr>
          <w:spacing w:val="-2"/>
        </w:rPr>
        <w:t>(continued)</w:t>
      </w:r>
    </w:p>
    <w:p>
      <w:pPr>
        <w:pStyle w:val="BodyText"/>
        <w:spacing w:before="229"/>
        <w:ind w:left="852" w:right="709"/>
        <w:jc w:val="both"/>
      </w:pPr>
      <w:r>
        <w:rPr/>
        <w:t>As</w:t>
      </w:r>
      <w:r>
        <w:rPr>
          <w:spacing w:val="-10"/>
        </w:rPr>
        <w:t> </w:t>
      </w:r>
      <w:r>
        <w:rPr/>
        <w:t>a</w:t>
      </w:r>
      <w:r>
        <w:rPr>
          <w:spacing w:val="-11"/>
        </w:rPr>
        <w:t> </w:t>
      </w:r>
      <w:r>
        <w:rPr/>
        <w:t>result</w:t>
      </w:r>
      <w:r>
        <w:rPr>
          <w:spacing w:val="-11"/>
        </w:rPr>
        <w:t> </w:t>
      </w:r>
      <w:r>
        <w:rPr/>
        <w:t>of</w:t>
      </w:r>
      <w:r>
        <w:rPr>
          <w:spacing w:val="-9"/>
        </w:rPr>
        <w:t> </w:t>
      </w:r>
      <w:r>
        <w:rPr/>
        <w:t>the</w:t>
      </w:r>
      <w:r>
        <w:rPr>
          <w:spacing w:val="-11"/>
        </w:rPr>
        <w:t> </w:t>
      </w:r>
      <w:r>
        <w:rPr/>
        <w:t>valuation,</w:t>
      </w:r>
      <w:r>
        <w:rPr>
          <w:spacing w:val="-9"/>
        </w:rPr>
        <w:t> </w:t>
      </w:r>
      <w:r>
        <w:rPr/>
        <w:t>new</w:t>
      </w:r>
      <w:r>
        <w:rPr>
          <w:spacing w:val="-11"/>
        </w:rPr>
        <w:t> </w:t>
      </w:r>
      <w:r>
        <w:rPr/>
        <w:t>employer</w:t>
      </w:r>
      <w:r>
        <w:rPr>
          <w:spacing w:val="-10"/>
        </w:rPr>
        <w:t> </w:t>
      </w:r>
      <w:r>
        <w:rPr/>
        <w:t>contribution</w:t>
      </w:r>
      <w:r>
        <w:rPr>
          <w:spacing w:val="-11"/>
        </w:rPr>
        <w:t> </w:t>
      </w:r>
      <w:r>
        <w:rPr/>
        <w:t>rates</w:t>
      </w:r>
      <w:r>
        <w:rPr>
          <w:spacing w:val="-10"/>
        </w:rPr>
        <w:t> </w:t>
      </w:r>
      <w:r>
        <w:rPr/>
        <w:t>have</w:t>
      </w:r>
      <w:r>
        <w:rPr>
          <w:spacing w:val="-9"/>
        </w:rPr>
        <w:t> </w:t>
      </w:r>
      <w:r>
        <w:rPr/>
        <w:t>been</w:t>
      </w:r>
      <w:r>
        <w:rPr>
          <w:spacing w:val="-11"/>
        </w:rPr>
        <w:t> </w:t>
      </w:r>
      <w:r>
        <w:rPr/>
        <w:t>set</w:t>
      </w:r>
      <w:r>
        <w:rPr>
          <w:spacing w:val="-9"/>
        </w:rPr>
        <w:t> </w:t>
      </w:r>
      <w:r>
        <w:rPr/>
        <w:t>at</w:t>
      </w:r>
      <w:r>
        <w:rPr>
          <w:spacing w:val="-11"/>
        </w:rPr>
        <w:t> </w:t>
      </w:r>
      <w:r>
        <w:rPr/>
        <w:t>28.6%</w:t>
      </w:r>
      <w:r>
        <w:rPr>
          <w:spacing w:val="-11"/>
        </w:rPr>
        <w:t> </w:t>
      </w:r>
      <w:r>
        <w:rPr/>
        <w:t>of</w:t>
      </w:r>
      <w:r>
        <w:rPr>
          <w:spacing w:val="-11"/>
        </w:rPr>
        <w:t> </w:t>
      </w:r>
      <w:r>
        <w:rPr/>
        <w:t>pensionable</w:t>
      </w:r>
      <w:r>
        <w:rPr>
          <w:spacing w:val="-9"/>
        </w:rPr>
        <w:t> </w:t>
      </w:r>
      <w:r>
        <w:rPr/>
        <w:t>pay from 1 April 2024 until 31 March 2027 (compared to 23.68% under the previous valuation including a 0.08%</w:t>
      </w:r>
      <w:r>
        <w:rPr>
          <w:spacing w:val="-14"/>
        </w:rPr>
        <w:t> </w:t>
      </w:r>
      <w:r>
        <w:rPr/>
        <w:t>administration</w:t>
      </w:r>
      <w:r>
        <w:rPr>
          <w:spacing w:val="-14"/>
        </w:rPr>
        <w:t> </w:t>
      </w:r>
      <w:r>
        <w:rPr/>
        <w:t>levy).</w:t>
      </w:r>
      <w:r>
        <w:rPr>
          <w:spacing w:val="-14"/>
        </w:rPr>
        <w:t> </w:t>
      </w:r>
      <w:r>
        <w:rPr/>
        <w:t>DfE</w:t>
      </w:r>
      <w:r>
        <w:rPr>
          <w:spacing w:val="-14"/>
        </w:rPr>
        <w:t> </w:t>
      </w:r>
      <w:r>
        <w:rPr/>
        <w:t>agreed</w:t>
      </w:r>
      <w:r>
        <w:rPr>
          <w:spacing w:val="-14"/>
        </w:rPr>
        <w:t> </w:t>
      </w:r>
      <w:r>
        <w:rPr/>
        <w:t>to</w:t>
      </w:r>
      <w:r>
        <w:rPr>
          <w:spacing w:val="-14"/>
        </w:rPr>
        <w:t> </w:t>
      </w:r>
      <w:r>
        <w:rPr/>
        <w:t>pay</w:t>
      </w:r>
      <w:r>
        <w:rPr>
          <w:spacing w:val="-14"/>
        </w:rPr>
        <w:t> </w:t>
      </w:r>
      <w:r>
        <w:rPr/>
        <w:t>a</w:t>
      </w:r>
      <w:r>
        <w:rPr>
          <w:spacing w:val="-14"/>
        </w:rPr>
        <w:t> </w:t>
      </w:r>
      <w:r>
        <w:rPr/>
        <w:t>Teachers</w:t>
      </w:r>
      <w:r>
        <w:rPr>
          <w:spacing w:val="-14"/>
        </w:rPr>
        <w:t> </w:t>
      </w:r>
      <w:r>
        <w:rPr/>
        <w:t>Pensions</w:t>
      </w:r>
      <w:r>
        <w:rPr>
          <w:spacing w:val="-13"/>
        </w:rPr>
        <w:t> </w:t>
      </w:r>
      <w:r>
        <w:rPr/>
        <w:t>employer</w:t>
      </w:r>
      <w:r>
        <w:rPr>
          <w:spacing w:val="-14"/>
        </w:rPr>
        <w:t> </w:t>
      </w:r>
      <w:r>
        <w:rPr/>
        <w:t>contribution</w:t>
      </w:r>
      <w:r>
        <w:rPr>
          <w:spacing w:val="-14"/>
        </w:rPr>
        <w:t> </w:t>
      </w:r>
      <w:r>
        <w:rPr/>
        <w:t>grant</w:t>
      </w:r>
      <w:r>
        <w:rPr>
          <w:spacing w:val="-14"/>
        </w:rPr>
        <w:t> </w:t>
      </w:r>
      <w:r>
        <w:rPr/>
        <w:t>to</w:t>
      </w:r>
      <w:r>
        <w:rPr>
          <w:spacing w:val="-14"/>
        </w:rPr>
        <w:t> </w:t>
      </w:r>
      <w:r>
        <w:rPr/>
        <w:t>cover the additional costs during the 2021-22 academic year, and currently through to July 2024.</w:t>
      </w:r>
    </w:p>
    <w:p>
      <w:pPr>
        <w:pStyle w:val="BodyText"/>
      </w:pPr>
    </w:p>
    <w:p>
      <w:pPr>
        <w:pStyle w:val="BodyText"/>
        <w:ind w:left="852"/>
        <w:jc w:val="both"/>
      </w:pPr>
      <w:r>
        <w:rPr/>
        <w:t>The</w:t>
      </w:r>
      <w:r>
        <w:rPr>
          <w:spacing w:val="-7"/>
        </w:rPr>
        <w:t> </w:t>
      </w:r>
      <w:r>
        <w:rPr/>
        <w:t>valuation</w:t>
      </w:r>
      <w:r>
        <w:rPr>
          <w:spacing w:val="-4"/>
        </w:rPr>
        <w:t> </w:t>
      </w:r>
      <w:r>
        <w:rPr/>
        <w:t>report</w:t>
      </w:r>
      <w:r>
        <w:rPr>
          <w:spacing w:val="-5"/>
        </w:rPr>
        <w:t> </w:t>
      </w:r>
      <w:r>
        <w:rPr/>
        <w:t>was</w:t>
      </w:r>
      <w:r>
        <w:rPr>
          <w:spacing w:val="-5"/>
        </w:rPr>
        <w:t> </w:t>
      </w:r>
      <w:r>
        <w:rPr/>
        <w:t>published</w:t>
      </w:r>
      <w:r>
        <w:rPr>
          <w:spacing w:val="-4"/>
        </w:rPr>
        <w:t> </w:t>
      </w:r>
      <w:r>
        <w:rPr/>
        <w:t>on</w:t>
      </w:r>
      <w:r>
        <w:rPr>
          <w:spacing w:val="-5"/>
        </w:rPr>
        <w:t> </w:t>
      </w:r>
      <w:r>
        <w:rPr/>
        <w:t>26</w:t>
      </w:r>
      <w:r>
        <w:rPr>
          <w:spacing w:val="-6"/>
        </w:rPr>
        <w:t> </w:t>
      </w:r>
      <w:r>
        <w:rPr/>
        <w:t>October</w:t>
      </w:r>
      <w:r>
        <w:rPr>
          <w:spacing w:val="-5"/>
        </w:rPr>
        <w:t> </w:t>
      </w:r>
      <w:r>
        <w:rPr/>
        <w:t>2023.</w:t>
      </w:r>
      <w:r>
        <w:rPr>
          <w:spacing w:val="-7"/>
        </w:rPr>
        <w:t> </w:t>
      </w:r>
      <w:r>
        <w:rPr/>
        <w:t>The</w:t>
      </w:r>
      <w:r>
        <w:rPr>
          <w:spacing w:val="-6"/>
        </w:rPr>
        <w:t> </w:t>
      </w:r>
      <w:r>
        <w:rPr/>
        <w:t>key</w:t>
      </w:r>
      <w:r>
        <w:rPr>
          <w:spacing w:val="-5"/>
        </w:rPr>
        <w:t> </w:t>
      </w:r>
      <w:r>
        <w:rPr/>
        <w:t>results</w:t>
      </w:r>
      <w:r>
        <w:rPr>
          <w:spacing w:val="-3"/>
        </w:rPr>
        <w:t> </w:t>
      </w:r>
      <w:r>
        <w:rPr/>
        <w:t>of</w:t>
      </w:r>
      <w:r>
        <w:rPr>
          <w:spacing w:val="-6"/>
        </w:rPr>
        <w:t> </w:t>
      </w:r>
      <w:r>
        <w:rPr/>
        <w:t>the</w:t>
      </w:r>
      <w:r>
        <w:rPr>
          <w:spacing w:val="-7"/>
        </w:rPr>
        <w:t> </w:t>
      </w:r>
      <w:r>
        <w:rPr/>
        <w:t>valuation</w:t>
      </w:r>
      <w:r>
        <w:rPr>
          <w:spacing w:val="-6"/>
        </w:rPr>
        <w:t> </w:t>
      </w:r>
      <w:r>
        <w:rPr>
          <w:spacing w:val="-4"/>
        </w:rPr>
        <w:t>are:</w:t>
      </w:r>
    </w:p>
    <w:p>
      <w:pPr>
        <w:pStyle w:val="BodyText"/>
        <w:spacing w:before="2"/>
      </w:pPr>
    </w:p>
    <w:p>
      <w:pPr>
        <w:pStyle w:val="ListParagraph"/>
        <w:numPr>
          <w:ilvl w:val="1"/>
          <w:numId w:val="17"/>
        </w:numPr>
        <w:tabs>
          <w:tab w:pos="1560" w:val="left" w:leader="none"/>
        </w:tabs>
        <w:spacing w:line="254" w:lineRule="auto" w:before="0" w:after="0"/>
        <w:ind w:left="1560" w:right="711" w:hanging="708"/>
        <w:jc w:val="left"/>
        <w:rPr>
          <w:sz w:val="20"/>
        </w:rPr>
      </w:pPr>
      <w:r>
        <w:rPr>
          <w:sz w:val="20"/>
        </w:rPr>
        <w:t>Total</w:t>
      </w:r>
      <w:r>
        <w:rPr>
          <w:spacing w:val="-13"/>
          <w:sz w:val="20"/>
        </w:rPr>
        <w:t> </w:t>
      </w:r>
      <w:r>
        <w:rPr>
          <w:sz w:val="20"/>
        </w:rPr>
        <w:t>scheme</w:t>
      </w:r>
      <w:r>
        <w:rPr>
          <w:spacing w:val="-10"/>
          <w:sz w:val="20"/>
        </w:rPr>
        <w:t> </w:t>
      </w:r>
      <w:r>
        <w:rPr>
          <w:sz w:val="20"/>
        </w:rPr>
        <w:t>liabilities</w:t>
      </w:r>
      <w:r>
        <w:rPr>
          <w:spacing w:val="-11"/>
          <w:sz w:val="20"/>
        </w:rPr>
        <w:t> </w:t>
      </w:r>
      <w:r>
        <w:rPr>
          <w:sz w:val="20"/>
        </w:rPr>
        <w:t>for</w:t>
      </w:r>
      <w:r>
        <w:rPr>
          <w:spacing w:val="-12"/>
          <w:sz w:val="20"/>
        </w:rPr>
        <w:t> </w:t>
      </w:r>
      <w:r>
        <w:rPr>
          <w:sz w:val="20"/>
        </w:rPr>
        <w:t>service</w:t>
      </w:r>
      <w:r>
        <w:rPr>
          <w:spacing w:val="-13"/>
          <w:sz w:val="20"/>
        </w:rPr>
        <w:t> </w:t>
      </w:r>
      <w:r>
        <w:rPr>
          <w:sz w:val="20"/>
        </w:rPr>
        <w:t>(the</w:t>
      </w:r>
      <w:r>
        <w:rPr>
          <w:spacing w:val="-13"/>
          <w:sz w:val="20"/>
        </w:rPr>
        <w:t> </w:t>
      </w:r>
      <w:r>
        <w:rPr>
          <w:sz w:val="20"/>
        </w:rPr>
        <w:t>capital</w:t>
      </w:r>
      <w:r>
        <w:rPr>
          <w:spacing w:val="-13"/>
          <w:sz w:val="20"/>
        </w:rPr>
        <w:t> </w:t>
      </w:r>
      <w:r>
        <w:rPr>
          <w:sz w:val="20"/>
        </w:rPr>
        <w:t>sum</w:t>
      </w:r>
      <w:r>
        <w:rPr>
          <w:spacing w:val="-13"/>
          <w:sz w:val="20"/>
        </w:rPr>
        <w:t> </w:t>
      </w:r>
      <w:r>
        <w:rPr>
          <w:sz w:val="20"/>
        </w:rPr>
        <w:t>needed</w:t>
      </w:r>
      <w:r>
        <w:rPr>
          <w:spacing w:val="-10"/>
          <w:sz w:val="20"/>
        </w:rPr>
        <w:t> </w:t>
      </w:r>
      <w:r>
        <w:rPr>
          <w:sz w:val="20"/>
        </w:rPr>
        <w:t>at</w:t>
      </w:r>
      <w:r>
        <w:rPr>
          <w:spacing w:val="-13"/>
          <w:sz w:val="20"/>
        </w:rPr>
        <w:t> </w:t>
      </w:r>
      <w:r>
        <w:rPr>
          <w:sz w:val="20"/>
        </w:rPr>
        <w:t>31</w:t>
      </w:r>
      <w:r>
        <w:rPr>
          <w:spacing w:val="-13"/>
          <w:sz w:val="20"/>
        </w:rPr>
        <w:t> </w:t>
      </w:r>
      <w:r>
        <w:rPr>
          <w:sz w:val="20"/>
        </w:rPr>
        <w:t>March</w:t>
      </w:r>
      <w:r>
        <w:rPr>
          <w:spacing w:val="-13"/>
          <w:sz w:val="20"/>
        </w:rPr>
        <w:t> </w:t>
      </w:r>
      <w:r>
        <w:rPr>
          <w:sz w:val="20"/>
        </w:rPr>
        <w:t>2020</w:t>
      </w:r>
      <w:r>
        <w:rPr>
          <w:spacing w:val="-13"/>
          <w:sz w:val="20"/>
        </w:rPr>
        <w:t> </w:t>
      </w:r>
      <w:r>
        <w:rPr>
          <w:sz w:val="20"/>
        </w:rPr>
        <w:t>to</w:t>
      </w:r>
      <w:r>
        <w:rPr>
          <w:spacing w:val="-13"/>
          <w:sz w:val="20"/>
        </w:rPr>
        <w:t> </w:t>
      </w:r>
      <w:r>
        <w:rPr>
          <w:sz w:val="20"/>
        </w:rPr>
        <w:t>meet</w:t>
      </w:r>
      <w:r>
        <w:rPr>
          <w:spacing w:val="-13"/>
          <w:sz w:val="20"/>
        </w:rPr>
        <w:t> </w:t>
      </w:r>
      <w:r>
        <w:rPr>
          <w:sz w:val="20"/>
        </w:rPr>
        <w:t>the</w:t>
      </w:r>
      <w:r>
        <w:rPr>
          <w:spacing w:val="-13"/>
          <w:sz w:val="20"/>
        </w:rPr>
        <w:t> </w:t>
      </w:r>
      <w:r>
        <w:rPr>
          <w:sz w:val="20"/>
        </w:rPr>
        <w:t>stream of future cashflows in respect of benefits earned) of £262 billion.</w:t>
      </w:r>
    </w:p>
    <w:p>
      <w:pPr>
        <w:pStyle w:val="ListParagraph"/>
        <w:numPr>
          <w:ilvl w:val="1"/>
          <w:numId w:val="17"/>
        </w:numPr>
        <w:tabs>
          <w:tab w:pos="1560" w:val="left" w:leader="none"/>
        </w:tabs>
        <w:spacing w:line="254" w:lineRule="auto" w:before="7" w:after="0"/>
        <w:ind w:left="1560" w:right="710" w:hanging="708"/>
        <w:jc w:val="left"/>
        <w:rPr>
          <w:sz w:val="20"/>
        </w:rPr>
      </w:pPr>
      <w:r>
        <w:rPr>
          <w:sz w:val="20"/>
        </w:rPr>
        <w:t>Value of notional assets (estimated future contributions together with the proceeds from the</w:t>
      </w:r>
      <w:r>
        <w:rPr>
          <w:spacing w:val="40"/>
          <w:sz w:val="20"/>
        </w:rPr>
        <w:t> </w:t>
      </w:r>
      <w:r>
        <w:rPr>
          <w:sz w:val="20"/>
        </w:rPr>
        <w:t>notional investments held at the valuation date) of £222 billion.</w:t>
      </w:r>
    </w:p>
    <w:p>
      <w:pPr>
        <w:pStyle w:val="ListParagraph"/>
        <w:numPr>
          <w:ilvl w:val="1"/>
          <w:numId w:val="17"/>
        </w:numPr>
        <w:tabs>
          <w:tab w:pos="1572" w:val="left" w:leader="none"/>
        </w:tabs>
        <w:spacing w:line="245" w:lineRule="exact" w:before="6" w:after="0"/>
        <w:ind w:left="1572" w:right="0" w:hanging="720"/>
        <w:jc w:val="left"/>
        <w:rPr>
          <w:sz w:val="20"/>
        </w:rPr>
      </w:pPr>
      <w:r>
        <w:rPr>
          <w:sz w:val="20"/>
        </w:rPr>
        <w:t>Notional</w:t>
      </w:r>
      <w:r>
        <w:rPr>
          <w:spacing w:val="-8"/>
          <w:sz w:val="20"/>
        </w:rPr>
        <w:t> </w:t>
      </w:r>
      <w:r>
        <w:rPr>
          <w:sz w:val="20"/>
        </w:rPr>
        <w:t>past</w:t>
      </w:r>
      <w:r>
        <w:rPr>
          <w:spacing w:val="-7"/>
          <w:sz w:val="20"/>
        </w:rPr>
        <w:t> </w:t>
      </w:r>
      <w:r>
        <w:rPr>
          <w:sz w:val="20"/>
        </w:rPr>
        <w:t>service</w:t>
      </w:r>
      <w:r>
        <w:rPr>
          <w:spacing w:val="-6"/>
          <w:sz w:val="20"/>
        </w:rPr>
        <w:t> </w:t>
      </w:r>
      <w:r>
        <w:rPr>
          <w:sz w:val="20"/>
        </w:rPr>
        <w:t>deficit</w:t>
      </w:r>
      <w:r>
        <w:rPr>
          <w:spacing w:val="-5"/>
          <w:sz w:val="20"/>
        </w:rPr>
        <w:t> </w:t>
      </w:r>
      <w:r>
        <w:rPr>
          <w:sz w:val="20"/>
        </w:rPr>
        <w:t>of</w:t>
      </w:r>
      <w:r>
        <w:rPr>
          <w:spacing w:val="-7"/>
          <w:sz w:val="20"/>
        </w:rPr>
        <w:t> </w:t>
      </w:r>
      <w:r>
        <w:rPr>
          <w:sz w:val="20"/>
        </w:rPr>
        <w:t>£39.8</w:t>
      </w:r>
      <w:r>
        <w:rPr>
          <w:spacing w:val="-5"/>
          <w:sz w:val="20"/>
        </w:rPr>
        <w:t> </w:t>
      </w:r>
      <w:r>
        <w:rPr>
          <w:sz w:val="20"/>
        </w:rPr>
        <w:t>billion</w:t>
      </w:r>
      <w:r>
        <w:rPr>
          <w:spacing w:val="-6"/>
          <w:sz w:val="20"/>
        </w:rPr>
        <w:t> </w:t>
      </w:r>
      <w:r>
        <w:rPr>
          <w:sz w:val="20"/>
        </w:rPr>
        <w:t>(2016:</w:t>
      </w:r>
      <w:r>
        <w:rPr>
          <w:spacing w:val="-4"/>
          <w:sz w:val="20"/>
        </w:rPr>
        <w:t> </w:t>
      </w:r>
      <w:r>
        <w:rPr>
          <w:sz w:val="20"/>
        </w:rPr>
        <w:t>£22</w:t>
      </w:r>
      <w:r>
        <w:rPr>
          <w:spacing w:val="-5"/>
          <w:sz w:val="20"/>
        </w:rPr>
        <w:t> </w:t>
      </w:r>
      <w:r>
        <w:rPr>
          <w:spacing w:val="-2"/>
          <w:sz w:val="20"/>
        </w:rPr>
        <w:t>billion).</w:t>
      </w:r>
    </w:p>
    <w:p>
      <w:pPr>
        <w:pStyle w:val="ListParagraph"/>
        <w:numPr>
          <w:ilvl w:val="1"/>
          <w:numId w:val="17"/>
        </w:numPr>
        <w:tabs>
          <w:tab w:pos="1560" w:val="left" w:leader="none"/>
        </w:tabs>
        <w:spacing w:line="254" w:lineRule="auto" w:before="0" w:after="0"/>
        <w:ind w:left="1560" w:right="708" w:hanging="708"/>
        <w:jc w:val="left"/>
        <w:rPr>
          <w:sz w:val="20"/>
        </w:rPr>
      </w:pPr>
      <w:r>
        <w:rPr>
          <w:sz w:val="20"/>
        </w:rPr>
        <w:t>Discount rate is 1.7% in excess of CPI (2016: 2.4% in excess of CPI (this change has had the greatest financial significance)).</w:t>
      </w:r>
    </w:p>
    <w:p>
      <w:pPr>
        <w:pStyle w:val="BodyText"/>
        <w:spacing w:before="4"/>
      </w:pPr>
    </w:p>
    <w:p>
      <w:pPr>
        <w:pStyle w:val="BodyText"/>
        <w:spacing w:line="477" w:lineRule="auto"/>
        <w:ind w:left="852" w:right="2038"/>
        <w:jc w:val="both"/>
      </w:pPr>
      <w:r>
        <w:rPr/>
        <w:t>The</w:t>
      </w:r>
      <w:r>
        <w:rPr>
          <w:spacing w:val="-4"/>
        </w:rPr>
        <w:t> </w:t>
      </w:r>
      <w:r>
        <w:rPr/>
        <w:t>pension</w:t>
      </w:r>
      <w:r>
        <w:rPr>
          <w:spacing w:val="-4"/>
        </w:rPr>
        <w:t> </w:t>
      </w:r>
      <w:r>
        <w:rPr/>
        <w:t>costs</w:t>
      </w:r>
      <w:r>
        <w:rPr>
          <w:spacing w:val="-3"/>
        </w:rPr>
        <w:t> </w:t>
      </w:r>
      <w:r>
        <w:rPr/>
        <w:t>paid</w:t>
      </w:r>
      <w:r>
        <w:rPr>
          <w:spacing w:val="-4"/>
        </w:rPr>
        <w:t> </w:t>
      </w:r>
      <w:r>
        <w:rPr/>
        <w:t>to</w:t>
      </w:r>
      <w:r>
        <w:rPr>
          <w:spacing w:val="-2"/>
        </w:rPr>
        <w:t> </w:t>
      </w:r>
      <w:r>
        <w:rPr/>
        <w:t>TPS</w:t>
      </w:r>
      <w:r>
        <w:rPr>
          <w:spacing w:val="-2"/>
        </w:rPr>
        <w:t> </w:t>
      </w:r>
      <w:r>
        <w:rPr/>
        <w:t>in</w:t>
      </w:r>
      <w:r>
        <w:rPr>
          <w:spacing w:val="-4"/>
        </w:rPr>
        <w:t> </w:t>
      </w:r>
      <w:r>
        <w:rPr/>
        <w:t>the</w:t>
      </w:r>
      <w:r>
        <w:rPr>
          <w:spacing w:val="-4"/>
        </w:rPr>
        <w:t> </w:t>
      </w:r>
      <w:r>
        <w:rPr/>
        <w:t>year</w:t>
      </w:r>
      <w:r>
        <w:rPr>
          <w:spacing w:val="-3"/>
        </w:rPr>
        <w:t> </w:t>
      </w:r>
      <w:r>
        <w:rPr/>
        <w:t>amounted</w:t>
      </w:r>
      <w:r>
        <w:rPr>
          <w:spacing w:val="-2"/>
        </w:rPr>
        <w:t> </w:t>
      </w:r>
      <w:r>
        <w:rPr/>
        <w:t>to</w:t>
      </w:r>
      <w:r>
        <w:rPr>
          <w:spacing w:val="-4"/>
        </w:rPr>
        <w:t> </w:t>
      </w:r>
      <w:r>
        <w:rPr/>
        <w:t>£1,205,000</w:t>
      </w:r>
      <w:r>
        <w:rPr>
          <w:spacing w:val="-4"/>
        </w:rPr>
        <w:t> </w:t>
      </w:r>
      <w:r>
        <w:rPr/>
        <w:t>(2022:</w:t>
      </w:r>
      <w:r>
        <w:rPr>
          <w:spacing w:val="-2"/>
        </w:rPr>
        <w:t> </w:t>
      </w:r>
      <w:r>
        <w:rPr/>
        <w:t>£1,292,000). The next valuation result is due to be implemented from 1 April 2024.</w:t>
      </w:r>
    </w:p>
    <w:p>
      <w:pPr>
        <w:pStyle w:val="BodyText"/>
        <w:spacing w:before="5"/>
        <w:ind w:left="851" w:right="709"/>
        <w:jc w:val="both"/>
      </w:pPr>
      <w:r>
        <w:rPr/>
        <w:t>As</w:t>
      </w:r>
      <w:r>
        <w:rPr>
          <w:spacing w:val="-10"/>
        </w:rPr>
        <w:t> </w:t>
      </w:r>
      <w:r>
        <w:rPr/>
        <w:t>a</w:t>
      </w:r>
      <w:r>
        <w:rPr>
          <w:spacing w:val="-11"/>
        </w:rPr>
        <w:t> </w:t>
      </w:r>
      <w:r>
        <w:rPr/>
        <w:t>result</w:t>
      </w:r>
      <w:r>
        <w:rPr>
          <w:spacing w:val="-11"/>
        </w:rPr>
        <w:t> </w:t>
      </w:r>
      <w:r>
        <w:rPr/>
        <w:t>of</w:t>
      </w:r>
      <w:r>
        <w:rPr>
          <w:spacing w:val="-9"/>
        </w:rPr>
        <w:t> </w:t>
      </w:r>
      <w:r>
        <w:rPr/>
        <w:t>the</w:t>
      </w:r>
      <w:r>
        <w:rPr>
          <w:spacing w:val="-11"/>
        </w:rPr>
        <w:t> </w:t>
      </w:r>
      <w:r>
        <w:rPr/>
        <w:t>valuation,</w:t>
      </w:r>
      <w:r>
        <w:rPr>
          <w:spacing w:val="-9"/>
        </w:rPr>
        <w:t> </w:t>
      </w:r>
      <w:r>
        <w:rPr/>
        <w:t>new</w:t>
      </w:r>
      <w:r>
        <w:rPr>
          <w:spacing w:val="-11"/>
        </w:rPr>
        <w:t> </w:t>
      </w:r>
      <w:r>
        <w:rPr/>
        <w:t>employer</w:t>
      </w:r>
      <w:r>
        <w:rPr>
          <w:spacing w:val="-10"/>
        </w:rPr>
        <w:t> </w:t>
      </w:r>
      <w:r>
        <w:rPr/>
        <w:t>contribution</w:t>
      </w:r>
      <w:r>
        <w:rPr>
          <w:spacing w:val="-11"/>
        </w:rPr>
        <w:t> </w:t>
      </w:r>
      <w:r>
        <w:rPr/>
        <w:t>rates</w:t>
      </w:r>
      <w:r>
        <w:rPr>
          <w:spacing w:val="-10"/>
        </w:rPr>
        <w:t> </w:t>
      </w:r>
      <w:r>
        <w:rPr/>
        <w:t>have</w:t>
      </w:r>
      <w:r>
        <w:rPr>
          <w:spacing w:val="-9"/>
        </w:rPr>
        <w:t> </w:t>
      </w:r>
      <w:r>
        <w:rPr/>
        <w:t>been</w:t>
      </w:r>
      <w:r>
        <w:rPr>
          <w:spacing w:val="-11"/>
        </w:rPr>
        <w:t> </w:t>
      </w:r>
      <w:r>
        <w:rPr/>
        <w:t>set</w:t>
      </w:r>
      <w:r>
        <w:rPr>
          <w:spacing w:val="-9"/>
        </w:rPr>
        <w:t> </w:t>
      </w:r>
      <w:r>
        <w:rPr/>
        <w:t>at</w:t>
      </w:r>
      <w:r>
        <w:rPr>
          <w:spacing w:val="-11"/>
        </w:rPr>
        <w:t> </w:t>
      </w:r>
      <w:r>
        <w:rPr/>
        <w:t>28.6%</w:t>
      </w:r>
      <w:r>
        <w:rPr>
          <w:spacing w:val="-11"/>
        </w:rPr>
        <w:t> </w:t>
      </w:r>
      <w:r>
        <w:rPr/>
        <w:t>of</w:t>
      </w:r>
      <w:r>
        <w:rPr>
          <w:spacing w:val="-11"/>
        </w:rPr>
        <w:t> </w:t>
      </w:r>
      <w:r>
        <w:rPr/>
        <w:t>pensionable</w:t>
      </w:r>
      <w:r>
        <w:rPr>
          <w:spacing w:val="-9"/>
        </w:rPr>
        <w:t> </w:t>
      </w:r>
      <w:r>
        <w:rPr/>
        <w:t>pay from 1 April 2024 until 31 March 2027 (compared to 23.68% under the previous valuation including a 0.08%</w:t>
      </w:r>
      <w:r>
        <w:rPr>
          <w:spacing w:val="-14"/>
        </w:rPr>
        <w:t> </w:t>
      </w:r>
      <w:r>
        <w:rPr/>
        <w:t>administration</w:t>
      </w:r>
      <w:r>
        <w:rPr>
          <w:spacing w:val="-14"/>
        </w:rPr>
        <w:t> </w:t>
      </w:r>
      <w:r>
        <w:rPr/>
        <w:t>levy).</w:t>
      </w:r>
      <w:r>
        <w:rPr>
          <w:spacing w:val="-14"/>
        </w:rPr>
        <w:t> </w:t>
      </w:r>
      <w:r>
        <w:rPr/>
        <w:t>DfE</w:t>
      </w:r>
      <w:r>
        <w:rPr>
          <w:spacing w:val="-14"/>
        </w:rPr>
        <w:t> </w:t>
      </w:r>
      <w:r>
        <w:rPr/>
        <w:t>agreed</w:t>
      </w:r>
      <w:r>
        <w:rPr>
          <w:spacing w:val="-14"/>
        </w:rPr>
        <w:t> </w:t>
      </w:r>
      <w:r>
        <w:rPr/>
        <w:t>to</w:t>
      </w:r>
      <w:r>
        <w:rPr>
          <w:spacing w:val="-14"/>
        </w:rPr>
        <w:t> </w:t>
      </w:r>
      <w:r>
        <w:rPr/>
        <w:t>pay</w:t>
      </w:r>
      <w:r>
        <w:rPr>
          <w:spacing w:val="-14"/>
        </w:rPr>
        <w:t> </w:t>
      </w:r>
      <w:r>
        <w:rPr/>
        <w:t>a</w:t>
      </w:r>
      <w:r>
        <w:rPr>
          <w:spacing w:val="-14"/>
        </w:rPr>
        <w:t> </w:t>
      </w:r>
      <w:r>
        <w:rPr/>
        <w:t>Teachers</w:t>
      </w:r>
      <w:r>
        <w:rPr>
          <w:spacing w:val="-14"/>
        </w:rPr>
        <w:t> </w:t>
      </w:r>
      <w:r>
        <w:rPr/>
        <w:t>Pensions</w:t>
      </w:r>
      <w:r>
        <w:rPr>
          <w:spacing w:val="-13"/>
        </w:rPr>
        <w:t> </w:t>
      </w:r>
      <w:r>
        <w:rPr/>
        <w:t>employer</w:t>
      </w:r>
      <w:r>
        <w:rPr>
          <w:spacing w:val="-14"/>
        </w:rPr>
        <w:t> </w:t>
      </w:r>
      <w:r>
        <w:rPr/>
        <w:t>contribution</w:t>
      </w:r>
      <w:r>
        <w:rPr>
          <w:spacing w:val="-14"/>
        </w:rPr>
        <w:t> </w:t>
      </w:r>
      <w:r>
        <w:rPr/>
        <w:t>grant</w:t>
      </w:r>
      <w:r>
        <w:rPr>
          <w:spacing w:val="-14"/>
        </w:rPr>
        <w:t> </w:t>
      </w:r>
      <w:r>
        <w:rPr/>
        <w:t>to</w:t>
      </w:r>
      <w:r>
        <w:rPr>
          <w:spacing w:val="-14"/>
        </w:rPr>
        <w:t> </w:t>
      </w:r>
      <w:r>
        <w:rPr/>
        <w:t>cover the additional costs during the 2021-22 academic year, and currently through to July 2024.</w:t>
      </w:r>
    </w:p>
    <w:p>
      <w:pPr>
        <w:pStyle w:val="BodyText"/>
      </w:pPr>
    </w:p>
    <w:p>
      <w:pPr>
        <w:pStyle w:val="Heading6"/>
        <w:ind w:left="851"/>
      </w:pPr>
      <w:r>
        <w:rPr/>
        <w:t>East</w:t>
      </w:r>
      <w:r>
        <w:rPr>
          <w:spacing w:val="-8"/>
        </w:rPr>
        <w:t> </w:t>
      </w:r>
      <w:r>
        <w:rPr/>
        <w:t>Riding</w:t>
      </w:r>
      <w:r>
        <w:rPr>
          <w:spacing w:val="-8"/>
        </w:rPr>
        <w:t> </w:t>
      </w:r>
      <w:r>
        <w:rPr/>
        <w:t>Pension</w:t>
      </w:r>
      <w:r>
        <w:rPr>
          <w:spacing w:val="-8"/>
        </w:rPr>
        <w:t> </w:t>
      </w:r>
      <w:r>
        <w:rPr>
          <w:spacing w:val="-4"/>
        </w:rPr>
        <w:t>Fund</w:t>
      </w:r>
    </w:p>
    <w:p>
      <w:pPr>
        <w:pStyle w:val="BodyText"/>
        <w:spacing w:before="1"/>
        <w:rPr>
          <w:b/>
        </w:rPr>
      </w:pPr>
    </w:p>
    <w:p>
      <w:pPr>
        <w:pStyle w:val="BodyText"/>
        <w:ind w:left="851" w:right="706"/>
        <w:jc w:val="both"/>
      </w:pPr>
      <w:r>
        <w:rPr/>
        <w:t>The East Riding Pension Fund is a</w:t>
      </w:r>
      <w:r>
        <w:rPr>
          <w:spacing w:val="-1"/>
        </w:rPr>
        <w:t> </w:t>
      </w:r>
      <w:r>
        <w:rPr/>
        <w:t>funded defined-benefit</w:t>
      </w:r>
      <w:r>
        <w:rPr>
          <w:spacing w:val="-1"/>
        </w:rPr>
        <w:t> </w:t>
      </w:r>
      <w:r>
        <w:rPr/>
        <w:t>plan, with</w:t>
      </w:r>
      <w:r>
        <w:rPr>
          <w:spacing w:val="-1"/>
        </w:rPr>
        <w:t> </w:t>
      </w:r>
      <w:r>
        <w:rPr/>
        <w:t>the assets held in</w:t>
      </w:r>
      <w:r>
        <w:rPr>
          <w:spacing w:val="-1"/>
        </w:rPr>
        <w:t> </w:t>
      </w:r>
      <w:r>
        <w:rPr/>
        <w:t>separate</w:t>
      </w:r>
      <w:r>
        <w:rPr>
          <w:spacing w:val="-1"/>
        </w:rPr>
        <w:t> </w:t>
      </w:r>
      <w:r>
        <w:rPr/>
        <w:t>funds administered</w:t>
      </w:r>
      <w:r>
        <w:rPr>
          <w:spacing w:val="-2"/>
        </w:rPr>
        <w:t> </w:t>
      </w:r>
      <w:r>
        <w:rPr/>
        <w:t>by</w:t>
      </w:r>
      <w:r>
        <w:rPr>
          <w:spacing w:val="-2"/>
        </w:rPr>
        <w:t> </w:t>
      </w:r>
      <w:r>
        <w:rPr/>
        <w:t>the</w:t>
      </w:r>
      <w:r>
        <w:rPr>
          <w:spacing w:val="-4"/>
        </w:rPr>
        <w:t> </w:t>
      </w:r>
      <w:r>
        <w:rPr/>
        <w:t>local</w:t>
      </w:r>
      <w:r>
        <w:rPr>
          <w:spacing w:val="-2"/>
        </w:rPr>
        <w:t> </w:t>
      </w:r>
      <w:r>
        <w:rPr/>
        <w:t>authority.</w:t>
      </w:r>
      <w:r>
        <w:rPr>
          <w:spacing w:val="-4"/>
        </w:rPr>
        <w:t> </w:t>
      </w:r>
      <w:r>
        <w:rPr/>
        <w:t>The</w:t>
      </w:r>
      <w:r>
        <w:rPr>
          <w:spacing w:val="-1"/>
        </w:rPr>
        <w:t> </w:t>
      </w:r>
      <w:r>
        <w:rPr/>
        <w:t>total</w:t>
      </w:r>
      <w:r>
        <w:rPr>
          <w:spacing w:val="-4"/>
        </w:rPr>
        <w:t> </w:t>
      </w:r>
      <w:r>
        <w:rPr/>
        <w:t>contributions</w:t>
      </w:r>
      <w:r>
        <w:rPr>
          <w:spacing w:val="-3"/>
        </w:rPr>
        <w:t> </w:t>
      </w:r>
      <w:r>
        <w:rPr/>
        <w:t>made</w:t>
      </w:r>
      <w:r>
        <w:rPr>
          <w:spacing w:val="-1"/>
        </w:rPr>
        <w:t> </w:t>
      </w:r>
      <w:r>
        <w:rPr/>
        <w:t>for</w:t>
      </w:r>
      <w:r>
        <w:rPr>
          <w:spacing w:val="-3"/>
        </w:rPr>
        <w:t> </w:t>
      </w:r>
      <w:r>
        <w:rPr/>
        <w:t>the</w:t>
      </w:r>
      <w:r>
        <w:rPr>
          <w:spacing w:val="-4"/>
        </w:rPr>
        <w:t> </w:t>
      </w:r>
      <w:r>
        <w:rPr/>
        <w:t>year ended</w:t>
      </w:r>
      <w:r>
        <w:rPr>
          <w:spacing w:val="-4"/>
        </w:rPr>
        <w:t> </w:t>
      </w:r>
      <w:r>
        <w:rPr/>
        <w:t>31</w:t>
      </w:r>
      <w:r>
        <w:rPr>
          <w:spacing w:val="-4"/>
        </w:rPr>
        <w:t> </w:t>
      </w:r>
      <w:r>
        <w:rPr/>
        <w:t>July</w:t>
      </w:r>
      <w:r>
        <w:rPr>
          <w:spacing w:val="-2"/>
        </w:rPr>
        <w:t> </w:t>
      </w:r>
      <w:r>
        <w:rPr/>
        <w:t>2023</w:t>
      </w:r>
      <w:r>
        <w:rPr>
          <w:spacing w:val="-4"/>
        </w:rPr>
        <w:t> were</w:t>
      </w:r>
    </w:p>
    <w:p>
      <w:pPr>
        <w:pStyle w:val="BodyText"/>
        <w:spacing w:line="229" w:lineRule="exact"/>
        <w:ind w:left="851"/>
        <w:jc w:val="both"/>
      </w:pPr>
      <w:r>
        <w:rPr/>
        <w:t>£1,046,000,</w:t>
      </w:r>
      <w:r>
        <w:rPr>
          <w:spacing w:val="-2"/>
        </w:rPr>
        <w:t> </w:t>
      </w:r>
      <w:r>
        <w:rPr/>
        <w:t>of</w:t>
      </w:r>
      <w:r>
        <w:rPr>
          <w:spacing w:val="-1"/>
        </w:rPr>
        <w:t> </w:t>
      </w:r>
      <w:r>
        <w:rPr/>
        <w:t>which</w:t>
      </w:r>
      <w:r>
        <w:rPr>
          <w:spacing w:val="-4"/>
        </w:rPr>
        <w:t> </w:t>
      </w:r>
      <w:r>
        <w:rPr/>
        <w:t>employer’s</w:t>
      </w:r>
      <w:r>
        <w:rPr>
          <w:spacing w:val="-2"/>
        </w:rPr>
        <w:t> </w:t>
      </w:r>
      <w:r>
        <w:rPr/>
        <w:t>contributions</w:t>
      </w:r>
      <w:r>
        <w:rPr>
          <w:spacing w:val="-2"/>
        </w:rPr>
        <w:t> </w:t>
      </w:r>
      <w:r>
        <w:rPr/>
        <w:t>totalled</w:t>
      </w:r>
      <w:r>
        <w:rPr>
          <w:spacing w:val="-2"/>
        </w:rPr>
        <w:t> </w:t>
      </w:r>
      <w:r>
        <w:rPr/>
        <w:t>£853,000</w:t>
      </w:r>
      <w:r>
        <w:rPr>
          <w:spacing w:val="-2"/>
        </w:rPr>
        <w:t> </w:t>
      </w:r>
      <w:r>
        <w:rPr/>
        <w:t>and</w:t>
      </w:r>
      <w:r>
        <w:rPr>
          <w:spacing w:val="-2"/>
        </w:rPr>
        <w:t> </w:t>
      </w:r>
      <w:r>
        <w:rPr/>
        <w:t>employees’ contributions</w:t>
      </w:r>
      <w:r>
        <w:rPr>
          <w:spacing w:val="-2"/>
        </w:rPr>
        <w:t> totalled</w:t>
      </w:r>
    </w:p>
    <w:p>
      <w:pPr>
        <w:pStyle w:val="BodyText"/>
        <w:ind w:left="850" w:right="707"/>
        <w:jc w:val="both"/>
      </w:pPr>
      <w:r>
        <w:rPr/>
        <w:t>£193,000. Additional deficit funding of £107,000 has been paid during the year and is included in the figures</w:t>
      </w:r>
      <w:r>
        <w:rPr>
          <w:spacing w:val="-5"/>
        </w:rPr>
        <w:t> </w:t>
      </w:r>
      <w:r>
        <w:rPr/>
        <w:t>above.</w:t>
      </w:r>
      <w:r>
        <w:rPr>
          <w:spacing w:val="-6"/>
        </w:rPr>
        <w:t> </w:t>
      </w:r>
      <w:r>
        <w:rPr/>
        <w:t>The</w:t>
      </w:r>
      <w:r>
        <w:rPr>
          <w:spacing w:val="-8"/>
        </w:rPr>
        <w:t> </w:t>
      </w:r>
      <w:r>
        <w:rPr/>
        <w:t>contribution</w:t>
      </w:r>
      <w:r>
        <w:rPr>
          <w:spacing w:val="-8"/>
        </w:rPr>
        <w:t> </w:t>
      </w:r>
      <w:r>
        <w:rPr/>
        <w:t>rates</w:t>
      </w:r>
      <w:r>
        <w:rPr>
          <w:spacing w:val="-7"/>
        </w:rPr>
        <w:t> </w:t>
      </w:r>
      <w:r>
        <w:rPr/>
        <w:t>up</w:t>
      </w:r>
      <w:r>
        <w:rPr>
          <w:spacing w:val="-8"/>
        </w:rPr>
        <w:t> </w:t>
      </w:r>
      <w:r>
        <w:rPr/>
        <w:t>to</w:t>
      </w:r>
      <w:r>
        <w:rPr>
          <w:spacing w:val="-7"/>
        </w:rPr>
        <w:t> </w:t>
      </w:r>
      <w:r>
        <w:rPr/>
        <w:t>31</w:t>
      </w:r>
      <w:r>
        <w:rPr>
          <w:spacing w:val="-7"/>
        </w:rPr>
        <w:t> </w:t>
      </w:r>
      <w:r>
        <w:rPr/>
        <w:t>March</w:t>
      </w:r>
      <w:r>
        <w:rPr>
          <w:spacing w:val="-8"/>
        </w:rPr>
        <w:t> </w:t>
      </w:r>
      <w:r>
        <w:rPr/>
        <w:t>2023</w:t>
      </w:r>
      <w:r>
        <w:rPr>
          <w:spacing w:val="-8"/>
        </w:rPr>
        <w:t> </w:t>
      </w:r>
      <w:r>
        <w:rPr/>
        <w:t>were</w:t>
      </w:r>
      <w:r>
        <w:rPr>
          <w:spacing w:val="-8"/>
        </w:rPr>
        <w:t> </w:t>
      </w:r>
      <w:r>
        <w:rPr/>
        <w:t>21.30%</w:t>
      </w:r>
      <w:r>
        <w:rPr>
          <w:spacing w:val="-7"/>
        </w:rPr>
        <w:t> </w:t>
      </w:r>
      <w:r>
        <w:rPr/>
        <w:t>for</w:t>
      </w:r>
      <w:r>
        <w:rPr>
          <w:spacing w:val="-7"/>
        </w:rPr>
        <w:t> </w:t>
      </w:r>
      <w:r>
        <w:rPr/>
        <w:t>employers</w:t>
      </w:r>
      <w:r>
        <w:rPr>
          <w:spacing w:val="-7"/>
        </w:rPr>
        <w:t> </w:t>
      </w:r>
      <w:r>
        <w:rPr/>
        <w:t>and</w:t>
      </w:r>
      <w:r>
        <w:rPr>
          <w:spacing w:val="-8"/>
        </w:rPr>
        <w:t> </w:t>
      </w:r>
      <w:r>
        <w:rPr/>
        <w:t>ranged</w:t>
      </w:r>
      <w:r>
        <w:rPr>
          <w:spacing w:val="-8"/>
        </w:rPr>
        <w:t> </w:t>
      </w:r>
      <w:r>
        <w:rPr/>
        <w:t>from 5.50% to 12.50% for employees, depending on salary. The agreed contribution rates for future years from</w:t>
      </w:r>
      <w:r>
        <w:rPr>
          <w:spacing w:val="-14"/>
        </w:rPr>
        <w:t> </w:t>
      </w:r>
      <w:r>
        <w:rPr/>
        <w:t>1</w:t>
      </w:r>
      <w:r>
        <w:rPr>
          <w:spacing w:val="-11"/>
        </w:rPr>
        <w:t> </w:t>
      </w:r>
      <w:r>
        <w:rPr/>
        <w:t>April</w:t>
      </w:r>
      <w:r>
        <w:rPr>
          <w:spacing w:val="-12"/>
        </w:rPr>
        <w:t> </w:t>
      </w:r>
      <w:r>
        <w:rPr/>
        <w:t>2023</w:t>
      </w:r>
      <w:r>
        <w:rPr>
          <w:spacing w:val="-12"/>
        </w:rPr>
        <w:t> </w:t>
      </w:r>
      <w:r>
        <w:rPr/>
        <w:t>are</w:t>
      </w:r>
      <w:r>
        <w:rPr>
          <w:spacing w:val="-11"/>
        </w:rPr>
        <w:t> </w:t>
      </w:r>
      <w:r>
        <w:rPr/>
        <w:t>26.70%</w:t>
      </w:r>
      <w:r>
        <w:rPr>
          <w:spacing w:val="-13"/>
        </w:rPr>
        <w:t> </w:t>
      </w:r>
      <w:r>
        <w:rPr/>
        <w:t>for</w:t>
      </w:r>
      <w:r>
        <w:rPr>
          <w:spacing w:val="-13"/>
        </w:rPr>
        <w:t> </w:t>
      </w:r>
      <w:r>
        <w:rPr/>
        <w:t>employers</w:t>
      </w:r>
      <w:r>
        <w:rPr>
          <w:spacing w:val="-12"/>
        </w:rPr>
        <w:t> </w:t>
      </w:r>
      <w:r>
        <w:rPr/>
        <w:t>and</w:t>
      </w:r>
      <w:r>
        <w:rPr>
          <w:spacing w:val="-14"/>
        </w:rPr>
        <w:t> </w:t>
      </w:r>
      <w:r>
        <w:rPr/>
        <w:t>range</w:t>
      </w:r>
      <w:r>
        <w:rPr>
          <w:spacing w:val="-9"/>
        </w:rPr>
        <w:t> </w:t>
      </w:r>
      <w:r>
        <w:rPr/>
        <w:t>from</w:t>
      </w:r>
      <w:r>
        <w:rPr>
          <w:spacing w:val="-14"/>
        </w:rPr>
        <w:t> </w:t>
      </w:r>
      <w:r>
        <w:rPr/>
        <w:t>5.50%</w:t>
      </w:r>
      <w:r>
        <w:rPr>
          <w:spacing w:val="-11"/>
        </w:rPr>
        <w:t> </w:t>
      </w:r>
      <w:r>
        <w:rPr/>
        <w:t>to</w:t>
      </w:r>
      <w:r>
        <w:rPr>
          <w:spacing w:val="-11"/>
        </w:rPr>
        <w:t> </w:t>
      </w:r>
      <w:r>
        <w:rPr/>
        <w:t>24.50%</w:t>
      </w:r>
      <w:r>
        <w:rPr>
          <w:spacing w:val="-11"/>
        </w:rPr>
        <w:t> </w:t>
      </w:r>
      <w:r>
        <w:rPr/>
        <w:t>for</w:t>
      </w:r>
      <w:r>
        <w:rPr>
          <w:spacing w:val="-10"/>
        </w:rPr>
        <w:t> </w:t>
      </w:r>
      <w:r>
        <w:rPr/>
        <w:t>employees,</w:t>
      </w:r>
      <w:r>
        <w:rPr>
          <w:spacing w:val="-11"/>
        </w:rPr>
        <w:t> </w:t>
      </w:r>
      <w:r>
        <w:rPr/>
        <w:t>depending on salary.</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ind w:left="425"/>
      </w:pPr>
      <w:r>
        <w:rPr/>
        <w:t>18.</w:t>
      </w:r>
      <w:r>
        <w:rPr>
          <w:spacing w:val="51"/>
        </w:rPr>
        <w:t> </w:t>
      </w:r>
      <w:r>
        <w:rPr/>
        <w:t>Retirement</w:t>
      </w:r>
      <w:r>
        <w:rPr>
          <w:spacing w:val="-4"/>
        </w:rPr>
        <w:t> </w:t>
      </w:r>
      <w:r>
        <w:rPr/>
        <w:t>benefits</w:t>
      </w:r>
      <w:r>
        <w:rPr>
          <w:spacing w:val="-5"/>
        </w:rPr>
        <w:t> </w:t>
      </w:r>
      <w:r>
        <w:rPr>
          <w:spacing w:val="-2"/>
        </w:rPr>
        <w:t>(continued)</w:t>
      </w:r>
    </w:p>
    <w:p>
      <w:pPr>
        <w:pStyle w:val="BodyText"/>
        <w:rPr>
          <w:b/>
          <w:sz w:val="22"/>
        </w:rPr>
      </w:pPr>
    </w:p>
    <w:p>
      <w:pPr>
        <w:pStyle w:val="Heading6"/>
        <w:jc w:val="left"/>
      </w:pPr>
      <w:r>
        <w:rPr/>
        <w:t>Principal</w:t>
      </w:r>
      <w:r>
        <w:rPr>
          <w:spacing w:val="-11"/>
        </w:rPr>
        <w:t> </w:t>
      </w:r>
      <w:r>
        <w:rPr/>
        <w:t>actuarial</w:t>
      </w:r>
      <w:r>
        <w:rPr>
          <w:spacing w:val="-12"/>
        </w:rPr>
        <w:t> </w:t>
      </w:r>
      <w:r>
        <w:rPr>
          <w:spacing w:val="-2"/>
        </w:rPr>
        <w:t>assumptions</w:t>
      </w:r>
    </w:p>
    <w:p>
      <w:pPr>
        <w:pStyle w:val="BodyText"/>
        <w:spacing w:before="1"/>
        <w:rPr>
          <w:b/>
        </w:rPr>
      </w:pPr>
    </w:p>
    <w:p>
      <w:pPr>
        <w:pStyle w:val="BodyText"/>
        <w:ind w:left="852" w:right="703"/>
      </w:pPr>
      <w:r>
        <w:rPr/>
        <w:t>The</w:t>
      </w:r>
      <w:r>
        <w:rPr>
          <w:spacing w:val="-4"/>
        </w:rPr>
        <w:t> </w:t>
      </w:r>
      <w:r>
        <w:rPr/>
        <w:t>following</w:t>
      </w:r>
      <w:r>
        <w:rPr>
          <w:spacing w:val="-2"/>
        </w:rPr>
        <w:t> </w:t>
      </w:r>
      <w:r>
        <w:rPr/>
        <w:t>information</w:t>
      </w:r>
      <w:r>
        <w:rPr>
          <w:spacing w:val="-2"/>
        </w:rPr>
        <w:t> </w:t>
      </w:r>
      <w:r>
        <w:rPr/>
        <w:t>is based</w:t>
      </w:r>
      <w:r>
        <w:rPr>
          <w:spacing w:val="-2"/>
        </w:rPr>
        <w:t> </w:t>
      </w:r>
      <w:r>
        <w:rPr/>
        <w:t>upon</w:t>
      </w:r>
      <w:r>
        <w:rPr>
          <w:spacing w:val="-4"/>
        </w:rPr>
        <w:t> </w:t>
      </w:r>
      <w:r>
        <w:rPr/>
        <w:t>a</w:t>
      </w:r>
      <w:r>
        <w:rPr>
          <w:spacing w:val="-2"/>
        </w:rPr>
        <w:t> </w:t>
      </w:r>
      <w:r>
        <w:rPr/>
        <w:t>full</w:t>
      </w:r>
      <w:r>
        <w:rPr>
          <w:spacing w:val="-5"/>
        </w:rPr>
        <w:t> </w:t>
      </w:r>
      <w:r>
        <w:rPr/>
        <w:t>actuarial</w:t>
      </w:r>
      <w:r>
        <w:rPr>
          <w:spacing w:val="-3"/>
        </w:rPr>
        <w:t> </w:t>
      </w:r>
      <w:r>
        <w:rPr/>
        <w:t>valuation</w:t>
      </w:r>
      <w:r>
        <w:rPr>
          <w:spacing w:val="-4"/>
        </w:rPr>
        <w:t> </w:t>
      </w:r>
      <w:r>
        <w:rPr/>
        <w:t>of</w:t>
      </w:r>
      <w:r>
        <w:rPr>
          <w:spacing w:val="-2"/>
        </w:rPr>
        <w:t> </w:t>
      </w:r>
      <w:r>
        <w:rPr/>
        <w:t>the</w:t>
      </w:r>
      <w:r>
        <w:rPr>
          <w:spacing w:val="-2"/>
        </w:rPr>
        <w:t> </w:t>
      </w:r>
      <w:r>
        <w:rPr/>
        <w:t>fund</w:t>
      </w:r>
      <w:r>
        <w:rPr>
          <w:spacing w:val="-4"/>
        </w:rPr>
        <w:t> </w:t>
      </w:r>
      <w:r>
        <w:rPr/>
        <w:t>at</w:t>
      </w:r>
      <w:r>
        <w:rPr>
          <w:spacing w:val="-2"/>
        </w:rPr>
        <w:t> </w:t>
      </w:r>
      <w:r>
        <w:rPr/>
        <w:t>31</w:t>
      </w:r>
      <w:r>
        <w:rPr>
          <w:spacing w:val="-2"/>
        </w:rPr>
        <w:t> </w:t>
      </w:r>
      <w:r>
        <w:rPr/>
        <w:t>March</w:t>
      </w:r>
      <w:r>
        <w:rPr>
          <w:spacing w:val="-2"/>
        </w:rPr>
        <w:t> </w:t>
      </w:r>
      <w:r>
        <w:rPr/>
        <w:t>2022</w:t>
      </w:r>
      <w:r>
        <w:rPr>
          <w:spacing w:val="-2"/>
        </w:rPr>
        <w:t> </w:t>
      </w:r>
      <w:r>
        <w:rPr/>
        <w:t>updated to 31 July 2023 by a qualified independent actuary.</w:t>
      </w:r>
    </w:p>
    <w:p>
      <w:pPr>
        <w:pStyle w:val="BodyText"/>
        <w:spacing w:before="6"/>
      </w:pP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5"/>
        <w:gridCol w:w="2574"/>
        <w:gridCol w:w="1428"/>
      </w:tblGrid>
      <w:tr>
        <w:trPr>
          <w:trHeight w:val="456" w:hRule="atLeast"/>
        </w:trPr>
        <w:tc>
          <w:tcPr>
            <w:tcW w:w="4755" w:type="dxa"/>
          </w:tcPr>
          <w:p>
            <w:pPr>
              <w:pStyle w:val="TableParagraph"/>
              <w:rPr>
                <w:rFonts w:ascii="Times New Roman"/>
                <w:sz w:val="20"/>
              </w:rPr>
            </w:pPr>
          </w:p>
        </w:tc>
        <w:tc>
          <w:tcPr>
            <w:tcW w:w="2574" w:type="dxa"/>
          </w:tcPr>
          <w:p>
            <w:pPr>
              <w:pStyle w:val="TableParagraph"/>
              <w:spacing w:line="223" w:lineRule="exact"/>
              <w:ind w:right="431"/>
              <w:jc w:val="right"/>
              <w:rPr>
                <w:b/>
                <w:sz w:val="20"/>
              </w:rPr>
            </w:pPr>
            <w:r>
              <w:rPr>
                <w:b/>
                <w:sz w:val="20"/>
              </w:rPr>
              <w:t>At</w:t>
            </w:r>
            <w:r>
              <w:rPr>
                <w:b/>
                <w:spacing w:val="-3"/>
                <w:sz w:val="20"/>
              </w:rPr>
              <w:t> </w:t>
            </w:r>
            <w:r>
              <w:rPr>
                <w:b/>
                <w:sz w:val="20"/>
              </w:rPr>
              <w:t>31</w:t>
            </w:r>
            <w:r>
              <w:rPr>
                <w:b/>
                <w:spacing w:val="-4"/>
                <w:sz w:val="20"/>
              </w:rPr>
              <w:t> July</w:t>
            </w:r>
          </w:p>
          <w:p>
            <w:pPr>
              <w:pStyle w:val="TableParagraph"/>
              <w:spacing w:line="214" w:lineRule="exact"/>
              <w:ind w:right="434"/>
              <w:jc w:val="right"/>
              <w:rPr>
                <w:b/>
                <w:sz w:val="20"/>
              </w:rPr>
            </w:pPr>
            <w:r>
              <w:rPr>
                <w:b/>
                <w:spacing w:val="-4"/>
                <w:sz w:val="20"/>
              </w:rPr>
              <w:t>2023</w:t>
            </w:r>
          </w:p>
        </w:tc>
        <w:tc>
          <w:tcPr>
            <w:tcW w:w="1428" w:type="dxa"/>
          </w:tcPr>
          <w:p>
            <w:pPr>
              <w:pStyle w:val="TableParagraph"/>
              <w:spacing w:line="223" w:lineRule="exact"/>
              <w:ind w:right="160"/>
              <w:jc w:val="right"/>
              <w:rPr>
                <w:b/>
                <w:sz w:val="20"/>
              </w:rPr>
            </w:pPr>
            <w:r>
              <w:rPr>
                <w:b/>
                <w:sz w:val="20"/>
              </w:rPr>
              <w:t>At</w:t>
            </w:r>
            <w:r>
              <w:rPr>
                <w:b/>
                <w:spacing w:val="-3"/>
                <w:sz w:val="20"/>
              </w:rPr>
              <w:t> </w:t>
            </w:r>
            <w:r>
              <w:rPr>
                <w:b/>
                <w:sz w:val="20"/>
              </w:rPr>
              <w:t>31</w:t>
            </w:r>
            <w:r>
              <w:rPr>
                <w:b/>
                <w:spacing w:val="-4"/>
                <w:sz w:val="20"/>
              </w:rPr>
              <w:t> July</w:t>
            </w:r>
          </w:p>
          <w:p>
            <w:pPr>
              <w:pStyle w:val="TableParagraph"/>
              <w:spacing w:line="214" w:lineRule="exact"/>
              <w:ind w:right="163"/>
              <w:jc w:val="right"/>
              <w:rPr>
                <w:b/>
                <w:sz w:val="20"/>
              </w:rPr>
            </w:pPr>
            <w:r>
              <w:rPr>
                <w:b/>
                <w:spacing w:val="-4"/>
                <w:sz w:val="20"/>
              </w:rPr>
              <w:t>2022</w:t>
            </w:r>
          </w:p>
        </w:tc>
      </w:tr>
      <w:tr>
        <w:trPr>
          <w:trHeight w:val="254" w:hRule="atLeast"/>
        </w:trPr>
        <w:tc>
          <w:tcPr>
            <w:tcW w:w="4755" w:type="dxa"/>
          </w:tcPr>
          <w:p>
            <w:pPr>
              <w:pStyle w:val="TableParagraph"/>
              <w:spacing w:line="227" w:lineRule="exact"/>
              <w:ind w:left="50"/>
              <w:rPr>
                <w:sz w:val="20"/>
              </w:rPr>
            </w:pPr>
            <w:r>
              <w:rPr>
                <w:sz w:val="20"/>
              </w:rPr>
              <w:t>Rate</w:t>
            </w:r>
            <w:r>
              <w:rPr>
                <w:spacing w:val="-7"/>
                <w:sz w:val="20"/>
              </w:rPr>
              <w:t> </w:t>
            </w:r>
            <w:r>
              <w:rPr>
                <w:sz w:val="20"/>
              </w:rPr>
              <w:t>of</w:t>
            </w:r>
            <w:r>
              <w:rPr>
                <w:spacing w:val="-5"/>
                <w:sz w:val="20"/>
              </w:rPr>
              <w:t> </w:t>
            </w:r>
            <w:r>
              <w:rPr>
                <w:sz w:val="20"/>
              </w:rPr>
              <w:t>increase</w:t>
            </w:r>
            <w:r>
              <w:rPr>
                <w:spacing w:val="-5"/>
                <w:sz w:val="20"/>
              </w:rPr>
              <w:t> </w:t>
            </w:r>
            <w:r>
              <w:rPr>
                <w:sz w:val="20"/>
              </w:rPr>
              <w:t>in</w:t>
            </w:r>
            <w:r>
              <w:rPr>
                <w:spacing w:val="-5"/>
                <w:sz w:val="20"/>
              </w:rPr>
              <w:t> </w:t>
            </w:r>
            <w:r>
              <w:rPr>
                <w:spacing w:val="-2"/>
                <w:sz w:val="20"/>
              </w:rPr>
              <w:t>salaries</w:t>
            </w:r>
          </w:p>
        </w:tc>
        <w:tc>
          <w:tcPr>
            <w:tcW w:w="2574" w:type="dxa"/>
          </w:tcPr>
          <w:p>
            <w:pPr>
              <w:pStyle w:val="TableParagraph"/>
              <w:spacing w:line="227" w:lineRule="exact"/>
              <w:ind w:left="1532"/>
              <w:rPr>
                <w:sz w:val="20"/>
              </w:rPr>
            </w:pPr>
            <w:r>
              <w:rPr>
                <w:spacing w:val="-2"/>
                <w:sz w:val="20"/>
              </w:rPr>
              <w:t>3.50%**</w:t>
            </w:r>
          </w:p>
        </w:tc>
        <w:tc>
          <w:tcPr>
            <w:tcW w:w="1428" w:type="dxa"/>
          </w:tcPr>
          <w:p>
            <w:pPr>
              <w:pStyle w:val="TableParagraph"/>
              <w:spacing w:line="227" w:lineRule="exact"/>
              <w:ind w:right="47"/>
              <w:jc w:val="right"/>
              <w:rPr>
                <w:sz w:val="20"/>
              </w:rPr>
            </w:pPr>
            <w:r>
              <w:rPr>
                <w:spacing w:val="-2"/>
                <w:sz w:val="20"/>
              </w:rPr>
              <w:t>2.33%**</w:t>
            </w:r>
          </w:p>
        </w:tc>
      </w:tr>
      <w:tr>
        <w:trPr>
          <w:trHeight w:val="277" w:hRule="atLeast"/>
        </w:trPr>
        <w:tc>
          <w:tcPr>
            <w:tcW w:w="4755" w:type="dxa"/>
          </w:tcPr>
          <w:p>
            <w:pPr>
              <w:pStyle w:val="TableParagraph"/>
              <w:spacing w:before="20"/>
              <w:ind w:left="50"/>
              <w:rPr>
                <w:sz w:val="20"/>
              </w:rPr>
            </w:pPr>
            <w:r>
              <w:rPr>
                <w:sz w:val="20"/>
              </w:rPr>
              <w:t>Future</w:t>
            </w:r>
            <w:r>
              <w:rPr>
                <w:spacing w:val="-9"/>
                <w:sz w:val="20"/>
              </w:rPr>
              <w:t> </w:t>
            </w:r>
            <w:r>
              <w:rPr>
                <w:sz w:val="20"/>
              </w:rPr>
              <w:t>pension</w:t>
            </w:r>
            <w:r>
              <w:rPr>
                <w:spacing w:val="-6"/>
                <w:sz w:val="20"/>
              </w:rPr>
              <w:t> </w:t>
            </w:r>
            <w:r>
              <w:rPr>
                <w:spacing w:val="-2"/>
                <w:sz w:val="20"/>
              </w:rPr>
              <w:t>increases</w:t>
            </w:r>
          </w:p>
        </w:tc>
        <w:tc>
          <w:tcPr>
            <w:tcW w:w="2574" w:type="dxa"/>
          </w:tcPr>
          <w:p>
            <w:pPr>
              <w:pStyle w:val="TableParagraph"/>
              <w:spacing w:before="20"/>
              <w:ind w:left="1573"/>
              <w:rPr>
                <w:sz w:val="20"/>
              </w:rPr>
            </w:pPr>
            <w:r>
              <w:rPr>
                <w:spacing w:val="-2"/>
                <w:sz w:val="20"/>
              </w:rPr>
              <w:t>3.00%</w:t>
            </w:r>
          </w:p>
        </w:tc>
        <w:tc>
          <w:tcPr>
            <w:tcW w:w="1428" w:type="dxa"/>
          </w:tcPr>
          <w:p>
            <w:pPr>
              <w:pStyle w:val="TableParagraph"/>
              <w:spacing w:before="20"/>
              <w:ind w:right="164"/>
              <w:jc w:val="right"/>
              <w:rPr>
                <w:sz w:val="20"/>
              </w:rPr>
            </w:pPr>
            <w:r>
              <w:rPr>
                <w:spacing w:val="-2"/>
                <w:sz w:val="20"/>
              </w:rPr>
              <w:t>2.70%</w:t>
            </w:r>
          </w:p>
        </w:tc>
      </w:tr>
      <w:tr>
        <w:trPr>
          <w:trHeight w:val="277" w:hRule="atLeast"/>
        </w:trPr>
        <w:tc>
          <w:tcPr>
            <w:tcW w:w="4755" w:type="dxa"/>
          </w:tcPr>
          <w:p>
            <w:pPr>
              <w:pStyle w:val="TableParagraph"/>
              <w:spacing w:before="19"/>
              <w:ind w:left="50"/>
              <w:rPr>
                <w:sz w:val="20"/>
              </w:rPr>
            </w:pPr>
            <w:r>
              <w:rPr>
                <w:sz w:val="20"/>
              </w:rPr>
              <w:t>Discount</w:t>
            </w:r>
            <w:r>
              <w:rPr>
                <w:spacing w:val="-12"/>
                <w:sz w:val="20"/>
              </w:rPr>
              <w:t> </w:t>
            </w:r>
            <w:r>
              <w:rPr>
                <w:spacing w:val="-4"/>
                <w:sz w:val="20"/>
              </w:rPr>
              <w:t>rate</w:t>
            </w:r>
          </w:p>
        </w:tc>
        <w:tc>
          <w:tcPr>
            <w:tcW w:w="2574" w:type="dxa"/>
          </w:tcPr>
          <w:p>
            <w:pPr>
              <w:pStyle w:val="TableParagraph"/>
              <w:spacing w:before="19"/>
              <w:ind w:left="1573"/>
              <w:rPr>
                <w:sz w:val="20"/>
              </w:rPr>
            </w:pPr>
            <w:r>
              <w:rPr>
                <w:spacing w:val="-2"/>
                <w:sz w:val="20"/>
              </w:rPr>
              <w:t>5.05%</w:t>
            </w:r>
          </w:p>
        </w:tc>
        <w:tc>
          <w:tcPr>
            <w:tcW w:w="1428" w:type="dxa"/>
          </w:tcPr>
          <w:p>
            <w:pPr>
              <w:pStyle w:val="TableParagraph"/>
              <w:spacing w:before="19"/>
              <w:ind w:right="164"/>
              <w:jc w:val="right"/>
              <w:rPr>
                <w:sz w:val="20"/>
              </w:rPr>
            </w:pPr>
            <w:r>
              <w:rPr>
                <w:spacing w:val="-2"/>
                <w:sz w:val="20"/>
              </w:rPr>
              <w:t>3.50%</w:t>
            </w:r>
          </w:p>
        </w:tc>
      </w:tr>
      <w:tr>
        <w:trPr>
          <w:trHeight w:val="278" w:hRule="atLeast"/>
        </w:trPr>
        <w:tc>
          <w:tcPr>
            <w:tcW w:w="4755" w:type="dxa"/>
          </w:tcPr>
          <w:p>
            <w:pPr>
              <w:pStyle w:val="TableParagraph"/>
              <w:spacing w:before="20"/>
              <w:ind w:left="50"/>
              <w:rPr>
                <w:sz w:val="20"/>
              </w:rPr>
            </w:pPr>
            <w:r>
              <w:rPr>
                <w:sz w:val="20"/>
              </w:rPr>
              <w:t>Inflation</w:t>
            </w:r>
            <w:r>
              <w:rPr>
                <w:spacing w:val="-12"/>
                <w:sz w:val="20"/>
              </w:rPr>
              <w:t> </w:t>
            </w:r>
            <w:r>
              <w:rPr>
                <w:sz w:val="20"/>
              </w:rPr>
              <w:t>assumption</w:t>
            </w:r>
            <w:r>
              <w:rPr>
                <w:spacing w:val="-12"/>
                <w:sz w:val="20"/>
              </w:rPr>
              <w:t> </w:t>
            </w:r>
            <w:r>
              <w:rPr>
                <w:spacing w:val="-4"/>
                <w:sz w:val="20"/>
              </w:rPr>
              <w:t>(CPI)</w:t>
            </w:r>
          </w:p>
        </w:tc>
        <w:tc>
          <w:tcPr>
            <w:tcW w:w="2574" w:type="dxa"/>
          </w:tcPr>
          <w:p>
            <w:pPr>
              <w:pStyle w:val="TableParagraph"/>
              <w:spacing w:before="20"/>
              <w:ind w:left="1338"/>
              <w:rPr>
                <w:sz w:val="20"/>
              </w:rPr>
            </w:pPr>
            <w:r>
              <w:rPr>
                <w:spacing w:val="-2"/>
                <w:sz w:val="20"/>
              </w:rPr>
              <w:t>3.00%***</w:t>
            </w:r>
          </w:p>
        </w:tc>
        <w:tc>
          <w:tcPr>
            <w:tcW w:w="1428" w:type="dxa"/>
          </w:tcPr>
          <w:p>
            <w:pPr>
              <w:pStyle w:val="TableParagraph"/>
              <w:spacing w:before="20"/>
              <w:ind w:right="162"/>
              <w:jc w:val="right"/>
              <w:rPr>
                <w:sz w:val="20"/>
              </w:rPr>
            </w:pPr>
            <w:r>
              <w:rPr>
                <w:spacing w:val="-2"/>
                <w:sz w:val="20"/>
              </w:rPr>
              <w:t>2.70%***</w:t>
            </w:r>
          </w:p>
        </w:tc>
      </w:tr>
      <w:tr>
        <w:trPr>
          <w:trHeight w:val="250" w:hRule="atLeast"/>
        </w:trPr>
        <w:tc>
          <w:tcPr>
            <w:tcW w:w="4755" w:type="dxa"/>
          </w:tcPr>
          <w:p>
            <w:pPr>
              <w:pStyle w:val="TableParagraph"/>
              <w:spacing w:line="210" w:lineRule="exact" w:before="20"/>
              <w:ind w:left="50"/>
              <w:rPr>
                <w:sz w:val="20"/>
              </w:rPr>
            </w:pPr>
            <w:r>
              <w:rPr>
                <w:sz w:val="20"/>
              </w:rPr>
              <w:t>Commutation</w:t>
            </w:r>
            <w:r>
              <w:rPr>
                <w:spacing w:val="-8"/>
                <w:sz w:val="20"/>
              </w:rPr>
              <w:t> </w:t>
            </w:r>
            <w:r>
              <w:rPr>
                <w:sz w:val="20"/>
              </w:rPr>
              <w:t>of</w:t>
            </w:r>
            <w:r>
              <w:rPr>
                <w:spacing w:val="-6"/>
                <w:sz w:val="20"/>
              </w:rPr>
              <w:t> </w:t>
            </w:r>
            <w:r>
              <w:rPr>
                <w:sz w:val="20"/>
              </w:rPr>
              <w:t>pensions</w:t>
            </w:r>
            <w:r>
              <w:rPr>
                <w:spacing w:val="-6"/>
                <w:sz w:val="20"/>
              </w:rPr>
              <w:t> </w:t>
            </w:r>
            <w:r>
              <w:rPr>
                <w:sz w:val="20"/>
              </w:rPr>
              <w:t>to</w:t>
            </w:r>
            <w:r>
              <w:rPr>
                <w:spacing w:val="-8"/>
                <w:sz w:val="20"/>
              </w:rPr>
              <w:t> </w:t>
            </w:r>
            <w:r>
              <w:rPr>
                <w:sz w:val="20"/>
              </w:rPr>
              <w:t>lump</w:t>
            </w:r>
            <w:r>
              <w:rPr>
                <w:spacing w:val="-7"/>
                <w:sz w:val="20"/>
              </w:rPr>
              <w:t> </w:t>
            </w:r>
            <w:r>
              <w:rPr>
                <w:spacing w:val="-4"/>
                <w:sz w:val="20"/>
              </w:rPr>
              <w:t>sums</w:t>
            </w:r>
          </w:p>
        </w:tc>
        <w:tc>
          <w:tcPr>
            <w:tcW w:w="2574" w:type="dxa"/>
          </w:tcPr>
          <w:p>
            <w:pPr>
              <w:pStyle w:val="TableParagraph"/>
              <w:spacing w:line="210" w:lineRule="exact" w:before="20"/>
              <w:ind w:left="1261"/>
              <w:rPr>
                <w:sz w:val="20"/>
              </w:rPr>
            </w:pPr>
            <w:r>
              <w:rPr>
                <w:sz w:val="20"/>
              </w:rPr>
              <w:t>See</w:t>
            </w:r>
            <w:r>
              <w:rPr>
                <w:spacing w:val="-5"/>
                <w:sz w:val="20"/>
              </w:rPr>
              <w:t> </w:t>
            </w:r>
            <w:r>
              <w:rPr>
                <w:spacing w:val="-2"/>
                <w:sz w:val="20"/>
              </w:rPr>
              <w:t>note*</w:t>
            </w:r>
          </w:p>
        </w:tc>
        <w:tc>
          <w:tcPr>
            <w:tcW w:w="1428" w:type="dxa"/>
          </w:tcPr>
          <w:p>
            <w:pPr>
              <w:pStyle w:val="TableParagraph"/>
              <w:spacing w:line="210" w:lineRule="exact" w:before="20"/>
              <w:ind w:left="386"/>
              <w:rPr>
                <w:sz w:val="20"/>
              </w:rPr>
            </w:pPr>
            <w:r>
              <w:rPr>
                <w:sz w:val="20"/>
              </w:rPr>
              <w:t>See</w:t>
            </w:r>
            <w:r>
              <w:rPr>
                <w:spacing w:val="-5"/>
                <w:sz w:val="20"/>
              </w:rPr>
              <w:t> </w:t>
            </w:r>
            <w:r>
              <w:rPr>
                <w:spacing w:val="-2"/>
                <w:sz w:val="20"/>
              </w:rPr>
              <w:t>note*</w:t>
            </w:r>
          </w:p>
        </w:tc>
      </w:tr>
    </w:tbl>
    <w:p>
      <w:pPr>
        <w:pStyle w:val="BodyText"/>
        <w:spacing w:before="51"/>
      </w:pPr>
    </w:p>
    <w:p>
      <w:pPr>
        <w:pStyle w:val="BodyText"/>
        <w:ind w:left="852"/>
      </w:pPr>
      <w:r>
        <w:rPr/>
        <w:t>*</w:t>
      </w:r>
      <w:r>
        <w:rPr>
          <w:spacing w:val="-7"/>
        </w:rPr>
        <w:t> </w:t>
      </w:r>
      <w:r>
        <w:rPr/>
        <w:t>60%</w:t>
      </w:r>
      <w:r>
        <w:rPr>
          <w:spacing w:val="-2"/>
        </w:rPr>
        <w:t> </w:t>
      </w:r>
      <w:r>
        <w:rPr/>
        <w:t>for</w:t>
      </w:r>
      <w:r>
        <w:rPr>
          <w:spacing w:val="-4"/>
        </w:rPr>
        <w:t> </w:t>
      </w:r>
      <w:r>
        <w:rPr/>
        <w:t>pre</w:t>
      </w:r>
      <w:r>
        <w:rPr>
          <w:spacing w:val="-3"/>
        </w:rPr>
        <w:t> </w:t>
      </w:r>
      <w:r>
        <w:rPr/>
        <w:t>April</w:t>
      </w:r>
      <w:r>
        <w:rPr>
          <w:spacing w:val="-5"/>
        </w:rPr>
        <w:t> </w:t>
      </w:r>
      <w:r>
        <w:rPr/>
        <w:t>2008</w:t>
      </w:r>
      <w:r>
        <w:rPr>
          <w:spacing w:val="-5"/>
        </w:rPr>
        <w:t> </w:t>
      </w:r>
      <w:r>
        <w:rPr/>
        <w:t>service</w:t>
      </w:r>
      <w:r>
        <w:rPr>
          <w:spacing w:val="-5"/>
        </w:rPr>
        <w:t> </w:t>
      </w:r>
      <w:r>
        <w:rPr/>
        <w:t>and</w:t>
      </w:r>
      <w:r>
        <w:rPr>
          <w:spacing w:val="-2"/>
        </w:rPr>
        <w:t> </w:t>
      </w:r>
      <w:r>
        <w:rPr/>
        <w:t>80%</w:t>
      </w:r>
      <w:r>
        <w:rPr>
          <w:spacing w:val="-4"/>
        </w:rPr>
        <w:t> </w:t>
      </w:r>
      <w:r>
        <w:rPr/>
        <w:t>for</w:t>
      </w:r>
      <w:r>
        <w:rPr>
          <w:spacing w:val="-5"/>
        </w:rPr>
        <w:t> </w:t>
      </w:r>
      <w:r>
        <w:rPr/>
        <w:t>post</w:t>
      </w:r>
      <w:r>
        <w:rPr>
          <w:spacing w:val="-3"/>
        </w:rPr>
        <w:t> </w:t>
      </w:r>
      <w:r>
        <w:rPr/>
        <w:t>April</w:t>
      </w:r>
      <w:r>
        <w:rPr>
          <w:spacing w:val="-4"/>
        </w:rPr>
        <w:t> </w:t>
      </w:r>
      <w:r>
        <w:rPr/>
        <w:t>2008</w:t>
      </w:r>
      <w:r>
        <w:rPr>
          <w:spacing w:val="-5"/>
        </w:rPr>
        <w:t> </w:t>
      </w:r>
      <w:r>
        <w:rPr>
          <w:spacing w:val="-2"/>
        </w:rPr>
        <w:t>service.</w:t>
      </w:r>
    </w:p>
    <w:p>
      <w:pPr>
        <w:pStyle w:val="BodyText"/>
        <w:spacing w:line="229" w:lineRule="exact" w:before="1"/>
        <w:ind w:left="852"/>
      </w:pPr>
      <w:r>
        <w:rPr/>
        <w:t>**</w:t>
      </w:r>
      <w:r>
        <w:rPr>
          <w:spacing w:val="-6"/>
        </w:rPr>
        <w:t> </w:t>
      </w:r>
      <w:r>
        <w:rPr/>
        <w:t>0%</w:t>
      </w:r>
      <w:r>
        <w:rPr>
          <w:spacing w:val="-2"/>
        </w:rPr>
        <w:t> </w:t>
      </w:r>
      <w:r>
        <w:rPr/>
        <w:t>to</w:t>
      </w:r>
      <w:r>
        <w:rPr>
          <w:spacing w:val="-3"/>
        </w:rPr>
        <w:t> </w:t>
      </w:r>
      <w:r>
        <w:rPr/>
        <w:t>31</w:t>
      </w:r>
      <w:r>
        <w:rPr>
          <w:spacing w:val="-5"/>
        </w:rPr>
        <w:t> </w:t>
      </w:r>
      <w:r>
        <w:rPr/>
        <w:t>July</w:t>
      </w:r>
      <w:r>
        <w:rPr>
          <w:spacing w:val="-3"/>
        </w:rPr>
        <w:t> </w:t>
      </w:r>
      <w:r>
        <w:rPr/>
        <w:t>2023</w:t>
      </w:r>
      <w:r>
        <w:rPr>
          <w:spacing w:val="-5"/>
        </w:rPr>
        <w:t> </w:t>
      </w:r>
      <w:r>
        <w:rPr/>
        <w:t>and</w:t>
      </w:r>
      <w:r>
        <w:rPr>
          <w:spacing w:val="-3"/>
        </w:rPr>
        <w:t> </w:t>
      </w:r>
      <w:r>
        <w:rPr/>
        <w:t>CPI</w:t>
      </w:r>
      <w:r>
        <w:rPr>
          <w:spacing w:val="-5"/>
        </w:rPr>
        <w:t> </w:t>
      </w:r>
      <w:r>
        <w:rPr/>
        <w:t>thereafter.</w:t>
      </w:r>
      <w:r>
        <w:rPr>
          <w:spacing w:val="-4"/>
        </w:rPr>
        <w:t> </w:t>
      </w:r>
      <w:r>
        <w:rPr/>
        <w:t>2019</w:t>
      </w:r>
      <w:r>
        <w:rPr>
          <w:spacing w:val="-5"/>
        </w:rPr>
        <w:t> </w:t>
      </w:r>
      <w:r>
        <w:rPr/>
        <w:t>-</w:t>
      </w:r>
      <w:r>
        <w:rPr>
          <w:spacing w:val="-4"/>
        </w:rPr>
        <w:t> </w:t>
      </w:r>
      <w:r>
        <w:rPr/>
        <w:t>0%</w:t>
      </w:r>
      <w:r>
        <w:rPr>
          <w:spacing w:val="-4"/>
        </w:rPr>
        <w:t> </w:t>
      </w:r>
      <w:r>
        <w:rPr/>
        <w:t>to</w:t>
      </w:r>
      <w:r>
        <w:rPr>
          <w:spacing w:val="-4"/>
        </w:rPr>
        <w:t> </w:t>
      </w:r>
      <w:r>
        <w:rPr/>
        <w:t>31</w:t>
      </w:r>
      <w:r>
        <w:rPr>
          <w:spacing w:val="-5"/>
        </w:rPr>
        <w:t> </w:t>
      </w:r>
      <w:r>
        <w:rPr/>
        <w:t>July</w:t>
      </w:r>
      <w:r>
        <w:rPr>
          <w:spacing w:val="-4"/>
        </w:rPr>
        <w:t> </w:t>
      </w:r>
      <w:r>
        <w:rPr/>
        <w:t>2023</w:t>
      </w:r>
      <w:r>
        <w:rPr>
          <w:spacing w:val="-3"/>
        </w:rPr>
        <w:t> </w:t>
      </w:r>
      <w:r>
        <w:rPr/>
        <w:t>and</w:t>
      </w:r>
      <w:r>
        <w:rPr>
          <w:spacing w:val="-3"/>
        </w:rPr>
        <w:t> </w:t>
      </w:r>
      <w:r>
        <w:rPr/>
        <w:t>2.2%</w:t>
      </w:r>
      <w:r>
        <w:rPr>
          <w:spacing w:val="-1"/>
        </w:rPr>
        <w:t> </w:t>
      </w:r>
      <w:r>
        <w:rPr>
          <w:spacing w:val="-2"/>
        </w:rPr>
        <w:t>thereafter.</w:t>
      </w:r>
    </w:p>
    <w:p>
      <w:pPr>
        <w:pStyle w:val="BodyText"/>
        <w:spacing w:line="229" w:lineRule="exact"/>
        <w:ind w:left="852"/>
      </w:pPr>
      <w:r>
        <w:rPr/>
        <w:t>***</w:t>
      </w:r>
      <w:r>
        <w:rPr>
          <w:spacing w:val="-6"/>
        </w:rPr>
        <w:t> </w:t>
      </w:r>
      <w:r>
        <w:rPr/>
        <w:t>Includes</w:t>
      </w:r>
      <w:r>
        <w:rPr>
          <w:spacing w:val="-7"/>
        </w:rPr>
        <w:t> </w:t>
      </w:r>
      <w:r>
        <w:rPr/>
        <w:t>current</w:t>
      </w:r>
      <w:r>
        <w:rPr>
          <w:spacing w:val="-6"/>
        </w:rPr>
        <w:t> </w:t>
      </w:r>
      <w:r>
        <w:rPr/>
        <w:t>CPI</w:t>
      </w:r>
      <w:r>
        <w:rPr>
          <w:spacing w:val="-6"/>
        </w:rPr>
        <w:t> </w:t>
      </w:r>
      <w:r>
        <w:rPr/>
        <w:t>experiences</w:t>
      </w:r>
      <w:r>
        <w:rPr>
          <w:spacing w:val="-7"/>
        </w:rPr>
        <w:t> </w:t>
      </w:r>
      <w:r>
        <w:rPr/>
        <w:t>of</w:t>
      </w:r>
      <w:r>
        <w:rPr>
          <w:spacing w:val="-6"/>
        </w:rPr>
        <w:t> </w:t>
      </w:r>
      <w:r>
        <w:rPr>
          <w:spacing w:val="-2"/>
        </w:rPr>
        <w:t>9.9%.</w:t>
      </w:r>
    </w:p>
    <w:p>
      <w:pPr>
        <w:pStyle w:val="BodyText"/>
        <w:spacing w:before="1"/>
      </w:pPr>
    </w:p>
    <w:p>
      <w:pPr>
        <w:pStyle w:val="BodyText"/>
        <w:ind w:left="852"/>
      </w:pPr>
      <w:r>
        <w:rPr/>
        <w:t>The</w:t>
      </w:r>
      <w:r>
        <w:rPr>
          <w:spacing w:val="-6"/>
        </w:rPr>
        <w:t> </w:t>
      </w:r>
      <w:r>
        <w:rPr/>
        <w:t>average</w:t>
      </w:r>
      <w:r>
        <w:rPr>
          <w:spacing w:val="-4"/>
        </w:rPr>
        <w:t> </w:t>
      </w:r>
      <w:r>
        <w:rPr/>
        <w:t>life</w:t>
      </w:r>
      <w:r>
        <w:rPr>
          <w:spacing w:val="-6"/>
        </w:rPr>
        <w:t> </w:t>
      </w:r>
      <w:r>
        <w:rPr/>
        <w:t>expectancy</w:t>
      </w:r>
      <w:r>
        <w:rPr>
          <w:spacing w:val="-5"/>
        </w:rPr>
        <w:t> </w:t>
      </w:r>
      <w:r>
        <w:rPr/>
        <w:t>for</w:t>
      </w:r>
      <w:r>
        <w:rPr>
          <w:spacing w:val="-5"/>
        </w:rPr>
        <w:t> </w:t>
      </w:r>
      <w:r>
        <w:rPr/>
        <w:t>a</w:t>
      </w:r>
      <w:r>
        <w:rPr>
          <w:spacing w:val="-5"/>
        </w:rPr>
        <w:t> </w:t>
      </w:r>
      <w:r>
        <w:rPr/>
        <w:t>pensioner</w:t>
      </w:r>
      <w:r>
        <w:rPr>
          <w:spacing w:val="-5"/>
        </w:rPr>
        <w:t> </w:t>
      </w:r>
      <w:r>
        <w:rPr/>
        <w:t>retiring</w:t>
      </w:r>
      <w:r>
        <w:rPr>
          <w:spacing w:val="-6"/>
        </w:rPr>
        <w:t> </w:t>
      </w:r>
      <w:r>
        <w:rPr/>
        <w:t>at</w:t>
      </w:r>
      <w:r>
        <w:rPr>
          <w:spacing w:val="-4"/>
        </w:rPr>
        <w:t> </w:t>
      </w:r>
      <w:r>
        <w:rPr/>
        <w:t>65</w:t>
      </w:r>
      <w:r>
        <w:rPr>
          <w:spacing w:val="-6"/>
        </w:rPr>
        <w:t> </w:t>
      </w:r>
      <w:r>
        <w:rPr/>
        <w:t>on</w:t>
      </w:r>
      <w:r>
        <w:rPr>
          <w:spacing w:val="-5"/>
        </w:rPr>
        <w:t> </w:t>
      </w:r>
      <w:r>
        <w:rPr/>
        <w:t>the</w:t>
      </w:r>
      <w:r>
        <w:rPr>
          <w:spacing w:val="-6"/>
        </w:rPr>
        <w:t> </w:t>
      </w:r>
      <w:r>
        <w:rPr/>
        <w:t>reporting</w:t>
      </w:r>
      <w:r>
        <w:rPr>
          <w:spacing w:val="-6"/>
        </w:rPr>
        <w:t> </w:t>
      </w:r>
      <w:r>
        <w:rPr/>
        <w:t>date</w:t>
      </w:r>
      <w:r>
        <w:rPr>
          <w:spacing w:val="-4"/>
        </w:rPr>
        <w:t> </w:t>
      </w:r>
      <w:r>
        <w:rPr>
          <w:spacing w:val="-5"/>
        </w:rPr>
        <w:t>is:</w:t>
      </w:r>
    </w:p>
    <w:p>
      <w:pPr>
        <w:pStyle w:val="BodyText"/>
        <w:spacing w:before="7" w:after="1"/>
      </w:pP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0"/>
        <w:gridCol w:w="3411"/>
        <w:gridCol w:w="1363"/>
      </w:tblGrid>
      <w:tr>
        <w:trPr>
          <w:trHeight w:val="708" w:hRule="atLeast"/>
        </w:trPr>
        <w:tc>
          <w:tcPr>
            <w:tcW w:w="3870" w:type="dxa"/>
          </w:tcPr>
          <w:p>
            <w:pPr>
              <w:pStyle w:val="TableParagraph"/>
              <w:rPr>
                <w:rFonts w:ascii="Times New Roman"/>
                <w:sz w:val="20"/>
              </w:rPr>
            </w:pPr>
          </w:p>
        </w:tc>
        <w:tc>
          <w:tcPr>
            <w:tcW w:w="3411" w:type="dxa"/>
          </w:tcPr>
          <w:p>
            <w:pPr>
              <w:pStyle w:val="TableParagraph"/>
              <w:spacing w:line="222" w:lineRule="exact"/>
              <w:ind w:right="367"/>
              <w:jc w:val="right"/>
              <w:rPr>
                <w:b/>
                <w:sz w:val="20"/>
              </w:rPr>
            </w:pPr>
            <w:r>
              <w:rPr>
                <w:b/>
                <w:sz w:val="20"/>
              </w:rPr>
              <w:t>At</w:t>
            </w:r>
            <w:r>
              <w:rPr>
                <w:b/>
                <w:spacing w:val="-3"/>
                <w:sz w:val="20"/>
              </w:rPr>
              <w:t> </w:t>
            </w:r>
            <w:r>
              <w:rPr>
                <w:b/>
                <w:sz w:val="20"/>
              </w:rPr>
              <w:t>31</w:t>
            </w:r>
            <w:r>
              <w:rPr>
                <w:b/>
                <w:spacing w:val="-4"/>
                <w:sz w:val="20"/>
              </w:rPr>
              <w:t> July</w:t>
            </w:r>
          </w:p>
          <w:p>
            <w:pPr>
              <w:pStyle w:val="TableParagraph"/>
              <w:spacing w:line="229" w:lineRule="exact"/>
              <w:ind w:right="369"/>
              <w:jc w:val="right"/>
              <w:rPr>
                <w:b/>
                <w:sz w:val="20"/>
              </w:rPr>
            </w:pPr>
            <w:r>
              <w:rPr>
                <w:b/>
                <w:spacing w:val="-4"/>
                <w:sz w:val="20"/>
              </w:rPr>
              <w:t>2023</w:t>
            </w:r>
          </w:p>
          <w:p>
            <w:pPr>
              <w:pStyle w:val="TableParagraph"/>
              <w:ind w:right="369"/>
              <w:jc w:val="right"/>
              <w:rPr>
                <w:b/>
                <w:sz w:val="20"/>
              </w:rPr>
            </w:pPr>
            <w:r>
              <w:rPr>
                <w:b/>
                <w:spacing w:val="-2"/>
                <w:sz w:val="20"/>
              </w:rPr>
              <w:t>Years</w:t>
            </w:r>
          </w:p>
        </w:tc>
        <w:tc>
          <w:tcPr>
            <w:tcW w:w="1363" w:type="dxa"/>
          </w:tcPr>
          <w:p>
            <w:pPr>
              <w:pStyle w:val="TableParagraph"/>
              <w:spacing w:line="222" w:lineRule="exact"/>
              <w:ind w:right="47"/>
              <w:jc w:val="right"/>
              <w:rPr>
                <w:b/>
                <w:sz w:val="20"/>
              </w:rPr>
            </w:pPr>
            <w:r>
              <w:rPr>
                <w:b/>
                <w:sz w:val="20"/>
              </w:rPr>
              <w:t>At</w:t>
            </w:r>
            <w:r>
              <w:rPr>
                <w:b/>
                <w:spacing w:val="-3"/>
                <w:sz w:val="20"/>
              </w:rPr>
              <w:t> </w:t>
            </w:r>
            <w:r>
              <w:rPr>
                <w:b/>
                <w:sz w:val="20"/>
              </w:rPr>
              <w:t>31</w:t>
            </w:r>
            <w:r>
              <w:rPr>
                <w:b/>
                <w:spacing w:val="-4"/>
                <w:sz w:val="20"/>
              </w:rPr>
              <w:t> July</w:t>
            </w:r>
          </w:p>
          <w:p>
            <w:pPr>
              <w:pStyle w:val="TableParagraph"/>
              <w:spacing w:line="229" w:lineRule="exact"/>
              <w:ind w:right="50"/>
              <w:jc w:val="right"/>
              <w:rPr>
                <w:b/>
                <w:sz w:val="20"/>
              </w:rPr>
            </w:pPr>
            <w:r>
              <w:rPr>
                <w:b/>
                <w:spacing w:val="-4"/>
                <w:sz w:val="20"/>
              </w:rPr>
              <w:t>2022</w:t>
            </w:r>
          </w:p>
          <w:p>
            <w:pPr>
              <w:pStyle w:val="TableParagraph"/>
              <w:ind w:right="49"/>
              <w:jc w:val="right"/>
              <w:rPr>
                <w:b/>
                <w:sz w:val="20"/>
              </w:rPr>
            </w:pPr>
            <w:r>
              <w:rPr>
                <w:b/>
                <w:spacing w:val="-2"/>
                <w:sz w:val="20"/>
              </w:rPr>
              <w:t>Years</w:t>
            </w:r>
          </w:p>
        </w:tc>
      </w:tr>
      <w:tr>
        <w:trPr>
          <w:trHeight w:val="278" w:hRule="atLeast"/>
        </w:trPr>
        <w:tc>
          <w:tcPr>
            <w:tcW w:w="3870" w:type="dxa"/>
          </w:tcPr>
          <w:p>
            <w:pPr>
              <w:pStyle w:val="TableParagraph"/>
              <w:spacing w:before="20"/>
              <w:ind w:left="50"/>
              <w:rPr>
                <w:i/>
                <w:sz w:val="20"/>
              </w:rPr>
            </w:pPr>
            <w:r>
              <w:rPr>
                <w:i/>
                <w:sz w:val="20"/>
              </w:rPr>
              <w:t>Retiring</w:t>
            </w:r>
            <w:r>
              <w:rPr>
                <w:i/>
                <w:spacing w:val="-12"/>
                <w:sz w:val="20"/>
              </w:rPr>
              <w:t> </w:t>
            </w:r>
            <w:r>
              <w:rPr>
                <w:i/>
                <w:spacing w:val="-2"/>
                <w:sz w:val="20"/>
              </w:rPr>
              <w:t>today</w:t>
            </w:r>
          </w:p>
        </w:tc>
        <w:tc>
          <w:tcPr>
            <w:tcW w:w="3411" w:type="dxa"/>
          </w:tcPr>
          <w:p>
            <w:pPr>
              <w:pStyle w:val="TableParagraph"/>
              <w:rPr>
                <w:rFonts w:ascii="Times New Roman"/>
                <w:sz w:val="20"/>
              </w:rPr>
            </w:pPr>
          </w:p>
        </w:tc>
        <w:tc>
          <w:tcPr>
            <w:tcW w:w="1363" w:type="dxa"/>
          </w:tcPr>
          <w:p>
            <w:pPr>
              <w:pStyle w:val="TableParagraph"/>
              <w:rPr>
                <w:rFonts w:ascii="Times New Roman"/>
                <w:sz w:val="20"/>
              </w:rPr>
            </w:pPr>
          </w:p>
        </w:tc>
      </w:tr>
      <w:tr>
        <w:trPr>
          <w:trHeight w:val="278" w:hRule="atLeast"/>
        </w:trPr>
        <w:tc>
          <w:tcPr>
            <w:tcW w:w="3870" w:type="dxa"/>
          </w:tcPr>
          <w:p>
            <w:pPr>
              <w:pStyle w:val="TableParagraph"/>
              <w:spacing w:before="20"/>
              <w:ind w:left="50"/>
              <w:rPr>
                <w:sz w:val="20"/>
              </w:rPr>
            </w:pPr>
            <w:r>
              <w:rPr>
                <w:spacing w:val="-2"/>
                <w:sz w:val="20"/>
              </w:rPr>
              <w:t>Males</w:t>
            </w:r>
          </w:p>
        </w:tc>
        <w:tc>
          <w:tcPr>
            <w:tcW w:w="3411" w:type="dxa"/>
          </w:tcPr>
          <w:p>
            <w:pPr>
              <w:pStyle w:val="TableParagraph"/>
              <w:spacing w:before="20"/>
              <w:ind w:right="369"/>
              <w:jc w:val="right"/>
              <w:rPr>
                <w:sz w:val="20"/>
              </w:rPr>
            </w:pPr>
            <w:r>
              <w:rPr>
                <w:spacing w:val="-4"/>
                <w:sz w:val="20"/>
              </w:rPr>
              <w:t>21.1</w:t>
            </w:r>
          </w:p>
        </w:tc>
        <w:tc>
          <w:tcPr>
            <w:tcW w:w="1363" w:type="dxa"/>
          </w:tcPr>
          <w:p>
            <w:pPr>
              <w:pStyle w:val="TableParagraph"/>
              <w:spacing w:before="20"/>
              <w:ind w:right="49"/>
              <w:jc w:val="right"/>
              <w:rPr>
                <w:sz w:val="20"/>
              </w:rPr>
            </w:pPr>
            <w:r>
              <w:rPr>
                <w:spacing w:val="-4"/>
                <w:sz w:val="20"/>
              </w:rPr>
              <w:t>20.9</w:t>
            </w:r>
          </w:p>
        </w:tc>
      </w:tr>
      <w:tr>
        <w:trPr>
          <w:trHeight w:val="278" w:hRule="atLeast"/>
        </w:trPr>
        <w:tc>
          <w:tcPr>
            <w:tcW w:w="3870" w:type="dxa"/>
          </w:tcPr>
          <w:p>
            <w:pPr>
              <w:pStyle w:val="TableParagraph"/>
              <w:spacing w:before="20"/>
              <w:ind w:left="50"/>
              <w:rPr>
                <w:sz w:val="20"/>
              </w:rPr>
            </w:pPr>
            <w:r>
              <w:rPr>
                <w:spacing w:val="-2"/>
                <w:sz w:val="20"/>
              </w:rPr>
              <w:t>Females</w:t>
            </w:r>
          </w:p>
        </w:tc>
        <w:tc>
          <w:tcPr>
            <w:tcW w:w="3411" w:type="dxa"/>
          </w:tcPr>
          <w:p>
            <w:pPr>
              <w:pStyle w:val="TableParagraph"/>
              <w:spacing w:before="20"/>
              <w:ind w:right="369"/>
              <w:jc w:val="right"/>
              <w:rPr>
                <w:sz w:val="20"/>
              </w:rPr>
            </w:pPr>
            <w:r>
              <w:rPr>
                <w:spacing w:val="-4"/>
                <w:sz w:val="20"/>
              </w:rPr>
              <w:t>24.0</w:t>
            </w:r>
          </w:p>
        </w:tc>
        <w:tc>
          <w:tcPr>
            <w:tcW w:w="1363" w:type="dxa"/>
          </w:tcPr>
          <w:p>
            <w:pPr>
              <w:pStyle w:val="TableParagraph"/>
              <w:spacing w:before="20"/>
              <w:ind w:right="49"/>
              <w:jc w:val="right"/>
              <w:rPr>
                <w:sz w:val="20"/>
              </w:rPr>
            </w:pPr>
            <w:r>
              <w:rPr>
                <w:spacing w:val="-4"/>
                <w:sz w:val="20"/>
              </w:rPr>
              <w:t>23.3</w:t>
            </w:r>
          </w:p>
        </w:tc>
      </w:tr>
      <w:tr>
        <w:trPr>
          <w:trHeight w:val="554" w:hRule="atLeast"/>
        </w:trPr>
        <w:tc>
          <w:tcPr>
            <w:tcW w:w="3870" w:type="dxa"/>
          </w:tcPr>
          <w:p>
            <w:pPr>
              <w:pStyle w:val="TableParagraph"/>
              <w:spacing w:before="20"/>
              <w:ind w:left="50"/>
              <w:rPr>
                <w:i/>
                <w:sz w:val="20"/>
              </w:rPr>
            </w:pPr>
            <w:r>
              <w:rPr>
                <w:i/>
                <w:sz w:val="20"/>
              </w:rPr>
              <w:t>Retiring</w:t>
            </w:r>
            <w:r>
              <w:rPr>
                <w:i/>
                <w:spacing w:val="-5"/>
                <w:sz w:val="20"/>
              </w:rPr>
              <w:t> </w:t>
            </w:r>
            <w:r>
              <w:rPr>
                <w:i/>
                <w:sz w:val="20"/>
              </w:rPr>
              <w:t>in</w:t>
            </w:r>
            <w:r>
              <w:rPr>
                <w:i/>
                <w:spacing w:val="-5"/>
                <w:sz w:val="20"/>
              </w:rPr>
              <w:t> </w:t>
            </w:r>
            <w:r>
              <w:rPr>
                <w:i/>
                <w:sz w:val="20"/>
              </w:rPr>
              <w:t>20</w:t>
            </w:r>
            <w:r>
              <w:rPr>
                <w:i/>
                <w:spacing w:val="-7"/>
                <w:sz w:val="20"/>
              </w:rPr>
              <w:t> </w:t>
            </w:r>
            <w:r>
              <w:rPr>
                <w:i/>
                <w:spacing w:val="-4"/>
                <w:sz w:val="20"/>
              </w:rPr>
              <w:t>years</w:t>
            </w:r>
          </w:p>
          <w:p>
            <w:pPr>
              <w:pStyle w:val="TableParagraph"/>
              <w:spacing w:before="46"/>
              <w:ind w:left="50"/>
              <w:rPr>
                <w:sz w:val="20"/>
              </w:rPr>
            </w:pPr>
            <w:r>
              <w:rPr>
                <w:spacing w:val="-2"/>
                <w:sz w:val="20"/>
              </w:rPr>
              <w:t>Males</w:t>
            </w:r>
          </w:p>
        </w:tc>
        <w:tc>
          <w:tcPr>
            <w:tcW w:w="3411" w:type="dxa"/>
          </w:tcPr>
          <w:p>
            <w:pPr>
              <w:pStyle w:val="TableParagraph"/>
              <w:spacing w:before="66"/>
              <w:rPr>
                <w:sz w:val="20"/>
              </w:rPr>
            </w:pPr>
          </w:p>
          <w:p>
            <w:pPr>
              <w:pStyle w:val="TableParagraph"/>
              <w:ind w:right="369"/>
              <w:jc w:val="right"/>
              <w:rPr>
                <w:sz w:val="20"/>
              </w:rPr>
            </w:pPr>
            <w:r>
              <w:rPr>
                <w:spacing w:val="-4"/>
                <w:sz w:val="20"/>
              </w:rPr>
              <w:t>21.9</w:t>
            </w:r>
          </w:p>
        </w:tc>
        <w:tc>
          <w:tcPr>
            <w:tcW w:w="1363" w:type="dxa"/>
          </w:tcPr>
          <w:p>
            <w:pPr>
              <w:pStyle w:val="TableParagraph"/>
              <w:spacing w:before="66"/>
              <w:rPr>
                <w:sz w:val="20"/>
              </w:rPr>
            </w:pPr>
          </w:p>
          <w:p>
            <w:pPr>
              <w:pStyle w:val="TableParagraph"/>
              <w:ind w:right="49"/>
              <w:jc w:val="right"/>
              <w:rPr>
                <w:sz w:val="20"/>
              </w:rPr>
            </w:pPr>
            <w:r>
              <w:rPr>
                <w:spacing w:val="-4"/>
                <w:sz w:val="20"/>
              </w:rPr>
              <w:t>21.8</w:t>
            </w:r>
          </w:p>
        </w:tc>
      </w:tr>
      <w:tr>
        <w:trPr>
          <w:trHeight w:val="250" w:hRule="atLeast"/>
        </w:trPr>
        <w:tc>
          <w:tcPr>
            <w:tcW w:w="3870" w:type="dxa"/>
          </w:tcPr>
          <w:p>
            <w:pPr>
              <w:pStyle w:val="TableParagraph"/>
              <w:spacing w:line="210" w:lineRule="exact" w:before="20"/>
              <w:ind w:left="50"/>
              <w:rPr>
                <w:sz w:val="20"/>
              </w:rPr>
            </w:pPr>
            <w:r>
              <w:rPr>
                <w:spacing w:val="-2"/>
                <w:sz w:val="20"/>
              </w:rPr>
              <w:t>Females</w:t>
            </w:r>
          </w:p>
        </w:tc>
        <w:tc>
          <w:tcPr>
            <w:tcW w:w="3411" w:type="dxa"/>
          </w:tcPr>
          <w:p>
            <w:pPr>
              <w:pStyle w:val="TableParagraph"/>
              <w:spacing w:line="210" w:lineRule="exact" w:before="20"/>
              <w:ind w:right="369"/>
              <w:jc w:val="right"/>
              <w:rPr>
                <w:sz w:val="20"/>
              </w:rPr>
            </w:pPr>
            <w:r>
              <w:rPr>
                <w:spacing w:val="-4"/>
                <w:sz w:val="20"/>
              </w:rPr>
              <w:t>25.5</w:t>
            </w:r>
          </w:p>
        </w:tc>
        <w:tc>
          <w:tcPr>
            <w:tcW w:w="1363" w:type="dxa"/>
          </w:tcPr>
          <w:p>
            <w:pPr>
              <w:pStyle w:val="TableParagraph"/>
              <w:spacing w:line="210" w:lineRule="exact" w:before="20"/>
              <w:ind w:right="49"/>
              <w:jc w:val="right"/>
              <w:rPr>
                <w:sz w:val="20"/>
              </w:rPr>
            </w:pPr>
            <w:r>
              <w:rPr>
                <w:spacing w:val="-4"/>
                <w:sz w:val="20"/>
              </w:rPr>
              <w:t>24.8</w:t>
            </w:r>
          </w:p>
        </w:tc>
      </w:tr>
    </w:tbl>
    <w:p>
      <w:pPr>
        <w:pStyle w:val="BodyText"/>
        <w:spacing w:before="52"/>
      </w:pPr>
    </w:p>
    <w:p>
      <w:pPr>
        <w:pStyle w:val="BodyText"/>
        <w:ind w:left="852"/>
      </w:pPr>
      <w:r>
        <w:rPr/>
        <w:t>The</w:t>
      </w:r>
      <w:r>
        <w:rPr>
          <w:spacing w:val="-6"/>
        </w:rPr>
        <w:t> </w:t>
      </w:r>
      <w:r>
        <w:rPr/>
        <w:t>College’s</w:t>
      </w:r>
      <w:r>
        <w:rPr>
          <w:spacing w:val="-4"/>
        </w:rPr>
        <w:t> </w:t>
      </w:r>
      <w:r>
        <w:rPr/>
        <w:t>share</w:t>
      </w:r>
      <w:r>
        <w:rPr>
          <w:spacing w:val="-3"/>
        </w:rPr>
        <w:t> </w:t>
      </w:r>
      <w:r>
        <w:rPr/>
        <w:t>of</w:t>
      </w:r>
      <w:r>
        <w:rPr>
          <w:spacing w:val="-5"/>
        </w:rPr>
        <w:t> </w:t>
      </w:r>
      <w:r>
        <w:rPr/>
        <w:t>the</w:t>
      </w:r>
      <w:r>
        <w:rPr>
          <w:spacing w:val="-4"/>
        </w:rPr>
        <w:t> </w:t>
      </w:r>
      <w:r>
        <w:rPr/>
        <w:t>assets</w:t>
      </w:r>
      <w:r>
        <w:rPr>
          <w:spacing w:val="-4"/>
        </w:rPr>
        <w:t> </w:t>
      </w:r>
      <w:r>
        <w:rPr/>
        <w:t>in</w:t>
      </w:r>
      <w:r>
        <w:rPr>
          <w:spacing w:val="-5"/>
        </w:rPr>
        <w:t> </w:t>
      </w:r>
      <w:r>
        <w:rPr/>
        <w:t>the</w:t>
      </w:r>
      <w:r>
        <w:rPr>
          <w:spacing w:val="-5"/>
        </w:rPr>
        <w:t> </w:t>
      </w:r>
      <w:r>
        <w:rPr/>
        <w:t>plan</w:t>
      </w:r>
      <w:r>
        <w:rPr>
          <w:spacing w:val="-6"/>
        </w:rPr>
        <w:t> </w:t>
      </w:r>
      <w:r>
        <w:rPr/>
        <w:t>at</w:t>
      </w:r>
      <w:r>
        <w:rPr>
          <w:spacing w:val="-3"/>
        </w:rPr>
        <w:t> </w:t>
      </w:r>
      <w:r>
        <w:rPr/>
        <w:t>the</w:t>
      </w:r>
      <w:r>
        <w:rPr>
          <w:spacing w:val="-3"/>
        </w:rPr>
        <w:t> </w:t>
      </w:r>
      <w:r>
        <w:rPr/>
        <w:t>balance</w:t>
      </w:r>
      <w:r>
        <w:rPr>
          <w:spacing w:val="-5"/>
        </w:rPr>
        <w:t> </w:t>
      </w:r>
      <w:r>
        <w:rPr/>
        <w:t>sheet</w:t>
      </w:r>
      <w:r>
        <w:rPr>
          <w:spacing w:val="-6"/>
        </w:rPr>
        <w:t> </w:t>
      </w:r>
      <w:r>
        <w:rPr/>
        <w:t>date</w:t>
      </w:r>
      <w:r>
        <w:rPr>
          <w:spacing w:val="-5"/>
        </w:rPr>
        <w:t> </w:t>
      </w:r>
      <w:r>
        <w:rPr>
          <w:spacing w:val="-2"/>
        </w:rPr>
        <w:t>were:</w:t>
      </w:r>
    </w:p>
    <w:p>
      <w:pPr>
        <w:pStyle w:val="BodyText"/>
        <w:spacing w:before="8"/>
      </w:pP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9"/>
        <w:gridCol w:w="1282"/>
        <w:gridCol w:w="420"/>
        <w:gridCol w:w="1282"/>
      </w:tblGrid>
      <w:tr>
        <w:trPr>
          <w:trHeight w:val="454" w:hRule="atLeast"/>
        </w:trPr>
        <w:tc>
          <w:tcPr>
            <w:tcW w:w="5719" w:type="dxa"/>
            <w:vMerge w:val="restart"/>
          </w:tcPr>
          <w:p>
            <w:pPr>
              <w:pStyle w:val="TableParagraph"/>
              <w:rPr>
                <w:rFonts w:ascii="Times New Roman"/>
                <w:sz w:val="20"/>
              </w:rPr>
            </w:pPr>
          </w:p>
        </w:tc>
        <w:tc>
          <w:tcPr>
            <w:tcW w:w="1282" w:type="dxa"/>
          </w:tcPr>
          <w:p>
            <w:pPr>
              <w:pStyle w:val="TableParagraph"/>
              <w:spacing w:line="222" w:lineRule="exact"/>
              <w:ind w:left="244"/>
              <w:rPr>
                <w:b/>
                <w:sz w:val="20"/>
              </w:rPr>
            </w:pPr>
            <w:r>
              <w:rPr>
                <w:b/>
                <w:sz w:val="20"/>
              </w:rPr>
              <w:t>Fair</w:t>
            </w:r>
            <w:r>
              <w:rPr>
                <w:b/>
                <w:spacing w:val="-8"/>
                <w:sz w:val="20"/>
              </w:rPr>
              <w:t> </w:t>
            </w:r>
            <w:r>
              <w:rPr>
                <w:b/>
                <w:spacing w:val="-4"/>
                <w:sz w:val="20"/>
              </w:rPr>
              <w:t>value</w:t>
            </w:r>
          </w:p>
          <w:p>
            <w:pPr>
              <w:pStyle w:val="TableParagraph"/>
              <w:spacing w:line="213" w:lineRule="exact"/>
              <w:ind w:left="266"/>
              <w:rPr>
                <w:b/>
                <w:sz w:val="20"/>
              </w:rPr>
            </w:pPr>
            <w:r>
              <w:rPr>
                <w:b/>
                <w:sz w:val="20"/>
              </w:rPr>
              <w:t>at</w:t>
            </w:r>
            <w:r>
              <w:rPr>
                <w:b/>
                <w:spacing w:val="-6"/>
                <w:sz w:val="20"/>
              </w:rPr>
              <w:t> </w:t>
            </w:r>
            <w:r>
              <w:rPr>
                <w:b/>
                <w:sz w:val="20"/>
              </w:rPr>
              <w:t>31</w:t>
            </w:r>
            <w:r>
              <w:rPr>
                <w:b/>
                <w:spacing w:val="-3"/>
                <w:sz w:val="20"/>
              </w:rPr>
              <w:t> </w:t>
            </w:r>
            <w:r>
              <w:rPr>
                <w:b/>
                <w:spacing w:val="-4"/>
                <w:sz w:val="20"/>
              </w:rPr>
              <w:t>July</w:t>
            </w:r>
          </w:p>
        </w:tc>
        <w:tc>
          <w:tcPr>
            <w:tcW w:w="420" w:type="dxa"/>
          </w:tcPr>
          <w:p>
            <w:pPr>
              <w:pStyle w:val="TableParagraph"/>
              <w:rPr>
                <w:rFonts w:ascii="Times New Roman"/>
                <w:sz w:val="20"/>
              </w:rPr>
            </w:pPr>
          </w:p>
        </w:tc>
        <w:tc>
          <w:tcPr>
            <w:tcW w:w="1282" w:type="dxa"/>
          </w:tcPr>
          <w:p>
            <w:pPr>
              <w:pStyle w:val="TableParagraph"/>
              <w:spacing w:line="222" w:lineRule="exact"/>
              <w:ind w:left="241"/>
              <w:rPr>
                <w:b/>
                <w:sz w:val="20"/>
              </w:rPr>
            </w:pPr>
            <w:r>
              <w:rPr>
                <w:b/>
                <w:sz w:val="20"/>
              </w:rPr>
              <w:t>Fair</w:t>
            </w:r>
            <w:r>
              <w:rPr>
                <w:b/>
                <w:spacing w:val="-8"/>
                <w:sz w:val="20"/>
              </w:rPr>
              <w:t> </w:t>
            </w:r>
            <w:r>
              <w:rPr>
                <w:b/>
                <w:spacing w:val="-4"/>
                <w:sz w:val="20"/>
              </w:rPr>
              <w:t>value</w:t>
            </w:r>
          </w:p>
          <w:p>
            <w:pPr>
              <w:pStyle w:val="TableParagraph"/>
              <w:spacing w:line="213" w:lineRule="exact"/>
              <w:ind w:left="263"/>
              <w:rPr>
                <w:b/>
                <w:sz w:val="20"/>
              </w:rPr>
            </w:pPr>
            <w:r>
              <w:rPr>
                <w:b/>
                <w:sz w:val="20"/>
              </w:rPr>
              <w:t>at</w:t>
            </w:r>
            <w:r>
              <w:rPr>
                <w:b/>
                <w:spacing w:val="-6"/>
                <w:sz w:val="20"/>
              </w:rPr>
              <w:t> </w:t>
            </w:r>
            <w:r>
              <w:rPr>
                <w:b/>
                <w:sz w:val="20"/>
              </w:rPr>
              <w:t>31</w:t>
            </w:r>
            <w:r>
              <w:rPr>
                <w:b/>
                <w:spacing w:val="-3"/>
                <w:sz w:val="20"/>
              </w:rPr>
              <w:t> </w:t>
            </w:r>
            <w:r>
              <w:rPr>
                <w:b/>
                <w:spacing w:val="-4"/>
                <w:sz w:val="20"/>
              </w:rPr>
              <w:t>July</w:t>
            </w:r>
          </w:p>
        </w:tc>
      </w:tr>
      <w:tr>
        <w:trPr>
          <w:trHeight w:val="254" w:hRule="atLeast"/>
        </w:trPr>
        <w:tc>
          <w:tcPr>
            <w:tcW w:w="5719" w:type="dxa"/>
            <w:vMerge/>
            <w:tcBorders>
              <w:top w:val="nil"/>
            </w:tcBorders>
          </w:tcPr>
          <w:p>
            <w:pPr>
              <w:rPr>
                <w:sz w:val="2"/>
                <w:szCs w:val="2"/>
              </w:rPr>
            </w:pPr>
          </w:p>
        </w:tc>
        <w:tc>
          <w:tcPr>
            <w:tcW w:w="1282" w:type="dxa"/>
          </w:tcPr>
          <w:p>
            <w:pPr>
              <w:pStyle w:val="TableParagraph"/>
              <w:spacing w:line="227" w:lineRule="exact"/>
              <w:ind w:left="731"/>
              <w:rPr>
                <w:b/>
                <w:sz w:val="20"/>
              </w:rPr>
            </w:pPr>
            <w:r>
              <w:rPr>
                <w:b/>
                <w:spacing w:val="-4"/>
                <w:sz w:val="20"/>
              </w:rPr>
              <w:t>2023</w:t>
            </w:r>
          </w:p>
        </w:tc>
        <w:tc>
          <w:tcPr>
            <w:tcW w:w="420" w:type="dxa"/>
          </w:tcPr>
          <w:p>
            <w:pPr>
              <w:pStyle w:val="TableParagraph"/>
              <w:rPr>
                <w:rFonts w:ascii="Times New Roman"/>
                <w:sz w:val="18"/>
              </w:rPr>
            </w:pPr>
          </w:p>
        </w:tc>
        <w:tc>
          <w:tcPr>
            <w:tcW w:w="1282" w:type="dxa"/>
          </w:tcPr>
          <w:p>
            <w:pPr>
              <w:pStyle w:val="TableParagraph"/>
              <w:spacing w:line="227" w:lineRule="exact"/>
              <w:ind w:right="109"/>
              <w:jc w:val="right"/>
              <w:rPr>
                <w:b/>
                <w:sz w:val="20"/>
              </w:rPr>
            </w:pPr>
            <w:r>
              <w:rPr>
                <w:b/>
                <w:spacing w:val="-4"/>
                <w:sz w:val="20"/>
              </w:rPr>
              <w:t>2022</w:t>
            </w:r>
          </w:p>
        </w:tc>
      </w:tr>
      <w:tr>
        <w:trPr>
          <w:trHeight w:val="254" w:hRule="atLeast"/>
        </w:trPr>
        <w:tc>
          <w:tcPr>
            <w:tcW w:w="5719" w:type="dxa"/>
            <w:vMerge/>
            <w:tcBorders>
              <w:top w:val="nil"/>
            </w:tcBorders>
          </w:tcPr>
          <w:p>
            <w:pPr>
              <w:rPr>
                <w:sz w:val="2"/>
                <w:szCs w:val="2"/>
              </w:rPr>
            </w:pPr>
          </w:p>
        </w:tc>
        <w:tc>
          <w:tcPr>
            <w:tcW w:w="1282" w:type="dxa"/>
          </w:tcPr>
          <w:p>
            <w:pPr>
              <w:pStyle w:val="TableParagraph"/>
              <w:spacing w:line="214" w:lineRule="exact" w:before="20"/>
              <w:ind w:left="674"/>
              <w:rPr>
                <w:b/>
                <w:sz w:val="20"/>
              </w:rPr>
            </w:pPr>
            <w:r>
              <w:rPr>
                <w:b/>
                <w:spacing w:val="-2"/>
                <w:sz w:val="20"/>
              </w:rPr>
              <w:t>£’000</w:t>
            </w:r>
          </w:p>
        </w:tc>
        <w:tc>
          <w:tcPr>
            <w:tcW w:w="420" w:type="dxa"/>
          </w:tcPr>
          <w:p>
            <w:pPr>
              <w:pStyle w:val="TableParagraph"/>
              <w:rPr>
                <w:rFonts w:ascii="Times New Roman"/>
                <w:sz w:val="18"/>
              </w:rPr>
            </w:pPr>
          </w:p>
        </w:tc>
        <w:tc>
          <w:tcPr>
            <w:tcW w:w="1282" w:type="dxa"/>
          </w:tcPr>
          <w:p>
            <w:pPr>
              <w:pStyle w:val="TableParagraph"/>
              <w:spacing w:line="214" w:lineRule="exact" w:before="20"/>
              <w:ind w:right="109"/>
              <w:jc w:val="right"/>
              <w:rPr>
                <w:b/>
                <w:sz w:val="20"/>
              </w:rPr>
            </w:pPr>
            <w:r>
              <w:rPr>
                <w:b/>
                <w:spacing w:val="-2"/>
                <w:sz w:val="20"/>
              </w:rPr>
              <w:t>£’000</w:t>
            </w:r>
          </w:p>
        </w:tc>
      </w:tr>
      <w:tr>
        <w:trPr>
          <w:trHeight w:val="278" w:hRule="atLeast"/>
        </w:trPr>
        <w:tc>
          <w:tcPr>
            <w:tcW w:w="5719" w:type="dxa"/>
          </w:tcPr>
          <w:p>
            <w:pPr>
              <w:pStyle w:val="TableParagraph"/>
              <w:spacing w:line="227" w:lineRule="exact"/>
              <w:ind w:left="50"/>
              <w:rPr>
                <w:sz w:val="20"/>
              </w:rPr>
            </w:pPr>
            <w:r>
              <w:rPr>
                <w:sz w:val="20"/>
              </w:rPr>
              <w:t>Equity</w:t>
            </w:r>
            <w:r>
              <w:rPr>
                <w:spacing w:val="-9"/>
                <w:sz w:val="20"/>
              </w:rPr>
              <w:t> </w:t>
            </w:r>
            <w:r>
              <w:rPr>
                <w:spacing w:val="-2"/>
                <w:sz w:val="20"/>
              </w:rPr>
              <w:t>instruments</w:t>
            </w:r>
          </w:p>
        </w:tc>
        <w:tc>
          <w:tcPr>
            <w:tcW w:w="1282" w:type="dxa"/>
          </w:tcPr>
          <w:p>
            <w:pPr>
              <w:pStyle w:val="TableParagraph"/>
              <w:spacing w:line="214" w:lineRule="exact" w:before="44"/>
              <w:ind w:left="563"/>
              <w:rPr>
                <w:sz w:val="20"/>
              </w:rPr>
            </w:pPr>
            <w:r>
              <w:rPr>
                <w:spacing w:val="-2"/>
                <w:sz w:val="20"/>
              </w:rPr>
              <w:t>62,977</w:t>
            </w:r>
          </w:p>
        </w:tc>
        <w:tc>
          <w:tcPr>
            <w:tcW w:w="420" w:type="dxa"/>
          </w:tcPr>
          <w:p>
            <w:pPr>
              <w:pStyle w:val="TableParagraph"/>
              <w:rPr>
                <w:rFonts w:ascii="Times New Roman"/>
                <w:sz w:val="20"/>
              </w:rPr>
            </w:pPr>
          </w:p>
        </w:tc>
        <w:tc>
          <w:tcPr>
            <w:tcW w:w="1282" w:type="dxa"/>
          </w:tcPr>
          <w:p>
            <w:pPr>
              <w:pStyle w:val="TableParagraph"/>
              <w:spacing w:line="214" w:lineRule="exact" w:before="44"/>
              <w:ind w:right="109"/>
              <w:jc w:val="right"/>
              <w:rPr>
                <w:sz w:val="20"/>
              </w:rPr>
            </w:pPr>
            <w:r>
              <w:rPr>
                <w:spacing w:val="-2"/>
                <w:sz w:val="20"/>
              </w:rPr>
              <w:t>64,765</w:t>
            </w:r>
          </w:p>
        </w:tc>
      </w:tr>
      <w:tr>
        <w:trPr>
          <w:trHeight w:val="278" w:hRule="atLeast"/>
        </w:trPr>
        <w:tc>
          <w:tcPr>
            <w:tcW w:w="5719" w:type="dxa"/>
          </w:tcPr>
          <w:p>
            <w:pPr>
              <w:pStyle w:val="TableParagraph"/>
              <w:spacing w:line="227" w:lineRule="exact"/>
              <w:ind w:left="50"/>
              <w:rPr>
                <w:sz w:val="20"/>
              </w:rPr>
            </w:pPr>
            <w:r>
              <w:rPr>
                <w:sz w:val="20"/>
              </w:rPr>
              <w:t>Debt</w:t>
            </w:r>
            <w:r>
              <w:rPr>
                <w:spacing w:val="-6"/>
                <w:sz w:val="20"/>
              </w:rPr>
              <w:t> </w:t>
            </w:r>
            <w:r>
              <w:rPr>
                <w:spacing w:val="-2"/>
                <w:sz w:val="20"/>
              </w:rPr>
              <w:t>instruments</w:t>
            </w:r>
          </w:p>
        </w:tc>
        <w:tc>
          <w:tcPr>
            <w:tcW w:w="1282" w:type="dxa"/>
          </w:tcPr>
          <w:p>
            <w:pPr>
              <w:pStyle w:val="TableParagraph"/>
              <w:spacing w:line="214" w:lineRule="exact" w:before="44"/>
              <w:ind w:left="563"/>
              <w:rPr>
                <w:sz w:val="20"/>
              </w:rPr>
            </w:pPr>
            <w:r>
              <w:rPr>
                <w:spacing w:val="-2"/>
                <w:sz w:val="20"/>
              </w:rPr>
              <w:t>14,869</w:t>
            </w:r>
          </w:p>
        </w:tc>
        <w:tc>
          <w:tcPr>
            <w:tcW w:w="420" w:type="dxa"/>
          </w:tcPr>
          <w:p>
            <w:pPr>
              <w:pStyle w:val="TableParagraph"/>
              <w:rPr>
                <w:rFonts w:ascii="Times New Roman"/>
                <w:sz w:val="20"/>
              </w:rPr>
            </w:pPr>
          </w:p>
        </w:tc>
        <w:tc>
          <w:tcPr>
            <w:tcW w:w="1282" w:type="dxa"/>
          </w:tcPr>
          <w:p>
            <w:pPr>
              <w:pStyle w:val="TableParagraph"/>
              <w:spacing w:line="214" w:lineRule="exact" w:before="44"/>
              <w:ind w:right="109"/>
              <w:jc w:val="right"/>
              <w:rPr>
                <w:sz w:val="20"/>
              </w:rPr>
            </w:pPr>
            <w:r>
              <w:rPr>
                <w:spacing w:val="-2"/>
                <w:sz w:val="20"/>
              </w:rPr>
              <w:t>14,195</w:t>
            </w:r>
          </w:p>
        </w:tc>
      </w:tr>
      <w:tr>
        <w:trPr>
          <w:trHeight w:val="277" w:hRule="atLeast"/>
        </w:trPr>
        <w:tc>
          <w:tcPr>
            <w:tcW w:w="5719" w:type="dxa"/>
          </w:tcPr>
          <w:p>
            <w:pPr>
              <w:pStyle w:val="TableParagraph"/>
              <w:spacing w:line="227" w:lineRule="exact"/>
              <w:ind w:left="50"/>
              <w:rPr>
                <w:sz w:val="20"/>
              </w:rPr>
            </w:pPr>
            <w:r>
              <w:rPr>
                <w:spacing w:val="-2"/>
                <w:sz w:val="20"/>
              </w:rPr>
              <w:t>Property</w:t>
            </w:r>
          </w:p>
        </w:tc>
        <w:tc>
          <w:tcPr>
            <w:tcW w:w="1282" w:type="dxa"/>
          </w:tcPr>
          <w:p>
            <w:pPr>
              <w:pStyle w:val="TableParagraph"/>
              <w:spacing w:line="213" w:lineRule="exact" w:before="44"/>
              <w:ind w:left="674"/>
              <w:rPr>
                <w:sz w:val="20"/>
              </w:rPr>
            </w:pPr>
            <w:r>
              <w:rPr>
                <w:spacing w:val="-2"/>
                <w:sz w:val="20"/>
              </w:rPr>
              <w:t>7,872</w:t>
            </w:r>
          </w:p>
        </w:tc>
        <w:tc>
          <w:tcPr>
            <w:tcW w:w="420" w:type="dxa"/>
          </w:tcPr>
          <w:p>
            <w:pPr>
              <w:pStyle w:val="TableParagraph"/>
              <w:rPr>
                <w:rFonts w:ascii="Times New Roman"/>
                <w:sz w:val="20"/>
              </w:rPr>
            </w:pPr>
          </w:p>
        </w:tc>
        <w:tc>
          <w:tcPr>
            <w:tcW w:w="1282" w:type="dxa"/>
          </w:tcPr>
          <w:p>
            <w:pPr>
              <w:pStyle w:val="TableParagraph"/>
              <w:spacing w:line="213" w:lineRule="exact" w:before="44"/>
              <w:ind w:right="109"/>
              <w:jc w:val="right"/>
              <w:rPr>
                <w:sz w:val="20"/>
              </w:rPr>
            </w:pPr>
            <w:r>
              <w:rPr>
                <w:spacing w:val="-2"/>
                <w:sz w:val="20"/>
              </w:rPr>
              <w:t>8,872</w:t>
            </w:r>
          </w:p>
        </w:tc>
      </w:tr>
      <w:tr>
        <w:trPr>
          <w:trHeight w:val="294" w:hRule="atLeast"/>
        </w:trPr>
        <w:tc>
          <w:tcPr>
            <w:tcW w:w="5719" w:type="dxa"/>
          </w:tcPr>
          <w:p>
            <w:pPr>
              <w:pStyle w:val="TableParagraph"/>
              <w:spacing w:line="225" w:lineRule="exact"/>
              <w:ind w:left="50"/>
              <w:rPr>
                <w:sz w:val="20"/>
              </w:rPr>
            </w:pPr>
            <w:r>
              <w:rPr>
                <w:spacing w:val="-4"/>
                <w:sz w:val="20"/>
              </w:rPr>
              <w:t>Cash</w:t>
            </w:r>
          </w:p>
        </w:tc>
        <w:tc>
          <w:tcPr>
            <w:tcW w:w="1282" w:type="dxa"/>
          </w:tcPr>
          <w:p>
            <w:pPr>
              <w:pStyle w:val="TableParagraph"/>
              <w:tabs>
                <w:tab w:pos="674" w:val="left" w:leader="none"/>
              </w:tabs>
              <w:spacing w:before="43"/>
              <w:ind w:left="7"/>
              <w:rPr>
                <w:sz w:val="20"/>
              </w:rPr>
            </w:pPr>
            <w:r>
              <w:rPr>
                <w:sz w:val="20"/>
                <w:u w:val="single"/>
              </w:rPr>
              <w:tab/>
            </w:r>
            <w:r>
              <w:rPr>
                <w:spacing w:val="-2"/>
                <w:sz w:val="20"/>
                <w:u w:val="single"/>
              </w:rPr>
              <w:t>1,749</w:t>
            </w:r>
            <w:r>
              <w:rPr>
                <w:spacing w:val="80"/>
                <w:sz w:val="20"/>
                <w:u w:val="single"/>
              </w:rPr>
              <w:t> </w:t>
            </w:r>
          </w:p>
        </w:tc>
        <w:tc>
          <w:tcPr>
            <w:tcW w:w="420" w:type="dxa"/>
          </w:tcPr>
          <w:p>
            <w:pPr>
              <w:pStyle w:val="TableParagraph"/>
              <w:rPr>
                <w:rFonts w:ascii="Times New Roman"/>
                <w:sz w:val="20"/>
              </w:rPr>
            </w:pPr>
          </w:p>
        </w:tc>
        <w:tc>
          <w:tcPr>
            <w:tcW w:w="1282" w:type="dxa"/>
          </w:tcPr>
          <w:p>
            <w:pPr>
              <w:pStyle w:val="TableParagraph"/>
              <w:tabs>
                <w:tab w:pos="832" w:val="left" w:leader="none"/>
              </w:tabs>
              <w:spacing w:before="43"/>
              <w:jc w:val="right"/>
              <w:rPr>
                <w:sz w:val="20"/>
              </w:rPr>
            </w:pPr>
            <w:r>
              <w:rPr>
                <w:sz w:val="20"/>
                <w:u w:val="single"/>
              </w:rPr>
              <w:tab/>
            </w:r>
            <w:r>
              <w:rPr>
                <w:spacing w:val="-5"/>
                <w:sz w:val="20"/>
                <w:u w:val="single"/>
              </w:rPr>
              <w:t>887</w:t>
            </w:r>
            <w:r>
              <w:rPr>
                <w:spacing w:val="80"/>
                <w:sz w:val="20"/>
                <w:u w:val="single"/>
              </w:rPr>
              <w:t> </w:t>
            </w:r>
          </w:p>
        </w:tc>
      </w:tr>
      <w:tr>
        <w:trPr>
          <w:trHeight w:val="267" w:hRule="atLeast"/>
        </w:trPr>
        <w:tc>
          <w:tcPr>
            <w:tcW w:w="5719" w:type="dxa"/>
          </w:tcPr>
          <w:p>
            <w:pPr>
              <w:pStyle w:val="TableParagraph"/>
              <w:spacing w:before="13"/>
              <w:ind w:left="50"/>
              <w:rPr>
                <w:b/>
                <w:sz w:val="20"/>
              </w:rPr>
            </w:pPr>
            <w:r>
              <w:rPr>
                <w:b/>
                <w:sz w:val="20"/>
              </w:rPr>
              <w:t>Total</w:t>
            </w:r>
            <w:r>
              <w:rPr>
                <w:b/>
                <w:spacing w:val="-8"/>
                <w:sz w:val="20"/>
              </w:rPr>
              <w:t> </w:t>
            </w:r>
            <w:r>
              <w:rPr>
                <w:b/>
                <w:sz w:val="20"/>
              </w:rPr>
              <w:t>fair</w:t>
            </w:r>
            <w:r>
              <w:rPr>
                <w:b/>
                <w:spacing w:val="-6"/>
                <w:sz w:val="20"/>
              </w:rPr>
              <w:t> </w:t>
            </w:r>
            <w:r>
              <w:rPr>
                <w:b/>
                <w:sz w:val="20"/>
              </w:rPr>
              <w:t>value</w:t>
            </w:r>
            <w:r>
              <w:rPr>
                <w:b/>
                <w:spacing w:val="-5"/>
                <w:sz w:val="20"/>
              </w:rPr>
              <w:t> </w:t>
            </w:r>
            <w:r>
              <w:rPr>
                <w:b/>
                <w:sz w:val="20"/>
              </w:rPr>
              <w:t>of</w:t>
            </w:r>
            <w:r>
              <w:rPr>
                <w:b/>
                <w:spacing w:val="-4"/>
                <w:sz w:val="20"/>
              </w:rPr>
              <w:t> </w:t>
            </w:r>
            <w:r>
              <w:rPr>
                <w:b/>
                <w:sz w:val="20"/>
              </w:rPr>
              <w:t>plan</w:t>
            </w:r>
            <w:r>
              <w:rPr>
                <w:b/>
                <w:spacing w:val="-4"/>
                <w:sz w:val="20"/>
              </w:rPr>
              <w:t> </w:t>
            </w:r>
            <w:r>
              <w:rPr>
                <w:b/>
                <w:spacing w:val="-2"/>
                <w:sz w:val="20"/>
              </w:rPr>
              <w:t>assets</w:t>
            </w:r>
          </w:p>
        </w:tc>
        <w:tc>
          <w:tcPr>
            <w:tcW w:w="1282" w:type="dxa"/>
            <w:tcBorders>
              <w:bottom w:val="double" w:sz="4" w:space="0" w:color="000000"/>
            </w:tcBorders>
          </w:tcPr>
          <w:p>
            <w:pPr>
              <w:pStyle w:val="TableParagraph"/>
              <w:spacing w:before="13"/>
              <w:ind w:left="563"/>
              <w:rPr>
                <w:sz w:val="20"/>
              </w:rPr>
            </w:pPr>
            <w:r>
              <w:rPr>
                <w:spacing w:val="-2"/>
                <w:sz w:val="20"/>
              </w:rPr>
              <w:t>87,467</w:t>
            </w:r>
          </w:p>
        </w:tc>
        <w:tc>
          <w:tcPr>
            <w:tcW w:w="420" w:type="dxa"/>
          </w:tcPr>
          <w:p>
            <w:pPr>
              <w:pStyle w:val="TableParagraph"/>
              <w:rPr>
                <w:rFonts w:ascii="Times New Roman"/>
                <w:sz w:val="18"/>
              </w:rPr>
            </w:pPr>
          </w:p>
        </w:tc>
        <w:tc>
          <w:tcPr>
            <w:tcW w:w="1282" w:type="dxa"/>
            <w:tcBorders>
              <w:bottom w:val="double" w:sz="4" w:space="0" w:color="000000"/>
            </w:tcBorders>
          </w:tcPr>
          <w:p>
            <w:pPr>
              <w:pStyle w:val="TableParagraph"/>
              <w:spacing w:before="13"/>
              <w:ind w:right="109"/>
              <w:jc w:val="right"/>
              <w:rPr>
                <w:sz w:val="20"/>
              </w:rPr>
            </w:pPr>
            <w:r>
              <w:rPr>
                <w:spacing w:val="-2"/>
                <w:sz w:val="20"/>
              </w:rPr>
              <w:t>88,719</w:t>
            </w:r>
          </w:p>
        </w:tc>
      </w:tr>
      <w:tr>
        <w:trPr>
          <w:trHeight w:val="558" w:hRule="atLeast"/>
        </w:trPr>
        <w:tc>
          <w:tcPr>
            <w:tcW w:w="5719" w:type="dxa"/>
          </w:tcPr>
          <w:p>
            <w:pPr>
              <w:pStyle w:val="TableParagraph"/>
              <w:spacing w:before="49"/>
              <w:rPr>
                <w:sz w:val="20"/>
              </w:rPr>
            </w:pPr>
          </w:p>
          <w:p>
            <w:pPr>
              <w:pStyle w:val="TableParagraph"/>
              <w:spacing w:before="1"/>
              <w:ind w:left="50"/>
              <w:rPr>
                <w:b/>
                <w:sz w:val="20"/>
              </w:rPr>
            </w:pPr>
            <w:r>
              <w:rPr>
                <w:b/>
                <w:sz w:val="20"/>
              </w:rPr>
              <w:t>Actual</w:t>
            </w:r>
            <w:r>
              <w:rPr>
                <w:b/>
                <w:spacing w:val="-7"/>
                <w:sz w:val="20"/>
              </w:rPr>
              <w:t> </w:t>
            </w:r>
            <w:r>
              <w:rPr>
                <w:b/>
                <w:sz w:val="20"/>
              </w:rPr>
              <w:t>return</w:t>
            </w:r>
            <w:r>
              <w:rPr>
                <w:b/>
                <w:spacing w:val="-6"/>
                <w:sz w:val="20"/>
              </w:rPr>
              <w:t> </w:t>
            </w:r>
            <w:r>
              <w:rPr>
                <w:b/>
                <w:sz w:val="20"/>
              </w:rPr>
              <w:t>on</w:t>
            </w:r>
            <w:r>
              <w:rPr>
                <w:b/>
                <w:spacing w:val="-6"/>
                <w:sz w:val="20"/>
              </w:rPr>
              <w:t> </w:t>
            </w:r>
            <w:r>
              <w:rPr>
                <w:b/>
                <w:sz w:val="20"/>
              </w:rPr>
              <w:t>plan</w:t>
            </w:r>
            <w:r>
              <w:rPr>
                <w:b/>
                <w:spacing w:val="-4"/>
                <w:sz w:val="20"/>
              </w:rPr>
              <w:t> </w:t>
            </w:r>
            <w:r>
              <w:rPr>
                <w:b/>
                <w:spacing w:val="-2"/>
                <w:sz w:val="20"/>
              </w:rPr>
              <w:t>assets</w:t>
            </w:r>
          </w:p>
        </w:tc>
        <w:tc>
          <w:tcPr>
            <w:tcW w:w="1282" w:type="dxa"/>
            <w:tcBorders>
              <w:top w:val="double" w:sz="4" w:space="0" w:color="000000"/>
              <w:bottom w:val="double" w:sz="4" w:space="0" w:color="000000"/>
            </w:tcBorders>
          </w:tcPr>
          <w:p>
            <w:pPr>
              <w:pStyle w:val="TableParagraph"/>
              <w:spacing w:before="49"/>
              <w:rPr>
                <w:sz w:val="20"/>
              </w:rPr>
            </w:pPr>
          </w:p>
          <w:p>
            <w:pPr>
              <w:pStyle w:val="TableParagraph"/>
              <w:spacing w:before="1"/>
              <w:ind w:left="674"/>
              <w:rPr>
                <w:sz w:val="20"/>
              </w:rPr>
            </w:pPr>
            <w:r>
              <w:rPr>
                <w:spacing w:val="-2"/>
                <w:sz w:val="20"/>
              </w:rPr>
              <w:t>1,653</w:t>
            </w:r>
          </w:p>
        </w:tc>
        <w:tc>
          <w:tcPr>
            <w:tcW w:w="420" w:type="dxa"/>
          </w:tcPr>
          <w:p>
            <w:pPr>
              <w:pStyle w:val="TableParagraph"/>
              <w:rPr>
                <w:rFonts w:ascii="Times New Roman"/>
                <w:sz w:val="20"/>
              </w:rPr>
            </w:pPr>
          </w:p>
        </w:tc>
        <w:tc>
          <w:tcPr>
            <w:tcW w:w="1282" w:type="dxa"/>
            <w:tcBorders>
              <w:top w:val="double" w:sz="4" w:space="0" w:color="000000"/>
              <w:bottom w:val="double" w:sz="4" w:space="0" w:color="000000"/>
            </w:tcBorders>
          </w:tcPr>
          <w:p>
            <w:pPr>
              <w:pStyle w:val="TableParagraph"/>
              <w:spacing w:before="49"/>
              <w:rPr>
                <w:sz w:val="20"/>
              </w:rPr>
            </w:pPr>
          </w:p>
          <w:p>
            <w:pPr>
              <w:pStyle w:val="TableParagraph"/>
              <w:spacing w:before="1"/>
              <w:ind w:right="109"/>
              <w:jc w:val="right"/>
              <w:rPr>
                <w:sz w:val="20"/>
              </w:rPr>
            </w:pPr>
            <w:r>
              <w:rPr>
                <w:spacing w:val="-2"/>
                <w:sz w:val="20"/>
              </w:rPr>
              <w:t>3,457</w:t>
            </w:r>
          </w:p>
        </w:tc>
      </w:tr>
    </w:tbl>
    <w:p>
      <w:pPr>
        <w:pStyle w:val="TableParagraph"/>
        <w:spacing w:after="0"/>
        <w:jc w:val="right"/>
        <w:rPr>
          <w:sz w:val="20"/>
        </w:rPr>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5"/>
        <w:ind w:left="425"/>
      </w:pPr>
      <w:r>
        <w:rPr/>
        <w:t>18.</w:t>
      </w:r>
      <w:r>
        <w:rPr>
          <w:spacing w:val="51"/>
        </w:rPr>
        <w:t> </w:t>
      </w:r>
      <w:r>
        <w:rPr/>
        <w:t>Retirement</w:t>
      </w:r>
      <w:r>
        <w:rPr>
          <w:spacing w:val="-4"/>
        </w:rPr>
        <w:t> </w:t>
      </w:r>
      <w:r>
        <w:rPr/>
        <w:t>benefits</w:t>
      </w:r>
      <w:r>
        <w:rPr>
          <w:spacing w:val="-5"/>
        </w:rPr>
        <w:t> </w:t>
      </w:r>
      <w:r>
        <w:rPr>
          <w:spacing w:val="-2"/>
        </w:rPr>
        <w:t>(continued)</w:t>
      </w:r>
    </w:p>
    <w:p>
      <w:pPr>
        <w:pStyle w:val="Heading6"/>
        <w:spacing w:before="229" w:after="59"/>
        <w:ind w:left="1414" w:right="995"/>
        <w:jc w:val="left"/>
      </w:pPr>
      <w:r>
        <w:rPr/>
        <w:t>The</w:t>
      </w:r>
      <w:r>
        <w:rPr>
          <w:spacing w:val="-4"/>
        </w:rPr>
        <w:t> </w:t>
      </w:r>
      <w:r>
        <w:rPr/>
        <w:t>amount</w:t>
      </w:r>
      <w:r>
        <w:rPr>
          <w:spacing w:val="-3"/>
        </w:rPr>
        <w:t> </w:t>
      </w:r>
      <w:r>
        <w:rPr/>
        <w:t>included</w:t>
      </w:r>
      <w:r>
        <w:rPr>
          <w:spacing w:val="-3"/>
        </w:rPr>
        <w:t> </w:t>
      </w:r>
      <w:r>
        <w:rPr/>
        <w:t>in</w:t>
      </w:r>
      <w:r>
        <w:rPr>
          <w:spacing w:val="-3"/>
        </w:rPr>
        <w:t> </w:t>
      </w:r>
      <w:r>
        <w:rPr/>
        <w:t>the</w:t>
      </w:r>
      <w:r>
        <w:rPr>
          <w:spacing w:val="-4"/>
        </w:rPr>
        <w:t> </w:t>
      </w:r>
      <w:r>
        <w:rPr/>
        <w:t>balance</w:t>
      </w:r>
      <w:r>
        <w:rPr>
          <w:spacing w:val="-4"/>
        </w:rPr>
        <w:t> </w:t>
      </w:r>
      <w:r>
        <w:rPr/>
        <w:t>sheet</w:t>
      </w:r>
      <w:r>
        <w:rPr>
          <w:spacing w:val="-3"/>
        </w:rPr>
        <w:t> </w:t>
      </w:r>
      <w:r>
        <w:rPr/>
        <w:t>in</w:t>
      </w:r>
      <w:r>
        <w:rPr>
          <w:spacing w:val="-3"/>
        </w:rPr>
        <w:t> </w:t>
      </w:r>
      <w:r>
        <w:rPr/>
        <w:t>respect</w:t>
      </w:r>
      <w:r>
        <w:rPr>
          <w:spacing w:val="-3"/>
        </w:rPr>
        <w:t> </w:t>
      </w:r>
      <w:r>
        <w:rPr/>
        <w:t>of</w:t>
      </w:r>
      <w:r>
        <w:rPr>
          <w:spacing w:val="-3"/>
        </w:rPr>
        <w:t> </w:t>
      </w:r>
      <w:r>
        <w:rPr/>
        <w:t>the</w:t>
      </w:r>
      <w:r>
        <w:rPr>
          <w:spacing w:val="-4"/>
        </w:rPr>
        <w:t> </w:t>
      </w:r>
      <w:r>
        <w:rPr/>
        <w:t>defined</w:t>
      </w:r>
      <w:r>
        <w:rPr>
          <w:spacing w:val="-3"/>
        </w:rPr>
        <w:t> </w:t>
      </w:r>
      <w:r>
        <w:rPr/>
        <w:t>benefit</w:t>
      </w:r>
      <w:r>
        <w:rPr>
          <w:spacing w:val="-3"/>
        </w:rPr>
        <w:t> </w:t>
      </w:r>
      <w:r>
        <w:rPr/>
        <w:t>pension plan is as follows:</w:t>
      </w: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02"/>
        <w:gridCol w:w="1282"/>
        <w:gridCol w:w="310"/>
        <w:gridCol w:w="1284"/>
      </w:tblGrid>
      <w:tr>
        <w:trPr>
          <w:trHeight w:val="537" w:hRule="atLeast"/>
        </w:trPr>
        <w:tc>
          <w:tcPr>
            <w:tcW w:w="5402" w:type="dxa"/>
          </w:tcPr>
          <w:p>
            <w:pPr>
              <w:pStyle w:val="TableParagraph"/>
              <w:rPr>
                <w:rFonts w:ascii="Times New Roman"/>
                <w:sz w:val="20"/>
              </w:rPr>
            </w:pPr>
          </w:p>
        </w:tc>
        <w:tc>
          <w:tcPr>
            <w:tcW w:w="1282" w:type="dxa"/>
          </w:tcPr>
          <w:p>
            <w:pPr>
              <w:pStyle w:val="TableParagraph"/>
              <w:spacing w:line="223" w:lineRule="exact"/>
              <w:ind w:left="729"/>
              <w:rPr>
                <w:b/>
                <w:sz w:val="20"/>
              </w:rPr>
            </w:pPr>
            <w:r>
              <w:rPr>
                <w:b/>
                <w:spacing w:val="-4"/>
                <w:sz w:val="20"/>
              </w:rPr>
              <w:t>2023</w:t>
            </w:r>
          </w:p>
          <w:p>
            <w:pPr>
              <w:pStyle w:val="TableParagraph"/>
              <w:spacing w:before="53"/>
              <w:ind w:left="671"/>
              <w:rPr>
                <w:b/>
                <w:sz w:val="20"/>
              </w:rPr>
            </w:pPr>
            <w:r>
              <w:rPr>
                <w:b/>
                <w:spacing w:val="-2"/>
                <w:sz w:val="20"/>
              </w:rPr>
              <w:t>£’000</w:t>
            </w:r>
          </w:p>
        </w:tc>
        <w:tc>
          <w:tcPr>
            <w:tcW w:w="310" w:type="dxa"/>
          </w:tcPr>
          <w:p>
            <w:pPr>
              <w:pStyle w:val="TableParagraph"/>
              <w:rPr>
                <w:rFonts w:ascii="Times New Roman"/>
                <w:sz w:val="20"/>
              </w:rPr>
            </w:pPr>
          </w:p>
        </w:tc>
        <w:tc>
          <w:tcPr>
            <w:tcW w:w="1284" w:type="dxa"/>
          </w:tcPr>
          <w:p>
            <w:pPr>
              <w:pStyle w:val="TableParagraph"/>
              <w:spacing w:line="223" w:lineRule="exact"/>
              <w:ind w:left="731"/>
              <w:rPr>
                <w:b/>
                <w:sz w:val="20"/>
              </w:rPr>
            </w:pPr>
            <w:r>
              <w:rPr>
                <w:b/>
                <w:spacing w:val="-4"/>
                <w:sz w:val="20"/>
              </w:rPr>
              <w:t>2022</w:t>
            </w:r>
          </w:p>
          <w:p>
            <w:pPr>
              <w:pStyle w:val="TableParagraph"/>
              <w:spacing w:before="53"/>
              <w:ind w:left="673"/>
              <w:rPr>
                <w:b/>
                <w:sz w:val="20"/>
              </w:rPr>
            </w:pPr>
            <w:r>
              <w:rPr>
                <w:b/>
                <w:spacing w:val="-2"/>
                <w:sz w:val="20"/>
              </w:rPr>
              <w:t>£’000</w:t>
            </w:r>
          </w:p>
        </w:tc>
      </w:tr>
      <w:tr>
        <w:trPr>
          <w:trHeight w:val="284" w:hRule="atLeast"/>
        </w:trPr>
        <w:tc>
          <w:tcPr>
            <w:tcW w:w="5402" w:type="dxa"/>
          </w:tcPr>
          <w:p>
            <w:pPr>
              <w:pStyle w:val="TableParagraph"/>
              <w:spacing w:before="24"/>
              <w:ind w:left="50"/>
              <w:rPr>
                <w:sz w:val="20"/>
              </w:rPr>
            </w:pPr>
            <w:r>
              <w:rPr>
                <w:sz w:val="20"/>
              </w:rPr>
              <w:t>Fair</w:t>
            </w:r>
            <w:r>
              <w:rPr>
                <w:spacing w:val="-4"/>
                <w:sz w:val="20"/>
              </w:rPr>
              <w:t> </w:t>
            </w:r>
            <w:r>
              <w:rPr>
                <w:sz w:val="20"/>
              </w:rPr>
              <w:t>value</w:t>
            </w:r>
            <w:r>
              <w:rPr>
                <w:spacing w:val="-5"/>
                <w:sz w:val="20"/>
              </w:rPr>
              <w:t> </w:t>
            </w:r>
            <w:r>
              <w:rPr>
                <w:sz w:val="20"/>
              </w:rPr>
              <w:t>of</w:t>
            </w:r>
            <w:r>
              <w:rPr>
                <w:spacing w:val="-5"/>
                <w:sz w:val="20"/>
              </w:rPr>
              <w:t> </w:t>
            </w:r>
            <w:r>
              <w:rPr>
                <w:sz w:val="20"/>
              </w:rPr>
              <w:t>plan</w:t>
            </w:r>
            <w:r>
              <w:rPr>
                <w:spacing w:val="-3"/>
                <w:sz w:val="20"/>
              </w:rPr>
              <w:t> </w:t>
            </w:r>
            <w:r>
              <w:rPr>
                <w:spacing w:val="-2"/>
                <w:sz w:val="20"/>
              </w:rPr>
              <w:t>assets</w:t>
            </w:r>
          </w:p>
        </w:tc>
        <w:tc>
          <w:tcPr>
            <w:tcW w:w="1282" w:type="dxa"/>
          </w:tcPr>
          <w:p>
            <w:pPr>
              <w:pStyle w:val="TableParagraph"/>
              <w:spacing w:before="24"/>
              <w:ind w:right="108"/>
              <w:jc w:val="right"/>
              <w:rPr>
                <w:sz w:val="20"/>
              </w:rPr>
            </w:pPr>
            <w:r>
              <w:rPr>
                <w:spacing w:val="-2"/>
                <w:sz w:val="20"/>
              </w:rPr>
              <w:t>87,467</w:t>
            </w:r>
          </w:p>
        </w:tc>
        <w:tc>
          <w:tcPr>
            <w:tcW w:w="310" w:type="dxa"/>
          </w:tcPr>
          <w:p>
            <w:pPr>
              <w:pStyle w:val="TableParagraph"/>
              <w:rPr>
                <w:rFonts w:ascii="Times New Roman"/>
                <w:sz w:val="20"/>
              </w:rPr>
            </w:pPr>
          </w:p>
        </w:tc>
        <w:tc>
          <w:tcPr>
            <w:tcW w:w="1284" w:type="dxa"/>
          </w:tcPr>
          <w:p>
            <w:pPr>
              <w:pStyle w:val="TableParagraph"/>
              <w:spacing w:before="24"/>
              <w:ind w:right="109"/>
              <w:jc w:val="right"/>
              <w:rPr>
                <w:sz w:val="20"/>
              </w:rPr>
            </w:pPr>
            <w:r>
              <w:rPr>
                <w:spacing w:val="-2"/>
                <w:sz w:val="20"/>
              </w:rPr>
              <w:t>88,719</w:t>
            </w:r>
          </w:p>
        </w:tc>
      </w:tr>
      <w:tr>
        <w:trPr>
          <w:trHeight w:val="283" w:hRule="atLeast"/>
        </w:trPr>
        <w:tc>
          <w:tcPr>
            <w:tcW w:w="5402" w:type="dxa"/>
          </w:tcPr>
          <w:p>
            <w:pPr>
              <w:pStyle w:val="TableParagraph"/>
              <w:spacing w:before="23"/>
              <w:ind w:left="50"/>
              <w:rPr>
                <w:sz w:val="20"/>
              </w:rPr>
            </w:pPr>
            <w:r>
              <w:rPr>
                <w:sz w:val="20"/>
              </w:rPr>
              <w:t>Present</w:t>
            </w:r>
            <w:r>
              <w:rPr>
                <w:spacing w:val="-6"/>
                <w:sz w:val="20"/>
              </w:rPr>
              <w:t> </w:t>
            </w:r>
            <w:r>
              <w:rPr>
                <w:sz w:val="20"/>
              </w:rPr>
              <w:t>value</w:t>
            </w:r>
            <w:r>
              <w:rPr>
                <w:spacing w:val="-6"/>
                <w:sz w:val="20"/>
              </w:rPr>
              <w:t> </w:t>
            </w:r>
            <w:r>
              <w:rPr>
                <w:sz w:val="20"/>
              </w:rPr>
              <w:t>of</w:t>
            </w:r>
            <w:r>
              <w:rPr>
                <w:spacing w:val="-4"/>
                <w:sz w:val="20"/>
              </w:rPr>
              <w:t> </w:t>
            </w:r>
            <w:r>
              <w:rPr>
                <w:sz w:val="20"/>
              </w:rPr>
              <w:t>plan</w:t>
            </w:r>
            <w:r>
              <w:rPr>
                <w:spacing w:val="-4"/>
                <w:sz w:val="20"/>
              </w:rPr>
              <w:t> </w:t>
            </w:r>
            <w:r>
              <w:rPr>
                <w:spacing w:val="-2"/>
                <w:sz w:val="20"/>
              </w:rPr>
              <w:t>liabilities</w:t>
            </w:r>
          </w:p>
        </w:tc>
        <w:tc>
          <w:tcPr>
            <w:tcW w:w="1282" w:type="dxa"/>
          </w:tcPr>
          <w:p>
            <w:pPr>
              <w:pStyle w:val="TableParagraph"/>
              <w:spacing w:before="23"/>
              <w:ind w:right="52"/>
              <w:jc w:val="right"/>
              <w:rPr>
                <w:sz w:val="20"/>
              </w:rPr>
            </w:pPr>
            <w:r>
              <w:rPr>
                <w:spacing w:val="-2"/>
                <w:sz w:val="20"/>
              </w:rPr>
              <w:t>(65,217)</w:t>
            </w:r>
          </w:p>
        </w:tc>
        <w:tc>
          <w:tcPr>
            <w:tcW w:w="310" w:type="dxa"/>
          </w:tcPr>
          <w:p>
            <w:pPr>
              <w:pStyle w:val="TableParagraph"/>
              <w:rPr>
                <w:rFonts w:ascii="Times New Roman"/>
                <w:sz w:val="20"/>
              </w:rPr>
            </w:pPr>
          </w:p>
        </w:tc>
        <w:tc>
          <w:tcPr>
            <w:tcW w:w="1284" w:type="dxa"/>
          </w:tcPr>
          <w:p>
            <w:pPr>
              <w:pStyle w:val="TableParagraph"/>
              <w:spacing w:before="23"/>
              <w:ind w:right="52"/>
              <w:jc w:val="right"/>
              <w:rPr>
                <w:sz w:val="20"/>
              </w:rPr>
            </w:pPr>
            <w:r>
              <w:rPr>
                <w:spacing w:val="-2"/>
                <w:sz w:val="20"/>
              </w:rPr>
              <w:t>(81,403)</w:t>
            </w:r>
          </w:p>
        </w:tc>
      </w:tr>
      <w:tr>
        <w:trPr>
          <w:trHeight w:val="308" w:hRule="atLeast"/>
        </w:trPr>
        <w:tc>
          <w:tcPr>
            <w:tcW w:w="5402" w:type="dxa"/>
          </w:tcPr>
          <w:p>
            <w:pPr>
              <w:pStyle w:val="TableParagraph"/>
              <w:spacing w:before="23"/>
              <w:ind w:left="50"/>
              <w:rPr>
                <w:sz w:val="20"/>
              </w:rPr>
            </w:pPr>
            <w:r>
              <w:rPr>
                <w:sz w:val="20"/>
              </w:rPr>
              <w:t>Present</w:t>
            </w:r>
            <w:r>
              <w:rPr>
                <w:spacing w:val="-7"/>
                <w:sz w:val="20"/>
              </w:rPr>
              <w:t> </w:t>
            </w:r>
            <w:r>
              <w:rPr>
                <w:sz w:val="20"/>
              </w:rPr>
              <w:t>value</w:t>
            </w:r>
            <w:r>
              <w:rPr>
                <w:spacing w:val="-7"/>
                <w:sz w:val="20"/>
              </w:rPr>
              <w:t> </w:t>
            </w:r>
            <w:r>
              <w:rPr>
                <w:sz w:val="20"/>
              </w:rPr>
              <w:t>of</w:t>
            </w:r>
            <w:r>
              <w:rPr>
                <w:spacing w:val="-5"/>
                <w:sz w:val="20"/>
              </w:rPr>
              <w:t> </w:t>
            </w:r>
            <w:r>
              <w:rPr>
                <w:sz w:val="20"/>
              </w:rPr>
              <w:t>unfunded</w:t>
            </w:r>
            <w:r>
              <w:rPr>
                <w:spacing w:val="-5"/>
                <w:sz w:val="20"/>
              </w:rPr>
              <w:t> </w:t>
            </w:r>
            <w:r>
              <w:rPr>
                <w:spacing w:val="-2"/>
                <w:sz w:val="20"/>
              </w:rPr>
              <w:t>liabilities</w:t>
            </w:r>
          </w:p>
        </w:tc>
        <w:tc>
          <w:tcPr>
            <w:tcW w:w="1282" w:type="dxa"/>
            <w:tcBorders>
              <w:bottom w:val="single" w:sz="4" w:space="0" w:color="000000"/>
            </w:tcBorders>
          </w:tcPr>
          <w:p>
            <w:pPr>
              <w:pStyle w:val="TableParagraph"/>
              <w:spacing w:before="23"/>
              <w:ind w:right="52"/>
              <w:jc w:val="right"/>
              <w:rPr>
                <w:sz w:val="20"/>
              </w:rPr>
            </w:pPr>
            <w:r>
              <w:rPr>
                <w:spacing w:val="-4"/>
                <w:sz w:val="20"/>
              </w:rPr>
              <w:t>(25)</w:t>
            </w:r>
          </w:p>
        </w:tc>
        <w:tc>
          <w:tcPr>
            <w:tcW w:w="310" w:type="dxa"/>
          </w:tcPr>
          <w:p>
            <w:pPr>
              <w:pStyle w:val="TableParagraph"/>
              <w:rPr>
                <w:rFonts w:ascii="Times New Roman"/>
                <w:sz w:val="20"/>
              </w:rPr>
            </w:pPr>
          </w:p>
        </w:tc>
        <w:tc>
          <w:tcPr>
            <w:tcW w:w="1284" w:type="dxa"/>
            <w:tcBorders>
              <w:bottom w:val="single" w:sz="4" w:space="0" w:color="000000"/>
            </w:tcBorders>
          </w:tcPr>
          <w:p>
            <w:pPr>
              <w:pStyle w:val="TableParagraph"/>
              <w:spacing w:before="23"/>
              <w:ind w:right="52"/>
              <w:jc w:val="right"/>
              <w:rPr>
                <w:sz w:val="20"/>
              </w:rPr>
            </w:pPr>
            <w:r>
              <w:rPr>
                <w:spacing w:val="-4"/>
                <w:sz w:val="20"/>
              </w:rPr>
              <w:t>(36)</w:t>
            </w:r>
          </w:p>
        </w:tc>
      </w:tr>
      <w:tr>
        <w:trPr>
          <w:trHeight w:val="254" w:hRule="atLeast"/>
        </w:trPr>
        <w:tc>
          <w:tcPr>
            <w:tcW w:w="5402" w:type="dxa"/>
          </w:tcPr>
          <w:p>
            <w:pPr>
              <w:pStyle w:val="TableParagraph"/>
              <w:spacing w:line="229" w:lineRule="exact"/>
              <w:ind w:left="50"/>
              <w:rPr>
                <w:sz w:val="20"/>
              </w:rPr>
            </w:pPr>
            <w:r>
              <w:rPr>
                <w:sz w:val="20"/>
              </w:rPr>
              <w:t>Net</w:t>
            </w:r>
            <w:r>
              <w:rPr>
                <w:spacing w:val="-6"/>
                <w:sz w:val="20"/>
              </w:rPr>
              <w:t> </w:t>
            </w:r>
            <w:r>
              <w:rPr>
                <w:spacing w:val="-2"/>
                <w:sz w:val="20"/>
              </w:rPr>
              <w:t>asset</w:t>
            </w:r>
          </w:p>
        </w:tc>
        <w:tc>
          <w:tcPr>
            <w:tcW w:w="1282" w:type="dxa"/>
            <w:tcBorders>
              <w:top w:val="single" w:sz="4" w:space="0" w:color="000000"/>
            </w:tcBorders>
          </w:tcPr>
          <w:p>
            <w:pPr>
              <w:pStyle w:val="TableParagraph"/>
              <w:spacing w:line="229" w:lineRule="exact"/>
              <w:ind w:right="108"/>
              <w:jc w:val="right"/>
              <w:rPr>
                <w:sz w:val="20"/>
              </w:rPr>
            </w:pPr>
            <w:r>
              <w:rPr>
                <w:spacing w:val="-2"/>
                <w:sz w:val="20"/>
              </w:rPr>
              <w:t>22,225</w:t>
            </w:r>
          </w:p>
        </w:tc>
        <w:tc>
          <w:tcPr>
            <w:tcW w:w="310" w:type="dxa"/>
          </w:tcPr>
          <w:p>
            <w:pPr>
              <w:pStyle w:val="TableParagraph"/>
              <w:rPr>
                <w:rFonts w:ascii="Times New Roman"/>
                <w:sz w:val="18"/>
              </w:rPr>
            </w:pPr>
          </w:p>
        </w:tc>
        <w:tc>
          <w:tcPr>
            <w:tcW w:w="1284" w:type="dxa"/>
            <w:tcBorders>
              <w:top w:val="single" w:sz="4" w:space="0" w:color="000000"/>
            </w:tcBorders>
          </w:tcPr>
          <w:p>
            <w:pPr>
              <w:pStyle w:val="TableParagraph"/>
              <w:spacing w:line="229" w:lineRule="exact"/>
              <w:ind w:right="108"/>
              <w:jc w:val="right"/>
              <w:rPr>
                <w:sz w:val="20"/>
              </w:rPr>
            </w:pPr>
            <w:r>
              <w:rPr>
                <w:spacing w:val="-2"/>
                <w:sz w:val="20"/>
              </w:rPr>
              <w:t>7,280</w:t>
            </w:r>
          </w:p>
        </w:tc>
      </w:tr>
      <w:tr>
        <w:trPr>
          <w:trHeight w:val="301" w:hRule="atLeast"/>
        </w:trPr>
        <w:tc>
          <w:tcPr>
            <w:tcW w:w="5402" w:type="dxa"/>
          </w:tcPr>
          <w:p>
            <w:pPr>
              <w:pStyle w:val="TableParagraph"/>
              <w:spacing w:before="18"/>
              <w:ind w:left="50"/>
              <w:rPr>
                <w:sz w:val="20"/>
              </w:rPr>
            </w:pPr>
            <w:r>
              <w:rPr>
                <w:sz w:val="20"/>
              </w:rPr>
              <w:t>Restriction</w:t>
            </w:r>
            <w:r>
              <w:rPr>
                <w:spacing w:val="-6"/>
                <w:sz w:val="20"/>
              </w:rPr>
              <w:t> </w:t>
            </w:r>
            <w:r>
              <w:rPr>
                <w:sz w:val="20"/>
              </w:rPr>
              <w:t>to</w:t>
            </w:r>
            <w:r>
              <w:rPr>
                <w:spacing w:val="-4"/>
                <w:sz w:val="20"/>
              </w:rPr>
              <w:t> </w:t>
            </w:r>
            <w:r>
              <w:rPr>
                <w:sz w:val="20"/>
              </w:rPr>
              <w:t>level</w:t>
            </w:r>
            <w:r>
              <w:rPr>
                <w:spacing w:val="-7"/>
                <w:sz w:val="20"/>
              </w:rPr>
              <w:t> </w:t>
            </w:r>
            <w:r>
              <w:rPr>
                <w:sz w:val="20"/>
              </w:rPr>
              <w:t>of</w:t>
            </w:r>
            <w:r>
              <w:rPr>
                <w:spacing w:val="-5"/>
                <w:sz w:val="20"/>
              </w:rPr>
              <w:t> </w:t>
            </w:r>
            <w:r>
              <w:rPr>
                <w:sz w:val="20"/>
              </w:rPr>
              <w:t>asset</w:t>
            </w:r>
            <w:r>
              <w:rPr>
                <w:spacing w:val="-4"/>
                <w:sz w:val="20"/>
              </w:rPr>
              <w:t> </w:t>
            </w:r>
            <w:r>
              <w:rPr>
                <w:spacing w:val="-2"/>
                <w:sz w:val="20"/>
              </w:rPr>
              <w:t>ceiling</w:t>
            </w:r>
          </w:p>
        </w:tc>
        <w:tc>
          <w:tcPr>
            <w:tcW w:w="1282" w:type="dxa"/>
            <w:tcBorders>
              <w:bottom w:val="single" w:sz="4" w:space="0" w:color="000000"/>
            </w:tcBorders>
          </w:tcPr>
          <w:p>
            <w:pPr>
              <w:pStyle w:val="TableParagraph"/>
              <w:spacing w:before="18"/>
              <w:ind w:right="52"/>
              <w:jc w:val="right"/>
              <w:rPr>
                <w:sz w:val="20"/>
              </w:rPr>
            </w:pPr>
            <w:r>
              <w:rPr>
                <w:spacing w:val="-2"/>
                <w:sz w:val="20"/>
              </w:rPr>
              <w:t>(22,225)</w:t>
            </w:r>
          </w:p>
        </w:tc>
        <w:tc>
          <w:tcPr>
            <w:tcW w:w="310" w:type="dxa"/>
          </w:tcPr>
          <w:p>
            <w:pPr>
              <w:pStyle w:val="TableParagraph"/>
              <w:rPr>
                <w:rFonts w:ascii="Times New Roman"/>
                <w:sz w:val="20"/>
              </w:rPr>
            </w:pPr>
          </w:p>
        </w:tc>
        <w:tc>
          <w:tcPr>
            <w:tcW w:w="1284" w:type="dxa"/>
            <w:tcBorders>
              <w:bottom w:val="single" w:sz="4" w:space="0" w:color="000000"/>
            </w:tcBorders>
          </w:tcPr>
          <w:p>
            <w:pPr>
              <w:pStyle w:val="TableParagraph"/>
              <w:spacing w:before="18"/>
              <w:ind w:right="52"/>
              <w:jc w:val="right"/>
              <w:rPr>
                <w:sz w:val="20"/>
              </w:rPr>
            </w:pPr>
            <w:r>
              <w:rPr>
                <w:spacing w:val="-10"/>
                <w:sz w:val="20"/>
              </w:rPr>
              <w:t>-</w:t>
            </w:r>
          </w:p>
        </w:tc>
      </w:tr>
      <w:tr>
        <w:trPr>
          <w:trHeight w:val="378" w:hRule="atLeast"/>
        </w:trPr>
        <w:tc>
          <w:tcPr>
            <w:tcW w:w="5402" w:type="dxa"/>
          </w:tcPr>
          <w:p>
            <w:pPr>
              <w:pStyle w:val="TableParagraph"/>
              <w:spacing w:before="119"/>
              <w:ind w:left="50"/>
              <w:rPr>
                <w:b/>
                <w:sz w:val="20"/>
              </w:rPr>
            </w:pPr>
            <w:r>
              <w:rPr>
                <w:b/>
                <w:sz w:val="20"/>
              </w:rPr>
              <w:t>Net</w:t>
            </w:r>
            <w:r>
              <w:rPr>
                <w:b/>
                <w:spacing w:val="-7"/>
                <w:sz w:val="20"/>
              </w:rPr>
              <w:t> </w:t>
            </w:r>
            <w:r>
              <w:rPr>
                <w:b/>
                <w:sz w:val="20"/>
              </w:rPr>
              <w:t>asset</w:t>
            </w:r>
            <w:r>
              <w:rPr>
                <w:b/>
                <w:spacing w:val="-7"/>
                <w:sz w:val="20"/>
              </w:rPr>
              <w:t> </w:t>
            </w:r>
            <w:r>
              <w:rPr>
                <w:b/>
                <w:sz w:val="20"/>
              </w:rPr>
              <w:t>recognised</w:t>
            </w:r>
            <w:r>
              <w:rPr>
                <w:b/>
                <w:spacing w:val="-4"/>
                <w:sz w:val="20"/>
              </w:rPr>
              <w:t> </w:t>
            </w:r>
            <w:r>
              <w:rPr>
                <w:b/>
                <w:sz w:val="20"/>
              </w:rPr>
              <w:t>in</w:t>
            </w:r>
            <w:r>
              <w:rPr>
                <w:b/>
                <w:spacing w:val="-7"/>
                <w:sz w:val="20"/>
              </w:rPr>
              <w:t> </w:t>
            </w:r>
            <w:r>
              <w:rPr>
                <w:b/>
                <w:sz w:val="20"/>
              </w:rPr>
              <w:t>the</w:t>
            </w:r>
            <w:r>
              <w:rPr>
                <w:b/>
                <w:spacing w:val="-7"/>
                <w:sz w:val="20"/>
              </w:rPr>
              <w:t> </w:t>
            </w:r>
            <w:r>
              <w:rPr>
                <w:b/>
                <w:sz w:val="20"/>
              </w:rPr>
              <w:t>balance</w:t>
            </w:r>
            <w:r>
              <w:rPr>
                <w:b/>
                <w:spacing w:val="-8"/>
                <w:sz w:val="20"/>
              </w:rPr>
              <w:t> </w:t>
            </w:r>
            <w:r>
              <w:rPr>
                <w:b/>
                <w:spacing w:val="-2"/>
                <w:sz w:val="20"/>
              </w:rPr>
              <w:t>sheet</w:t>
            </w:r>
          </w:p>
        </w:tc>
        <w:tc>
          <w:tcPr>
            <w:tcW w:w="1282" w:type="dxa"/>
            <w:tcBorders>
              <w:top w:val="single" w:sz="4" w:space="0" w:color="000000"/>
              <w:bottom w:val="double" w:sz="4" w:space="0" w:color="000000"/>
            </w:tcBorders>
          </w:tcPr>
          <w:p>
            <w:pPr>
              <w:pStyle w:val="TableParagraph"/>
              <w:spacing w:before="119"/>
              <w:ind w:right="52"/>
              <w:jc w:val="right"/>
              <w:rPr>
                <w:sz w:val="20"/>
              </w:rPr>
            </w:pPr>
            <w:r>
              <w:rPr>
                <w:spacing w:val="-10"/>
                <w:sz w:val="20"/>
              </w:rPr>
              <w:t>-</w:t>
            </w:r>
          </w:p>
        </w:tc>
        <w:tc>
          <w:tcPr>
            <w:tcW w:w="310" w:type="dxa"/>
          </w:tcPr>
          <w:p>
            <w:pPr>
              <w:pStyle w:val="TableParagraph"/>
              <w:rPr>
                <w:rFonts w:ascii="Times New Roman"/>
                <w:sz w:val="20"/>
              </w:rPr>
            </w:pPr>
          </w:p>
        </w:tc>
        <w:tc>
          <w:tcPr>
            <w:tcW w:w="1284" w:type="dxa"/>
            <w:tcBorders>
              <w:top w:val="single" w:sz="4" w:space="0" w:color="000000"/>
              <w:bottom w:val="double" w:sz="4" w:space="0" w:color="000000"/>
            </w:tcBorders>
          </w:tcPr>
          <w:p>
            <w:pPr>
              <w:pStyle w:val="TableParagraph"/>
              <w:spacing w:before="119"/>
              <w:ind w:right="53"/>
              <w:jc w:val="right"/>
              <w:rPr>
                <w:sz w:val="20"/>
              </w:rPr>
            </w:pPr>
            <w:r>
              <w:rPr>
                <w:spacing w:val="-2"/>
                <w:sz w:val="20"/>
              </w:rPr>
              <w:t>7,280</w:t>
            </w:r>
          </w:p>
        </w:tc>
      </w:tr>
    </w:tbl>
    <w:p>
      <w:pPr>
        <w:pStyle w:val="BodyText"/>
        <w:spacing w:before="3"/>
        <w:rPr>
          <w:b/>
        </w:rPr>
      </w:pPr>
    </w:p>
    <w:p>
      <w:pPr>
        <w:pStyle w:val="BodyText"/>
        <w:ind w:left="852" w:right="709"/>
        <w:jc w:val="both"/>
      </w:pPr>
      <w:r>
        <w:rPr/>
        <w:t>The value of the college’s share of net assets has been restricted due to the effect of the asset ceiling being the maximum value of the present of the economic benefits available in the form of the unconditional right to reduced contributions from the plan. A corresponding charge has been made to other comprehensive income in the period.</w:t>
      </w:r>
    </w:p>
    <w:p>
      <w:pPr>
        <w:pStyle w:val="Heading6"/>
        <w:spacing w:before="229" w:after="9"/>
        <w:ind w:left="1414" w:right="1115"/>
        <w:jc w:val="left"/>
      </w:pPr>
      <w:r>
        <w:rPr/>
        <w:t>Amounts</w:t>
      </w:r>
      <w:r>
        <w:rPr>
          <w:spacing w:val="-5"/>
        </w:rPr>
        <w:t> </w:t>
      </w:r>
      <w:r>
        <w:rPr/>
        <w:t>recognised</w:t>
      </w:r>
      <w:r>
        <w:rPr>
          <w:spacing w:val="-4"/>
        </w:rPr>
        <w:t> </w:t>
      </w:r>
      <w:r>
        <w:rPr/>
        <w:t>in</w:t>
      </w:r>
      <w:r>
        <w:rPr>
          <w:spacing w:val="-4"/>
        </w:rPr>
        <w:t> </w:t>
      </w:r>
      <w:r>
        <w:rPr/>
        <w:t>the</w:t>
      </w:r>
      <w:r>
        <w:rPr>
          <w:spacing w:val="-5"/>
        </w:rPr>
        <w:t> </w:t>
      </w:r>
      <w:r>
        <w:rPr/>
        <w:t>Statement</w:t>
      </w:r>
      <w:r>
        <w:rPr>
          <w:spacing w:val="-4"/>
        </w:rPr>
        <w:t> </w:t>
      </w:r>
      <w:r>
        <w:rPr/>
        <w:t>of</w:t>
      </w:r>
      <w:r>
        <w:rPr>
          <w:spacing w:val="-4"/>
        </w:rPr>
        <w:t> </w:t>
      </w:r>
      <w:r>
        <w:rPr/>
        <w:t>Comprehensive</w:t>
      </w:r>
      <w:r>
        <w:rPr>
          <w:spacing w:val="-3"/>
        </w:rPr>
        <w:t> </w:t>
      </w:r>
      <w:r>
        <w:rPr/>
        <w:t>Income</w:t>
      </w:r>
      <w:r>
        <w:rPr>
          <w:spacing w:val="-3"/>
        </w:rPr>
        <w:t> </w:t>
      </w:r>
      <w:r>
        <w:rPr/>
        <w:t>in</w:t>
      </w:r>
      <w:r>
        <w:rPr>
          <w:spacing w:val="-4"/>
        </w:rPr>
        <w:t> </w:t>
      </w:r>
      <w:r>
        <w:rPr/>
        <w:t>respect</w:t>
      </w:r>
      <w:r>
        <w:rPr>
          <w:spacing w:val="-2"/>
        </w:rPr>
        <w:t> </w:t>
      </w:r>
      <w:r>
        <w:rPr/>
        <w:t>of</w:t>
      </w:r>
      <w:r>
        <w:rPr>
          <w:spacing w:val="-4"/>
        </w:rPr>
        <w:t> </w:t>
      </w:r>
      <w:r>
        <w:rPr/>
        <w:t>the plan are as follows:</w:t>
      </w: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4"/>
        <w:gridCol w:w="888"/>
        <w:gridCol w:w="310"/>
        <w:gridCol w:w="1282"/>
      </w:tblGrid>
      <w:tr>
        <w:trPr>
          <w:trHeight w:val="526" w:hRule="atLeast"/>
        </w:trPr>
        <w:tc>
          <w:tcPr>
            <w:tcW w:w="5764" w:type="dxa"/>
          </w:tcPr>
          <w:p>
            <w:pPr>
              <w:pStyle w:val="TableParagraph"/>
              <w:rPr>
                <w:rFonts w:ascii="Times New Roman"/>
                <w:sz w:val="20"/>
              </w:rPr>
            </w:pPr>
          </w:p>
        </w:tc>
        <w:tc>
          <w:tcPr>
            <w:tcW w:w="888" w:type="dxa"/>
          </w:tcPr>
          <w:p>
            <w:pPr>
              <w:pStyle w:val="TableParagraph"/>
              <w:spacing w:line="223" w:lineRule="exact"/>
              <w:ind w:left="336"/>
              <w:rPr>
                <w:b/>
                <w:sz w:val="20"/>
              </w:rPr>
            </w:pPr>
            <w:r>
              <w:rPr>
                <w:b/>
                <w:spacing w:val="-4"/>
                <w:sz w:val="20"/>
              </w:rPr>
              <w:t>2023</w:t>
            </w:r>
          </w:p>
          <w:p>
            <w:pPr>
              <w:pStyle w:val="TableParagraph"/>
              <w:spacing w:before="46"/>
              <w:ind w:left="278"/>
              <w:rPr>
                <w:b/>
                <w:sz w:val="20"/>
              </w:rPr>
            </w:pPr>
            <w:r>
              <w:rPr>
                <w:b/>
                <w:spacing w:val="-2"/>
                <w:sz w:val="20"/>
              </w:rPr>
              <w:t>£’000</w:t>
            </w:r>
          </w:p>
        </w:tc>
        <w:tc>
          <w:tcPr>
            <w:tcW w:w="310" w:type="dxa"/>
          </w:tcPr>
          <w:p>
            <w:pPr>
              <w:pStyle w:val="TableParagraph"/>
              <w:rPr>
                <w:rFonts w:ascii="Times New Roman"/>
                <w:sz w:val="20"/>
              </w:rPr>
            </w:pPr>
          </w:p>
        </w:tc>
        <w:tc>
          <w:tcPr>
            <w:tcW w:w="1282" w:type="dxa"/>
          </w:tcPr>
          <w:p>
            <w:pPr>
              <w:pStyle w:val="TableParagraph"/>
              <w:spacing w:line="223" w:lineRule="exact"/>
              <w:ind w:left="729"/>
              <w:rPr>
                <w:b/>
                <w:sz w:val="20"/>
              </w:rPr>
            </w:pPr>
            <w:r>
              <w:rPr>
                <w:b/>
                <w:spacing w:val="-4"/>
                <w:sz w:val="20"/>
              </w:rPr>
              <w:t>2022</w:t>
            </w:r>
          </w:p>
          <w:p>
            <w:pPr>
              <w:pStyle w:val="TableParagraph"/>
              <w:spacing w:before="46"/>
              <w:ind w:left="672"/>
              <w:rPr>
                <w:b/>
                <w:sz w:val="20"/>
              </w:rPr>
            </w:pPr>
            <w:r>
              <w:rPr>
                <w:b/>
                <w:spacing w:val="-2"/>
                <w:sz w:val="20"/>
              </w:rPr>
              <w:t>£’000</w:t>
            </w:r>
          </w:p>
        </w:tc>
      </w:tr>
      <w:tr>
        <w:trPr>
          <w:trHeight w:val="278" w:hRule="atLeast"/>
        </w:trPr>
        <w:tc>
          <w:tcPr>
            <w:tcW w:w="5764" w:type="dxa"/>
          </w:tcPr>
          <w:p>
            <w:pPr>
              <w:pStyle w:val="TableParagraph"/>
              <w:spacing w:before="20"/>
              <w:ind w:left="50"/>
              <w:rPr>
                <w:sz w:val="20"/>
              </w:rPr>
            </w:pPr>
            <w:r>
              <w:rPr>
                <w:sz w:val="20"/>
              </w:rPr>
              <w:t>Current</w:t>
            </w:r>
            <w:r>
              <w:rPr>
                <w:spacing w:val="-11"/>
                <w:sz w:val="20"/>
              </w:rPr>
              <w:t> </w:t>
            </w:r>
            <w:r>
              <w:rPr>
                <w:sz w:val="20"/>
              </w:rPr>
              <w:t>service</w:t>
            </w:r>
            <w:r>
              <w:rPr>
                <w:spacing w:val="-9"/>
                <w:sz w:val="20"/>
              </w:rPr>
              <w:t> </w:t>
            </w:r>
            <w:r>
              <w:rPr>
                <w:spacing w:val="-4"/>
                <w:sz w:val="20"/>
              </w:rPr>
              <w:t>cost</w:t>
            </w:r>
          </w:p>
        </w:tc>
        <w:tc>
          <w:tcPr>
            <w:tcW w:w="888" w:type="dxa"/>
          </w:tcPr>
          <w:p>
            <w:pPr>
              <w:pStyle w:val="TableParagraph"/>
              <w:spacing w:before="20"/>
              <w:ind w:right="51"/>
              <w:jc w:val="right"/>
              <w:rPr>
                <w:sz w:val="20"/>
              </w:rPr>
            </w:pPr>
            <w:r>
              <w:rPr>
                <w:spacing w:val="-2"/>
                <w:sz w:val="20"/>
              </w:rPr>
              <w:t>(860)</w:t>
            </w:r>
          </w:p>
        </w:tc>
        <w:tc>
          <w:tcPr>
            <w:tcW w:w="310" w:type="dxa"/>
          </w:tcPr>
          <w:p>
            <w:pPr>
              <w:pStyle w:val="TableParagraph"/>
              <w:rPr>
                <w:rFonts w:ascii="Times New Roman"/>
                <w:sz w:val="20"/>
              </w:rPr>
            </w:pPr>
          </w:p>
        </w:tc>
        <w:tc>
          <w:tcPr>
            <w:tcW w:w="1282" w:type="dxa"/>
          </w:tcPr>
          <w:p>
            <w:pPr>
              <w:pStyle w:val="TableParagraph"/>
              <w:spacing w:before="20"/>
              <w:ind w:right="52"/>
              <w:jc w:val="right"/>
              <w:rPr>
                <w:sz w:val="20"/>
              </w:rPr>
            </w:pPr>
            <w:r>
              <w:rPr>
                <w:spacing w:val="-2"/>
                <w:sz w:val="20"/>
              </w:rPr>
              <w:t>(1,609)</w:t>
            </w:r>
          </w:p>
        </w:tc>
      </w:tr>
      <w:tr>
        <w:trPr>
          <w:trHeight w:val="278" w:hRule="atLeast"/>
        </w:trPr>
        <w:tc>
          <w:tcPr>
            <w:tcW w:w="5764" w:type="dxa"/>
          </w:tcPr>
          <w:p>
            <w:pPr>
              <w:pStyle w:val="TableParagraph"/>
              <w:spacing w:before="20"/>
              <w:ind w:left="50"/>
              <w:rPr>
                <w:sz w:val="20"/>
              </w:rPr>
            </w:pPr>
            <w:r>
              <w:rPr>
                <w:sz w:val="20"/>
              </w:rPr>
              <w:t>Past</w:t>
            </w:r>
            <w:r>
              <w:rPr>
                <w:spacing w:val="-7"/>
                <w:sz w:val="20"/>
              </w:rPr>
              <w:t> </w:t>
            </w:r>
            <w:r>
              <w:rPr>
                <w:sz w:val="20"/>
              </w:rPr>
              <w:t>service</w:t>
            </w:r>
            <w:r>
              <w:rPr>
                <w:spacing w:val="-7"/>
                <w:sz w:val="20"/>
              </w:rPr>
              <w:t> </w:t>
            </w:r>
            <w:r>
              <w:rPr>
                <w:spacing w:val="-4"/>
                <w:sz w:val="20"/>
              </w:rPr>
              <w:t>cost</w:t>
            </w:r>
          </w:p>
        </w:tc>
        <w:tc>
          <w:tcPr>
            <w:tcW w:w="888" w:type="dxa"/>
          </w:tcPr>
          <w:p>
            <w:pPr>
              <w:pStyle w:val="TableParagraph"/>
              <w:spacing w:before="20"/>
              <w:ind w:right="106"/>
              <w:jc w:val="right"/>
              <w:rPr>
                <w:sz w:val="20"/>
              </w:rPr>
            </w:pPr>
            <w:r>
              <w:rPr>
                <w:spacing w:val="-10"/>
                <w:sz w:val="20"/>
              </w:rPr>
              <w:t>-</w:t>
            </w:r>
          </w:p>
        </w:tc>
        <w:tc>
          <w:tcPr>
            <w:tcW w:w="310" w:type="dxa"/>
          </w:tcPr>
          <w:p>
            <w:pPr>
              <w:pStyle w:val="TableParagraph"/>
              <w:rPr>
                <w:rFonts w:ascii="Times New Roman"/>
                <w:sz w:val="20"/>
              </w:rPr>
            </w:pPr>
          </w:p>
        </w:tc>
        <w:tc>
          <w:tcPr>
            <w:tcW w:w="1282" w:type="dxa"/>
          </w:tcPr>
          <w:p>
            <w:pPr>
              <w:pStyle w:val="TableParagraph"/>
              <w:spacing w:before="20"/>
              <w:ind w:right="50"/>
              <w:jc w:val="right"/>
              <w:rPr>
                <w:sz w:val="20"/>
              </w:rPr>
            </w:pPr>
            <w:r>
              <w:rPr>
                <w:spacing w:val="-5"/>
                <w:sz w:val="20"/>
              </w:rPr>
              <w:t>(8)</w:t>
            </w:r>
          </w:p>
        </w:tc>
      </w:tr>
      <w:tr>
        <w:trPr>
          <w:trHeight w:val="299" w:hRule="atLeast"/>
        </w:trPr>
        <w:tc>
          <w:tcPr>
            <w:tcW w:w="5764" w:type="dxa"/>
          </w:tcPr>
          <w:p>
            <w:pPr>
              <w:pStyle w:val="TableParagraph"/>
              <w:spacing w:before="20"/>
              <w:ind w:left="50"/>
              <w:rPr>
                <w:sz w:val="20"/>
              </w:rPr>
            </w:pPr>
            <w:r>
              <w:rPr>
                <w:sz w:val="20"/>
              </w:rPr>
              <w:t>Net</w:t>
            </w:r>
            <w:r>
              <w:rPr>
                <w:spacing w:val="-8"/>
                <w:sz w:val="20"/>
              </w:rPr>
              <w:t> </w:t>
            </w:r>
            <w:r>
              <w:rPr>
                <w:sz w:val="20"/>
              </w:rPr>
              <w:t>interest</w:t>
            </w:r>
            <w:r>
              <w:rPr>
                <w:spacing w:val="-5"/>
                <w:sz w:val="20"/>
              </w:rPr>
              <w:t> </w:t>
            </w:r>
            <w:r>
              <w:rPr>
                <w:sz w:val="20"/>
              </w:rPr>
              <w:t>on</w:t>
            </w:r>
            <w:r>
              <w:rPr>
                <w:spacing w:val="-7"/>
                <w:sz w:val="20"/>
              </w:rPr>
              <w:t> </w:t>
            </w:r>
            <w:r>
              <w:rPr>
                <w:sz w:val="20"/>
              </w:rPr>
              <w:t>defined</w:t>
            </w:r>
            <w:r>
              <w:rPr>
                <w:spacing w:val="-7"/>
                <w:sz w:val="20"/>
              </w:rPr>
              <w:t> </w:t>
            </w:r>
            <w:r>
              <w:rPr>
                <w:sz w:val="20"/>
              </w:rPr>
              <w:t>benefit</w:t>
            </w:r>
            <w:r>
              <w:rPr>
                <w:spacing w:val="-6"/>
                <w:sz w:val="20"/>
              </w:rPr>
              <w:t> </w:t>
            </w:r>
            <w:r>
              <w:rPr>
                <w:sz w:val="20"/>
              </w:rPr>
              <w:t>pension</w:t>
            </w:r>
            <w:r>
              <w:rPr>
                <w:spacing w:val="-5"/>
                <w:sz w:val="20"/>
              </w:rPr>
              <w:t> </w:t>
            </w:r>
            <w:r>
              <w:rPr>
                <w:spacing w:val="-2"/>
                <w:sz w:val="20"/>
              </w:rPr>
              <w:t>asset/(liability)</w:t>
            </w:r>
          </w:p>
        </w:tc>
        <w:tc>
          <w:tcPr>
            <w:tcW w:w="888" w:type="dxa"/>
            <w:tcBorders>
              <w:bottom w:val="single" w:sz="4" w:space="0" w:color="000000"/>
            </w:tcBorders>
          </w:tcPr>
          <w:p>
            <w:pPr>
              <w:pStyle w:val="TableParagraph"/>
              <w:spacing w:before="20"/>
              <w:ind w:right="50"/>
              <w:jc w:val="right"/>
              <w:rPr>
                <w:sz w:val="20"/>
              </w:rPr>
            </w:pPr>
            <w:r>
              <w:rPr>
                <w:spacing w:val="-5"/>
                <w:sz w:val="20"/>
              </w:rPr>
              <w:t>313</w:t>
            </w:r>
          </w:p>
        </w:tc>
        <w:tc>
          <w:tcPr>
            <w:tcW w:w="310" w:type="dxa"/>
          </w:tcPr>
          <w:p>
            <w:pPr>
              <w:pStyle w:val="TableParagraph"/>
              <w:rPr>
                <w:rFonts w:ascii="Times New Roman"/>
                <w:sz w:val="20"/>
              </w:rPr>
            </w:pPr>
          </w:p>
        </w:tc>
        <w:tc>
          <w:tcPr>
            <w:tcW w:w="1282" w:type="dxa"/>
            <w:tcBorders>
              <w:bottom w:val="single" w:sz="4" w:space="0" w:color="000000"/>
            </w:tcBorders>
          </w:tcPr>
          <w:p>
            <w:pPr>
              <w:pStyle w:val="TableParagraph"/>
              <w:spacing w:before="20"/>
              <w:ind w:right="52"/>
              <w:jc w:val="right"/>
              <w:rPr>
                <w:sz w:val="20"/>
              </w:rPr>
            </w:pPr>
            <w:r>
              <w:rPr>
                <w:spacing w:val="-2"/>
                <w:sz w:val="20"/>
              </w:rPr>
              <w:t>(398)</w:t>
            </w:r>
          </w:p>
        </w:tc>
      </w:tr>
      <w:tr>
        <w:trPr>
          <w:trHeight w:val="349" w:hRule="atLeast"/>
        </w:trPr>
        <w:tc>
          <w:tcPr>
            <w:tcW w:w="5764" w:type="dxa"/>
          </w:tcPr>
          <w:p>
            <w:pPr>
              <w:pStyle w:val="TableParagraph"/>
              <w:spacing w:line="210" w:lineRule="exact" w:before="119"/>
              <w:ind w:left="50"/>
              <w:rPr>
                <w:b/>
                <w:sz w:val="20"/>
              </w:rPr>
            </w:pPr>
            <w:r>
              <w:rPr>
                <w:b/>
                <w:spacing w:val="-2"/>
                <w:sz w:val="20"/>
              </w:rPr>
              <w:t>Total</w:t>
            </w:r>
          </w:p>
        </w:tc>
        <w:tc>
          <w:tcPr>
            <w:tcW w:w="888" w:type="dxa"/>
            <w:tcBorders>
              <w:top w:val="single" w:sz="4" w:space="0" w:color="000000"/>
              <w:bottom w:val="double" w:sz="4" w:space="0" w:color="000000"/>
            </w:tcBorders>
          </w:tcPr>
          <w:p>
            <w:pPr>
              <w:pStyle w:val="TableParagraph"/>
              <w:spacing w:line="210" w:lineRule="exact" w:before="119"/>
              <w:ind w:right="51"/>
              <w:jc w:val="right"/>
              <w:rPr>
                <w:sz w:val="20"/>
              </w:rPr>
            </w:pPr>
            <w:r>
              <w:rPr>
                <w:spacing w:val="-2"/>
                <w:sz w:val="20"/>
              </w:rPr>
              <w:t>(547)</w:t>
            </w:r>
          </w:p>
        </w:tc>
        <w:tc>
          <w:tcPr>
            <w:tcW w:w="310" w:type="dxa"/>
          </w:tcPr>
          <w:p>
            <w:pPr>
              <w:pStyle w:val="TableParagraph"/>
              <w:rPr>
                <w:rFonts w:ascii="Times New Roman"/>
                <w:sz w:val="20"/>
              </w:rPr>
            </w:pPr>
          </w:p>
        </w:tc>
        <w:tc>
          <w:tcPr>
            <w:tcW w:w="1282" w:type="dxa"/>
            <w:tcBorders>
              <w:top w:val="single" w:sz="4" w:space="0" w:color="000000"/>
              <w:bottom w:val="double" w:sz="4" w:space="0" w:color="000000"/>
            </w:tcBorders>
          </w:tcPr>
          <w:p>
            <w:pPr>
              <w:pStyle w:val="TableParagraph"/>
              <w:spacing w:line="210" w:lineRule="exact" w:before="119"/>
              <w:ind w:right="52"/>
              <w:jc w:val="right"/>
              <w:rPr>
                <w:sz w:val="20"/>
              </w:rPr>
            </w:pPr>
            <w:r>
              <w:rPr>
                <w:spacing w:val="-2"/>
                <w:sz w:val="20"/>
              </w:rPr>
              <w:t>(2,015)</w:t>
            </w:r>
          </w:p>
        </w:tc>
      </w:tr>
      <w:tr>
        <w:trPr>
          <w:trHeight w:val="535" w:hRule="atLeast"/>
        </w:trPr>
        <w:tc>
          <w:tcPr>
            <w:tcW w:w="5764" w:type="dxa"/>
          </w:tcPr>
          <w:p>
            <w:pPr>
              <w:pStyle w:val="TableParagraph"/>
              <w:spacing w:before="47"/>
              <w:rPr>
                <w:b/>
                <w:sz w:val="20"/>
              </w:rPr>
            </w:pPr>
          </w:p>
          <w:p>
            <w:pPr>
              <w:pStyle w:val="TableParagraph"/>
              <w:ind w:left="50"/>
              <w:rPr>
                <w:b/>
                <w:sz w:val="20"/>
              </w:rPr>
            </w:pPr>
            <w:r>
              <w:rPr>
                <w:b/>
                <w:sz w:val="20"/>
              </w:rPr>
              <w:t>Amount</w:t>
            </w:r>
            <w:r>
              <w:rPr>
                <w:b/>
                <w:spacing w:val="-11"/>
                <w:sz w:val="20"/>
              </w:rPr>
              <w:t> </w:t>
            </w:r>
            <w:r>
              <w:rPr>
                <w:b/>
                <w:sz w:val="20"/>
              </w:rPr>
              <w:t>recognised</w:t>
            </w:r>
            <w:r>
              <w:rPr>
                <w:b/>
                <w:spacing w:val="-9"/>
                <w:sz w:val="20"/>
              </w:rPr>
              <w:t> </w:t>
            </w:r>
            <w:r>
              <w:rPr>
                <w:b/>
                <w:sz w:val="20"/>
              </w:rPr>
              <w:t>in</w:t>
            </w:r>
            <w:r>
              <w:rPr>
                <w:b/>
                <w:spacing w:val="-9"/>
                <w:sz w:val="20"/>
              </w:rPr>
              <w:t> </w:t>
            </w:r>
            <w:r>
              <w:rPr>
                <w:b/>
                <w:sz w:val="20"/>
              </w:rPr>
              <w:t>other</w:t>
            </w:r>
            <w:r>
              <w:rPr>
                <w:b/>
                <w:spacing w:val="-10"/>
                <w:sz w:val="20"/>
              </w:rPr>
              <w:t> </w:t>
            </w:r>
            <w:r>
              <w:rPr>
                <w:b/>
                <w:sz w:val="20"/>
              </w:rPr>
              <w:t>Comprehensive</w:t>
            </w:r>
            <w:r>
              <w:rPr>
                <w:b/>
                <w:spacing w:val="-9"/>
                <w:sz w:val="20"/>
              </w:rPr>
              <w:t> </w:t>
            </w:r>
            <w:r>
              <w:rPr>
                <w:b/>
                <w:spacing w:val="-2"/>
                <w:sz w:val="20"/>
              </w:rPr>
              <w:t>Income</w:t>
            </w:r>
          </w:p>
        </w:tc>
        <w:tc>
          <w:tcPr>
            <w:tcW w:w="888" w:type="dxa"/>
            <w:tcBorders>
              <w:top w:val="double" w:sz="4" w:space="0" w:color="000000"/>
            </w:tcBorders>
          </w:tcPr>
          <w:p>
            <w:pPr>
              <w:pStyle w:val="TableParagraph"/>
              <w:rPr>
                <w:rFonts w:ascii="Times New Roman"/>
                <w:sz w:val="20"/>
              </w:rPr>
            </w:pPr>
          </w:p>
        </w:tc>
        <w:tc>
          <w:tcPr>
            <w:tcW w:w="310" w:type="dxa"/>
          </w:tcPr>
          <w:p>
            <w:pPr>
              <w:pStyle w:val="TableParagraph"/>
              <w:rPr>
                <w:rFonts w:ascii="Times New Roman"/>
                <w:sz w:val="20"/>
              </w:rPr>
            </w:pPr>
          </w:p>
        </w:tc>
        <w:tc>
          <w:tcPr>
            <w:tcW w:w="1282" w:type="dxa"/>
            <w:tcBorders>
              <w:top w:val="double" w:sz="4" w:space="0" w:color="000000"/>
            </w:tcBorders>
          </w:tcPr>
          <w:p>
            <w:pPr>
              <w:pStyle w:val="TableParagraph"/>
              <w:rPr>
                <w:rFonts w:ascii="Times New Roman"/>
                <w:sz w:val="20"/>
              </w:rPr>
            </w:pPr>
          </w:p>
        </w:tc>
      </w:tr>
      <w:tr>
        <w:trPr>
          <w:trHeight w:val="298" w:hRule="atLeast"/>
        </w:trPr>
        <w:tc>
          <w:tcPr>
            <w:tcW w:w="5764" w:type="dxa"/>
          </w:tcPr>
          <w:p>
            <w:pPr>
              <w:pStyle w:val="TableParagraph"/>
              <w:spacing w:before="20"/>
              <w:ind w:left="50"/>
              <w:rPr>
                <w:sz w:val="20"/>
              </w:rPr>
            </w:pPr>
            <w:r>
              <w:rPr>
                <w:sz w:val="20"/>
              </w:rPr>
              <w:t>Re-measurement</w:t>
            </w:r>
            <w:r>
              <w:rPr>
                <w:spacing w:val="-9"/>
                <w:sz w:val="20"/>
              </w:rPr>
              <w:t> </w:t>
            </w:r>
            <w:r>
              <w:rPr>
                <w:sz w:val="20"/>
              </w:rPr>
              <w:t>of</w:t>
            </w:r>
            <w:r>
              <w:rPr>
                <w:spacing w:val="-7"/>
                <w:sz w:val="20"/>
              </w:rPr>
              <w:t> </w:t>
            </w:r>
            <w:r>
              <w:rPr>
                <w:sz w:val="20"/>
              </w:rPr>
              <w:t>net</w:t>
            </w:r>
            <w:r>
              <w:rPr>
                <w:spacing w:val="-6"/>
                <w:sz w:val="20"/>
              </w:rPr>
              <w:t> </w:t>
            </w:r>
            <w:r>
              <w:rPr>
                <w:sz w:val="20"/>
              </w:rPr>
              <w:t>defined</w:t>
            </w:r>
            <w:r>
              <w:rPr>
                <w:spacing w:val="-9"/>
                <w:sz w:val="20"/>
              </w:rPr>
              <w:t> </w:t>
            </w:r>
            <w:r>
              <w:rPr>
                <w:sz w:val="20"/>
              </w:rPr>
              <w:t>benefit</w:t>
            </w:r>
            <w:r>
              <w:rPr>
                <w:spacing w:val="-8"/>
                <w:sz w:val="20"/>
              </w:rPr>
              <w:t> </w:t>
            </w:r>
            <w:r>
              <w:rPr>
                <w:sz w:val="20"/>
              </w:rPr>
              <w:t>pension</w:t>
            </w:r>
            <w:r>
              <w:rPr>
                <w:spacing w:val="-9"/>
                <w:sz w:val="20"/>
              </w:rPr>
              <w:t> </w:t>
            </w:r>
            <w:r>
              <w:rPr>
                <w:spacing w:val="-2"/>
                <w:sz w:val="20"/>
              </w:rPr>
              <w:t>scheme</w:t>
            </w:r>
          </w:p>
        </w:tc>
        <w:tc>
          <w:tcPr>
            <w:tcW w:w="888" w:type="dxa"/>
            <w:tcBorders>
              <w:bottom w:val="double" w:sz="4" w:space="0" w:color="000000"/>
            </w:tcBorders>
          </w:tcPr>
          <w:p>
            <w:pPr>
              <w:pStyle w:val="TableParagraph"/>
              <w:spacing w:before="20"/>
              <w:ind w:right="51"/>
              <w:jc w:val="right"/>
              <w:rPr>
                <w:sz w:val="20"/>
              </w:rPr>
            </w:pPr>
            <w:r>
              <w:rPr>
                <w:spacing w:val="-2"/>
                <w:sz w:val="20"/>
              </w:rPr>
              <w:t>(7,586)</w:t>
            </w:r>
          </w:p>
        </w:tc>
        <w:tc>
          <w:tcPr>
            <w:tcW w:w="310" w:type="dxa"/>
          </w:tcPr>
          <w:p>
            <w:pPr>
              <w:pStyle w:val="TableParagraph"/>
              <w:rPr>
                <w:rFonts w:ascii="Times New Roman"/>
                <w:sz w:val="20"/>
              </w:rPr>
            </w:pPr>
          </w:p>
        </w:tc>
        <w:tc>
          <w:tcPr>
            <w:tcW w:w="1282" w:type="dxa"/>
            <w:tcBorders>
              <w:bottom w:val="double" w:sz="4" w:space="0" w:color="000000"/>
            </w:tcBorders>
          </w:tcPr>
          <w:p>
            <w:pPr>
              <w:pStyle w:val="TableParagraph"/>
              <w:spacing w:before="20"/>
              <w:ind w:right="108"/>
              <w:jc w:val="right"/>
              <w:rPr>
                <w:sz w:val="20"/>
              </w:rPr>
            </w:pPr>
            <w:r>
              <w:rPr>
                <w:spacing w:val="-2"/>
                <w:sz w:val="20"/>
              </w:rPr>
              <w:t>32,248</w:t>
            </w:r>
          </w:p>
        </w:tc>
      </w:tr>
      <w:tr>
        <w:trPr>
          <w:trHeight w:val="535" w:hRule="atLeast"/>
        </w:trPr>
        <w:tc>
          <w:tcPr>
            <w:tcW w:w="5764" w:type="dxa"/>
          </w:tcPr>
          <w:p>
            <w:pPr>
              <w:pStyle w:val="TableParagraph"/>
              <w:rPr>
                <w:rFonts w:ascii="Times New Roman"/>
                <w:sz w:val="20"/>
              </w:rPr>
            </w:pPr>
          </w:p>
        </w:tc>
        <w:tc>
          <w:tcPr>
            <w:tcW w:w="888" w:type="dxa"/>
            <w:tcBorders>
              <w:top w:val="double" w:sz="4" w:space="0" w:color="000000"/>
            </w:tcBorders>
          </w:tcPr>
          <w:p>
            <w:pPr>
              <w:pStyle w:val="TableParagraph"/>
              <w:spacing w:before="47"/>
              <w:rPr>
                <w:b/>
                <w:sz w:val="20"/>
              </w:rPr>
            </w:pPr>
          </w:p>
          <w:p>
            <w:pPr>
              <w:pStyle w:val="TableParagraph"/>
              <w:ind w:left="336"/>
              <w:rPr>
                <w:b/>
                <w:sz w:val="20"/>
              </w:rPr>
            </w:pPr>
            <w:r>
              <w:rPr>
                <w:b/>
                <w:spacing w:val="-4"/>
                <w:sz w:val="20"/>
              </w:rPr>
              <w:t>2023</w:t>
            </w:r>
          </w:p>
        </w:tc>
        <w:tc>
          <w:tcPr>
            <w:tcW w:w="310" w:type="dxa"/>
          </w:tcPr>
          <w:p>
            <w:pPr>
              <w:pStyle w:val="TableParagraph"/>
              <w:rPr>
                <w:rFonts w:ascii="Times New Roman"/>
                <w:sz w:val="20"/>
              </w:rPr>
            </w:pPr>
          </w:p>
        </w:tc>
        <w:tc>
          <w:tcPr>
            <w:tcW w:w="1282" w:type="dxa"/>
            <w:tcBorders>
              <w:top w:val="double" w:sz="4" w:space="0" w:color="000000"/>
            </w:tcBorders>
          </w:tcPr>
          <w:p>
            <w:pPr>
              <w:pStyle w:val="TableParagraph"/>
              <w:spacing w:before="47"/>
              <w:rPr>
                <w:b/>
                <w:sz w:val="20"/>
              </w:rPr>
            </w:pPr>
          </w:p>
          <w:p>
            <w:pPr>
              <w:pStyle w:val="TableParagraph"/>
              <w:ind w:right="108"/>
              <w:jc w:val="right"/>
              <w:rPr>
                <w:b/>
                <w:sz w:val="20"/>
              </w:rPr>
            </w:pPr>
            <w:r>
              <w:rPr>
                <w:b/>
                <w:spacing w:val="-4"/>
                <w:sz w:val="20"/>
              </w:rPr>
              <w:t>2022</w:t>
            </w:r>
          </w:p>
        </w:tc>
      </w:tr>
      <w:tr>
        <w:trPr>
          <w:trHeight w:val="278" w:hRule="atLeast"/>
        </w:trPr>
        <w:tc>
          <w:tcPr>
            <w:tcW w:w="5764" w:type="dxa"/>
          </w:tcPr>
          <w:p>
            <w:pPr>
              <w:pStyle w:val="TableParagraph"/>
              <w:rPr>
                <w:rFonts w:ascii="Times New Roman"/>
                <w:sz w:val="20"/>
              </w:rPr>
            </w:pPr>
          </w:p>
        </w:tc>
        <w:tc>
          <w:tcPr>
            <w:tcW w:w="888" w:type="dxa"/>
          </w:tcPr>
          <w:p>
            <w:pPr>
              <w:pStyle w:val="TableParagraph"/>
              <w:spacing w:before="20"/>
              <w:ind w:left="278"/>
              <w:rPr>
                <w:b/>
                <w:sz w:val="20"/>
              </w:rPr>
            </w:pPr>
            <w:r>
              <w:rPr>
                <w:b/>
                <w:spacing w:val="-2"/>
                <w:sz w:val="20"/>
              </w:rPr>
              <w:t>£’000</w:t>
            </w:r>
          </w:p>
        </w:tc>
        <w:tc>
          <w:tcPr>
            <w:tcW w:w="310" w:type="dxa"/>
          </w:tcPr>
          <w:p>
            <w:pPr>
              <w:pStyle w:val="TableParagraph"/>
              <w:rPr>
                <w:rFonts w:ascii="Times New Roman"/>
                <w:sz w:val="20"/>
              </w:rPr>
            </w:pPr>
          </w:p>
        </w:tc>
        <w:tc>
          <w:tcPr>
            <w:tcW w:w="1282" w:type="dxa"/>
          </w:tcPr>
          <w:p>
            <w:pPr>
              <w:pStyle w:val="TableParagraph"/>
              <w:spacing w:before="20"/>
              <w:ind w:right="108"/>
              <w:jc w:val="right"/>
              <w:rPr>
                <w:b/>
                <w:sz w:val="20"/>
              </w:rPr>
            </w:pPr>
            <w:r>
              <w:rPr>
                <w:b/>
                <w:spacing w:val="-2"/>
                <w:sz w:val="20"/>
              </w:rPr>
              <w:t>£’000</w:t>
            </w:r>
          </w:p>
        </w:tc>
      </w:tr>
      <w:tr>
        <w:trPr>
          <w:trHeight w:val="349" w:hRule="atLeast"/>
        </w:trPr>
        <w:tc>
          <w:tcPr>
            <w:tcW w:w="5764" w:type="dxa"/>
          </w:tcPr>
          <w:p>
            <w:pPr>
              <w:pStyle w:val="TableParagraph"/>
              <w:spacing w:before="20"/>
              <w:ind w:left="50"/>
              <w:rPr>
                <w:b/>
                <w:sz w:val="20"/>
              </w:rPr>
            </w:pPr>
            <w:r>
              <w:rPr>
                <w:b/>
                <w:sz w:val="20"/>
              </w:rPr>
              <w:t>Changes</w:t>
            </w:r>
            <w:r>
              <w:rPr>
                <w:b/>
                <w:spacing w:val="-7"/>
                <w:sz w:val="20"/>
              </w:rPr>
              <w:t> </w:t>
            </w:r>
            <w:r>
              <w:rPr>
                <w:b/>
                <w:sz w:val="20"/>
              </w:rPr>
              <w:t>in</w:t>
            </w:r>
            <w:r>
              <w:rPr>
                <w:b/>
                <w:spacing w:val="-6"/>
                <w:sz w:val="20"/>
              </w:rPr>
              <w:t> </w:t>
            </w:r>
            <w:r>
              <w:rPr>
                <w:b/>
                <w:sz w:val="20"/>
              </w:rPr>
              <w:t>the</w:t>
            </w:r>
            <w:r>
              <w:rPr>
                <w:b/>
                <w:spacing w:val="-6"/>
                <w:sz w:val="20"/>
              </w:rPr>
              <w:t> </w:t>
            </w:r>
            <w:r>
              <w:rPr>
                <w:b/>
                <w:sz w:val="20"/>
              </w:rPr>
              <w:t>present</w:t>
            </w:r>
            <w:r>
              <w:rPr>
                <w:b/>
                <w:spacing w:val="-6"/>
                <w:sz w:val="20"/>
              </w:rPr>
              <w:t> </w:t>
            </w:r>
            <w:r>
              <w:rPr>
                <w:b/>
                <w:sz w:val="20"/>
              </w:rPr>
              <w:t>value</w:t>
            </w:r>
            <w:r>
              <w:rPr>
                <w:b/>
                <w:spacing w:val="-7"/>
                <w:sz w:val="20"/>
              </w:rPr>
              <w:t> </w:t>
            </w:r>
            <w:r>
              <w:rPr>
                <w:b/>
                <w:sz w:val="20"/>
              </w:rPr>
              <w:t>of</w:t>
            </w:r>
            <w:r>
              <w:rPr>
                <w:b/>
                <w:spacing w:val="-5"/>
                <w:sz w:val="20"/>
              </w:rPr>
              <w:t> </w:t>
            </w:r>
            <w:r>
              <w:rPr>
                <w:b/>
                <w:sz w:val="20"/>
              </w:rPr>
              <w:t>defined</w:t>
            </w:r>
            <w:r>
              <w:rPr>
                <w:b/>
                <w:spacing w:val="-6"/>
                <w:sz w:val="20"/>
              </w:rPr>
              <w:t> </w:t>
            </w:r>
            <w:r>
              <w:rPr>
                <w:b/>
                <w:sz w:val="20"/>
              </w:rPr>
              <w:t>benefit</w:t>
            </w:r>
            <w:r>
              <w:rPr>
                <w:b/>
                <w:spacing w:val="-6"/>
                <w:sz w:val="20"/>
              </w:rPr>
              <w:t> </w:t>
            </w:r>
            <w:r>
              <w:rPr>
                <w:b/>
                <w:spacing w:val="-2"/>
                <w:sz w:val="20"/>
              </w:rPr>
              <w:t>obligations</w:t>
            </w:r>
          </w:p>
        </w:tc>
        <w:tc>
          <w:tcPr>
            <w:tcW w:w="888" w:type="dxa"/>
          </w:tcPr>
          <w:p>
            <w:pPr>
              <w:pStyle w:val="TableParagraph"/>
              <w:rPr>
                <w:rFonts w:ascii="Times New Roman"/>
                <w:sz w:val="20"/>
              </w:rPr>
            </w:pPr>
          </w:p>
        </w:tc>
        <w:tc>
          <w:tcPr>
            <w:tcW w:w="310" w:type="dxa"/>
          </w:tcPr>
          <w:p>
            <w:pPr>
              <w:pStyle w:val="TableParagraph"/>
              <w:rPr>
                <w:rFonts w:ascii="Times New Roman"/>
                <w:sz w:val="20"/>
              </w:rPr>
            </w:pPr>
          </w:p>
        </w:tc>
        <w:tc>
          <w:tcPr>
            <w:tcW w:w="1282" w:type="dxa"/>
          </w:tcPr>
          <w:p>
            <w:pPr>
              <w:pStyle w:val="TableParagraph"/>
              <w:rPr>
                <w:rFonts w:ascii="Times New Roman"/>
                <w:sz w:val="20"/>
              </w:rPr>
            </w:pPr>
          </w:p>
        </w:tc>
      </w:tr>
      <w:tr>
        <w:trPr>
          <w:trHeight w:val="349" w:hRule="atLeast"/>
        </w:trPr>
        <w:tc>
          <w:tcPr>
            <w:tcW w:w="5764" w:type="dxa"/>
          </w:tcPr>
          <w:p>
            <w:pPr>
              <w:pStyle w:val="TableParagraph"/>
              <w:spacing w:before="91"/>
              <w:ind w:left="50"/>
              <w:rPr>
                <w:b/>
                <w:sz w:val="20"/>
              </w:rPr>
            </w:pPr>
            <w:r>
              <w:rPr>
                <w:b/>
                <w:sz w:val="20"/>
              </w:rPr>
              <w:t>Defined</w:t>
            </w:r>
            <w:r>
              <w:rPr>
                <w:b/>
                <w:spacing w:val="-7"/>
                <w:sz w:val="20"/>
              </w:rPr>
              <w:t> </w:t>
            </w:r>
            <w:r>
              <w:rPr>
                <w:b/>
                <w:sz w:val="20"/>
              </w:rPr>
              <w:t>benefit</w:t>
            </w:r>
            <w:r>
              <w:rPr>
                <w:b/>
                <w:spacing w:val="-7"/>
                <w:sz w:val="20"/>
              </w:rPr>
              <w:t> </w:t>
            </w:r>
            <w:r>
              <w:rPr>
                <w:b/>
                <w:sz w:val="20"/>
              </w:rPr>
              <w:t>obligations</w:t>
            </w:r>
            <w:r>
              <w:rPr>
                <w:b/>
                <w:spacing w:val="-8"/>
                <w:sz w:val="20"/>
              </w:rPr>
              <w:t> </w:t>
            </w:r>
            <w:r>
              <w:rPr>
                <w:b/>
                <w:sz w:val="20"/>
              </w:rPr>
              <w:t>at</w:t>
            </w:r>
            <w:r>
              <w:rPr>
                <w:b/>
                <w:spacing w:val="-6"/>
                <w:sz w:val="20"/>
              </w:rPr>
              <w:t> </w:t>
            </w:r>
            <w:r>
              <w:rPr>
                <w:b/>
                <w:sz w:val="20"/>
              </w:rPr>
              <w:t>start</w:t>
            </w:r>
            <w:r>
              <w:rPr>
                <w:b/>
                <w:spacing w:val="-7"/>
                <w:sz w:val="20"/>
              </w:rPr>
              <w:t> </w:t>
            </w:r>
            <w:r>
              <w:rPr>
                <w:b/>
                <w:sz w:val="20"/>
              </w:rPr>
              <w:t>of</w:t>
            </w:r>
            <w:r>
              <w:rPr>
                <w:b/>
                <w:spacing w:val="-7"/>
                <w:sz w:val="20"/>
              </w:rPr>
              <w:t> </w:t>
            </w:r>
            <w:r>
              <w:rPr>
                <w:b/>
                <w:spacing w:val="-2"/>
                <w:sz w:val="20"/>
              </w:rPr>
              <w:t>period</w:t>
            </w:r>
          </w:p>
        </w:tc>
        <w:tc>
          <w:tcPr>
            <w:tcW w:w="888" w:type="dxa"/>
          </w:tcPr>
          <w:p>
            <w:pPr>
              <w:pStyle w:val="TableParagraph"/>
              <w:spacing w:before="91"/>
              <w:ind w:left="168"/>
              <w:rPr>
                <w:sz w:val="20"/>
              </w:rPr>
            </w:pPr>
            <w:r>
              <w:rPr>
                <w:spacing w:val="-2"/>
                <w:sz w:val="20"/>
              </w:rPr>
              <w:t>81,439</w:t>
            </w:r>
          </w:p>
        </w:tc>
        <w:tc>
          <w:tcPr>
            <w:tcW w:w="310" w:type="dxa"/>
          </w:tcPr>
          <w:p>
            <w:pPr>
              <w:pStyle w:val="TableParagraph"/>
              <w:rPr>
                <w:rFonts w:ascii="Times New Roman"/>
                <w:sz w:val="20"/>
              </w:rPr>
            </w:pPr>
          </w:p>
        </w:tc>
        <w:tc>
          <w:tcPr>
            <w:tcW w:w="1282" w:type="dxa"/>
          </w:tcPr>
          <w:p>
            <w:pPr>
              <w:pStyle w:val="TableParagraph"/>
              <w:spacing w:before="91"/>
              <w:ind w:right="108"/>
              <w:jc w:val="right"/>
              <w:rPr>
                <w:sz w:val="20"/>
              </w:rPr>
            </w:pPr>
            <w:r>
              <w:rPr>
                <w:spacing w:val="-2"/>
                <w:sz w:val="20"/>
              </w:rPr>
              <w:t>111,571</w:t>
            </w:r>
          </w:p>
        </w:tc>
      </w:tr>
      <w:tr>
        <w:trPr>
          <w:trHeight w:val="278" w:hRule="atLeast"/>
        </w:trPr>
        <w:tc>
          <w:tcPr>
            <w:tcW w:w="5764" w:type="dxa"/>
          </w:tcPr>
          <w:p>
            <w:pPr>
              <w:pStyle w:val="TableParagraph"/>
              <w:spacing w:before="20"/>
              <w:ind w:left="50"/>
              <w:rPr>
                <w:sz w:val="20"/>
              </w:rPr>
            </w:pPr>
            <w:r>
              <w:rPr>
                <w:sz w:val="20"/>
              </w:rPr>
              <w:t>Current</w:t>
            </w:r>
            <w:r>
              <w:rPr>
                <w:spacing w:val="-11"/>
                <w:sz w:val="20"/>
              </w:rPr>
              <w:t> </w:t>
            </w:r>
            <w:r>
              <w:rPr>
                <w:sz w:val="20"/>
              </w:rPr>
              <w:t>service</w:t>
            </w:r>
            <w:r>
              <w:rPr>
                <w:spacing w:val="-9"/>
                <w:sz w:val="20"/>
              </w:rPr>
              <w:t> </w:t>
            </w:r>
            <w:r>
              <w:rPr>
                <w:spacing w:val="-4"/>
                <w:sz w:val="20"/>
              </w:rPr>
              <w:t>cost</w:t>
            </w:r>
          </w:p>
        </w:tc>
        <w:tc>
          <w:tcPr>
            <w:tcW w:w="888" w:type="dxa"/>
          </w:tcPr>
          <w:p>
            <w:pPr>
              <w:pStyle w:val="TableParagraph"/>
              <w:spacing w:before="20"/>
              <w:ind w:right="108"/>
              <w:jc w:val="right"/>
              <w:rPr>
                <w:sz w:val="20"/>
              </w:rPr>
            </w:pPr>
            <w:r>
              <w:rPr>
                <w:spacing w:val="-5"/>
                <w:sz w:val="20"/>
              </w:rPr>
              <w:t>860</w:t>
            </w:r>
          </w:p>
        </w:tc>
        <w:tc>
          <w:tcPr>
            <w:tcW w:w="310" w:type="dxa"/>
          </w:tcPr>
          <w:p>
            <w:pPr>
              <w:pStyle w:val="TableParagraph"/>
              <w:rPr>
                <w:rFonts w:ascii="Times New Roman"/>
                <w:sz w:val="20"/>
              </w:rPr>
            </w:pPr>
          </w:p>
        </w:tc>
        <w:tc>
          <w:tcPr>
            <w:tcW w:w="1282" w:type="dxa"/>
          </w:tcPr>
          <w:p>
            <w:pPr>
              <w:pStyle w:val="TableParagraph"/>
              <w:spacing w:before="20"/>
              <w:ind w:right="108"/>
              <w:jc w:val="right"/>
              <w:rPr>
                <w:sz w:val="20"/>
              </w:rPr>
            </w:pPr>
            <w:r>
              <w:rPr>
                <w:spacing w:val="-2"/>
                <w:sz w:val="20"/>
              </w:rPr>
              <w:t>1,609</w:t>
            </w:r>
          </w:p>
        </w:tc>
      </w:tr>
      <w:tr>
        <w:trPr>
          <w:trHeight w:val="278" w:hRule="atLeast"/>
        </w:trPr>
        <w:tc>
          <w:tcPr>
            <w:tcW w:w="5764" w:type="dxa"/>
          </w:tcPr>
          <w:p>
            <w:pPr>
              <w:pStyle w:val="TableParagraph"/>
              <w:spacing w:before="20"/>
              <w:ind w:left="50"/>
              <w:rPr>
                <w:sz w:val="20"/>
              </w:rPr>
            </w:pPr>
            <w:r>
              <w:rPr>
                <w:sz w:val="20"/>
              </w:rPr>
              <w:t>Past</w:t>
            </w:r>
            <w:r>
              <w:rPr>
                <w:spacing w:val="-7"/>
                <w:sz w:val="20"/>
              </w:rPr>
              <w:t> </w:t>
            </w:r>
            <w:r>
              <w:rPr>
                <w:sz w:val="20"/>
              </w:rPr>
              <w:t>service</w:t>
            </w:r>
            <w:r>
              <w:rPr>
                <w:spacing w:val="-7"/>
                <w:sz w:val="20"/>
              </w:rPr>
              <w:t> </w:t>
            </w:r>
            <w:r>
              <w:rPr>
                <w:spacing w:val="-4"/>
                <w:sz w:val="20"/>
              </w:rPr>
              <w:t>cost</w:t>
            </w:r>
          </w:p>
        </w:tc>
        <w:tc>
          <w:tcPr>
            <w:tcW w:w="888" w:type="dxa"/>
          </w:tcPr>
          <w:p>
            <w:pPr>
              <w:pStyle w:val="TableParagraph"/>
              <w:spacing w:before="20"/>
              <w:ind w:right="106"/>
              <w:jc w:val="right"/>
              <w:rPr>
                <w:sz w:val="20"/>
              </w:rPr>
            </w:pPr>
            <w:r>
              <w:rPr>
                <w:spacing w:val="-10"/>
                <w:sz w:val="20"/>
              </w:rPr>
              <w:t>-</w:t>
            </w:r>
          </w:p>
        </w:tc>
        <w:tc>
          <w:tcPr>
            <w:tcW w:w="310" w:type="dxa"/>
          </w:tcPr>
          <w:p>
            <w:pPr>
              <w:pStyle w:val="TableParagraph"/>
              <w:rPr>
                <w:rFonts w:ascii="Times New Roman"/>
                <w:sz w:val="20"/>
              </w:rPr>
            </w:pPr>
          </w:p>
        </w:tc>
        <w:tc>
          <w:tcPr>
            <w:tcW w:w="1282" w:type="dxa"/>
          </w:tcPr>
          <w:p>
            <w:pPr>
              <w:pStyle w:val="TableParagraph"/>
              <w:spacing w:before="20"/>
              <w:ind w:right="106"/>
              <w:jc w:val="right"/>
              <w:rPr>
                <w:sz w:val="20"/>
              </w:rPr>
            </w:pPr>
            <w:r>
              <w:rPr>
                <w:spacing w:val="-10"/>
                <w:sz w:val="20"/>
              </w:rPr>
              <w:t>8</w:t>
            </w:r>
          </w:p>
        </w:tc>
      </w:tr>
      <w:tr>
        <w:trPr>
          <w:trHeight w:val="277" w:hRule="atLeast"/>
        </w:trPr>
        <w:tc>
          <w:tcPr>
            <w:tcW w:w="5764" w:type="dxa"/>
          </w:tcPr>
          <w:p>
            <w:pPr>
              <w:pStyle w:val="TableParagraph"/>
              <w:spacing w:before="20"/>
              <w:ind w:left="50"/>
              <w:rPr>
                <w:sz w:val="20"/>
              </w:rPr>
            </w:pPr>
            <w:r>
              <w:rPr>
                <w:sz w:val="20"/>
              </w:rPr>
              <w:t>Interest</w:t>
            </w:r>
            <w:r>
              <w:rPr>
                <w:spacing w:val="-12"/>
                <w:sz w:val="20"/>
              </w:rPr>
              <w:t> </w:t>
            </w:r>
            <w:r>
              <w:rPr>
                <w:spacing w:val="-4"/>
                <w:sz w:val="20"/>
              </w:rPr>
              <w:t>cost</w:t>
            </w:r>
          </w:p>
        </w:tc>
        <w:tc>
          <w:tcPr>
            <w:tcW w:w="888" w:type="dxa"/>
          </w:tcPr>
          <w:p>
            <w:pPr>
              <w:pStyle w:val="TableParagraph"/>
              <w:spacing w:before="20"/>
              <w:ind w:left="278"/>
              <w:rPr>
                <w:sz w:val="20"/>
              </w:rPr>
            </w:pPr>
            <w:r>
              <w:rPr>
                <w:spacing w:val="-2"/>
                <w:sz w:val="20"/>
              </w:rPr>
              <w:t>2,830</w:t>
            </w:r>
          </w:p>
        </w:tc>
        <w:tc>
          <w:tcPr>
            <w:tcW w:w="310" w:type="dxa"/>
          </w:tcPr>
          <w:p>
            <w:pPr>
              <w:pStyle w:val="TableParagraph"/>
              <w:rPr>
                <w:rFonts w:ascii="Times New Roman"/>
                <w:sz w:val="20"/>
              </w:rPr>
            </w:pPr>
          </w:p>
        </w:tc>
        <w:tc>
          <w:tcPr>
            <w:tcW w:w="1282" w:type="dxa"/>
          </w:tcPr>
          <w:p>
            <w:pPr>
              <w:pStyle w:val="TableParagraph"/>
              <w:spacing w:before="20"/>
              <w:ind w:right="108"/>
              <w:jc w:val="right"/>
              <w:rPr>
                <w:sz w:val="20"/>
              </w:rPr>
            </w:pPr>
            <w:r>
              <w:rPr>
                <w:spacing w:val="-2"/>
                <w:sz w:val="20"/>
              </w:rPr>
              <w:t>1,839</w:t>
            </w:r>
          </w:p>
        </w:tc>
      </w:tr>
      <w:tr>
        <w:trPr>
          <w:trHeight w:val="277" w:hRule="atLeast"/>
        </w:trPr>
        <w:tc>
          <w:tcPr>
            <w:tcW w:w="5764" w:type="dxa"/>
          </w:tcPr>
          <w:p>
            <w:pPr>
              <w:pStyle w:val="TableParagraph"/>
              <w:spacing w:before="19"/>
              <w:ind w:left="50"/>
              <w:rPr>
                <w:sz w:val="20"/>
              </w:rPr>
            </w:pPr>
            <w:r>
              <w:rPr>
                <w:sz w:val="20"/>
              </w:rPr>
              <w:t>Contributions</w:t>
            </w:r>
            <w:r>
              <w:rPr>
                <w:spacing w:val="-7"/>
                <w:sz w:val="20"/>
              </w:rPr>
              <w:t> </w:t>
            </w:r>
            <w:r>
              <w:rPr>
                <w:sz w:val="20"/>
              </w:rPr>
              <w:t>by</w:t>
            </w:r>
            <w:r>
              <w:rPr>
                <w:spacing w:val="-10"/>
                <w:sz w:val="20"/>
              </w:rPr>
              <w:t> </w:t>
            </w:r>
            <w:r>
              <w:rPr>
                <w:sz w:val="20"/>
              </w:rPr>
              <w:t>scheme</w:t>
            </w:r>
            <w:r>
              <w:rPr>
                <w:spacing w:val="-8"/>
                <w:sz w:val="20"/>
              </w:rPr>
              <w:t> </w:t>
            </w:r>
            <w:r>
              <w:rPr>
                <w:spacing w:val="-2"/>
                <w:sz w:val="20"/>
              </w:rPr>
              <w:t>participants</w:t>
            </w:r>
          </w:p>
        </w:tc>
        <w:tc>
          <w:tcPr>
            <w:tcW w:w="888" w:type="dxa"/>
          </w:tcPr>
          <w:p>
            <w:pPr>
              <w:pStyle w:val="TableParagraph"/>
              <w:spacing w:before="19"/>
              <w:ind w:right="108"/>
              <w:jc w:val="right"/>
              <w:rPr>
                <w:sz w:val="20"/>
              </w:rPr>
            </w:pPr>
            <w:r>
              <w:rPr>
                <w:spacing w:val="-5"/>
                <w:sz w:val="20"/>
              </w:rPr>
              <w:t>193</w:t>
            </w:r>
          </w:p>
        </w:tc>
        <w:tc>
          <w:tcPr>
            <w:tcW w:w="310" w:type="dxa"/>
          </w:tcPr>
          <w:p>
            <w:pPr>
              <w:pStyle w:val="TableParagraph"/>
              <w:rPr>
                <w:rFonts w:ascii="Times New Roman"/>
                <w:sz w:val="20"/>
              </w:rPr>
            </w:pPr>
          </w:p>
        </w:tc>
        <w:tc>
          <w:tcPr>
            <w:tcW w:w="1282" w:type="dxa"/>
          </w:tcPr>
          <w:p>
            <w:pPr>
              <w:pStyle w:val="TableParagraph"/>
              <w:spacing w:before="19"/>
              <w:ind w:right="108"/>
              <w:jc w:val="right"/>
              <w:rPr>
                <w:sz w:val="20"/>
              </w:rPr>
            </w:pPr>
            <w:r>
              <w:rPr>
                <w:spacing w:val="-5"/>
                <w:sz w:val="20"/>
              </w:rPr>
              <w:t>196</w:t>
            </w:r>
          </w:p>
        </w:tc>
      </w:tr>
      <w:tr>
        <w:trPr>
          <w:trHeight w:val="278" w:hRule="atLeast"/>
        </w:trPr>
        <w:tc>
          <w:tcPr>
            <w:tcW w:w="5764" w:type="dxa"/>
          </w:tcPr>
          <w:p>
            <w:pPr>
              <w:pStyle w:val="TableParagraph"/>
              <w:spacing w:before="20"/>
              <w:ind w:left="50"/>
              <w:rPr>
                <w:sz w:val="20"/>
              </w:rPr>
            </w:pPr>
            <w:r>
              <w:rPr>
                <w:sz w:val="20"/>
              </w:rPr>
              <w:t>Actuarial</w:t>
            </w:r>
            <w:r>
              <w:rPr>
                <w:spacing w:val="-11"/>
                <w:sz w:val="20"/>
              </w:rPr>
              <w:t> </w:t>
            </w:r>
            <w:r>
              <w:rPr>
                <w:spacing w:val="-4"/>
                <w:sz w:val="20"/>
              </w:rPr>
              <w:t>gain</w:t>
            </w:r>
          </w:p>
        </w:tc>
        <w:tc>
          <w:tcPr>
            <w:tcW w:w="888" w:type="dxa"/>
          </w:tcPr>
          <w:p>
            <w:pPr>
              <w:pStyle w:val="TableParagraph"/>
              <w:spacing w:before="20"/>
              <w:ind w:right="49"/>
              <w:jc w:val="right"/>
              <w:rPr>
                <w:sz w:val="20"/>
              </w:rPr>
            </w:pPr>
            <w:r>
              <w:rPr>
                <w:spacing w:val="-2"/>
                <w:sz w:val="20"/>
              </w:rPr>
              <w:t>(17,968)</w:t>
            </w:r>
          </w:p>
        </w:tc>
        <w:tc>
          <w:tcPr>
            <w:tcW w:w="310" w:type="dxa"/>
          </w:tcPr>
          <w:p>
            <w:pPr>
              <w:pStyle w:val="TableParagraph"/>
              <w:rPr>
                <w:rFonts w:ascii="Times New Roman"/>
                <w:sz w:val="20"/>
              </w:rPr>
            </w:pPr>
          </w:p>
        </w:tc>
        <w:tc>
          <w:tcPr>
            <w:tcW w:w="1282" w:type="dxa"/>
          </w:tcPr>
          <w:p>
            <w:pPr>
              <w:pStyle w:val="TableParagraph"/>
              <w:spacing w:before="20"/>
              <w:ind w:right="50"/>
              <w:jc w:val="right"/>
              <w:rPr>
                <w:sz w:val="20"/>
              </w:rPr>
            </w:pPr>
            <w:r>
              <w:rPr>
                <w:spacing w:val="-2"/>
                <w:sz w:val="20"/>
              </w:rPr>
              <w:t>(31,918)</w:t>
            </w:r>
          </w:p>
        </w:tc>
      </w:tr>
      <w:tr>
        <w:trPr>
          <w:trHeight w:val="299" w:hRule="atLeast"/>
        </w:trPr>
        <w:tc>
          <w:tcPr>
            <w:tcW w:w="5764" w:type="dxa"/>
          </w:tcPr>
          <w:p>
            <w:pPr>
              <w:pStyle w:val="TableParagraph"/>
              <w:spacing w:before="20"/>
              <w:ind w:left="50"/>
              <w:rPr>
                <w:sz w:val="20"/>
              </w:rPr>
            </w:pPr>
            <w:r>
              <w:rPr>
                <w:sz w:val="20"/>
              </w:rPr>
              <w:t>Benefits</w:t>
            </w:r>
            <w:r>
              <w:rPr>
                <w:spacing w:val="-10"/>
                <w:sz w:val="20"/>
              </w:rPr>
              <w:t> </w:t>
            </w:r>
            <w:r>
              <w:rPr>
                <w:spacing w:val="-4"/>
                <w:sz w:val="20"/>
              </w:rPr>
              <w:t>paid</w:t>
            </w:r>
          </w:p>
        </w:tc>
        <w:tc>
          <w:tcPr>
            <w:tcW w:w="888" w:type="dxa"/>
            <w:tcBorders>
              <w:bottom w:val="single" w:sz="4" w:space="0" w:color="000000"/>
            </w:tcBorders>
          </w:tcPr>
          <w:p>
            <w:pPr>
              <w:pStyle w:val="TableParagraph"/>
              <w:spacing w:before="20"/>
              <w:ind w:right="51"/>
              <w:jc w:val="right"/>
              <w:rPr>
                <w:sz w:val="20"/>
              </w:rPr>
            </w:pPr>
            <w:r>
              <w:rPr>
                <w:spacing w:val="-2"/>
                <w:sz w:val="20"/>
              </w:rPr>
              <w:t>(2,112)</w:t>
            </w:r>
          </w:p>
        </w:tc>
        <w:tc>
          <w:tcPr>
            <w:tcW w:w="310" w:type="dxa"/>
          </w:tcPr>
          <w:p>
            <w:pPr>
              <w:pStyle w:val="TableParagraph"/>
              <w:rPr>
                <w:rFonts w:ascii="Times New Roman"/>
                <w:sz w:val="20"/>
              </w:rPr>
            </w:pPr>
          </w:p>
        </w:tc>
        <w:tc>
          <w:tcPr>
            <w:tcW w:w="1282" w:type="dxa"/>
            <w:tcBorders>
              <w:bottom w:val="single" w:sz="4" w:space="0" w:color="000000"/>
            </w:tcBorders>
          </w:tcPr>
          <w:p>
            <w:pPr>
              <w:pStyle w:val="TableParagraph"/>
              <w:spacing w:before="20"/>
              <w:ind w:right="52"/>
              <w:jc w:val="right"/>
              <w:rPr>
                <w:sz w:val="20"/>
              </w:rPr>
            </w:pPr>
            <w:r>
              <w:rPr>
                <w:spacing w:val="-2"/>
                <w:sz w:val="20"/>
              </w:rPr>
              <w:t>(1,866)</w:t>
            </w:r>
          </w:p>
        </w:tc>
      </w:tr>
      <w:tr>
        <w:trPr>
          <w:trHeight w:val="349" w:hRule="atLeast"/>
        </w:trPr>
        <w:tc>
          <w:tcPr>
            <w:tcW w:w="5764" w:type="dxa"/>
          </w:tcPr>
          <w:p>
            <w:pPr>
              <w:pStyle w:val="TableParagraph"/>
              <w:spacing w:line="210" w:lineRule="exact" w:before="119"/>
              <w:ind w:left="50"/>
              <w:rPr>
                <w:b/>
                <w:sz w:val="20"/>
              </w:rPr>
            </w:pPr>
            <w:r>
              <w:rPr>
                <w:b/>
                <w:sz w:val="20"/>
              </w:rPr>
              <w:t>Defined</w:t>
            </w:r>
            <w:r>
              <w:rPr>
                <w:b/>
                <w:spacing w:val="-7"/>
                <w:sz w:val="20"/>
              </w:rPr>
              <w:t> </w:t>
            </w:r>
            <w:r>
              <w:rPr>
                <w:b/>
                <w:sz w:val="20"/>
              </w:rPr>
              <w:t>benefit</w:t>
            </w:r>
            <w:r>
              <w:rPr>
                <w:b/>
                <w:spacing w:val="-7"/>
                <w:sz w:val="20"/>
              </w:rPr>
              <w:t> </w:t>
            </w:r>
            <w:r>
              <w:rPr>
                <w:b/>
                <w:sz w:val="20"/>
              </w:rPr>
              <w:t>obligations</w:t>
            </w:r>
            <w:r>
              <w:rPr>
                <w:b/>
                <w:spacing w:val="-8"/>
                <w:sz w:val="20"/>
              </w:rPr>
              <w:t> </w:t>
            </w:r>
            <w:r>
              <w:rPr>
                <w:b/>
                <w:sz w:val="20"/>
              </w:rPr>
              <w:t>at</w:t>
            </w:r>
            <w:r>
              <w:rPr>
                <w:b/>
                <w:spacing w:val="-7"/>
                <w:sz w:val="20"/>
              </w:rPr>
              <w:t> </w:t>
            </w:r>
            <w:r>
              <w:rPr>
                <w:b/>
                <w:sz w:val="20"/>
              </w:rPr>
              <w:t>end</w:t>
            </w:r>
            <w:r>
              <w:rPr>
                <w:b/>
                <w:spacing w:val="-6"/>
                <w:sz w:val="20"/>
              </w:rPr>
              <w:t> </w:t>
            </w:r>
            <w:r>
              <w:rPr>
                <w:b/>
                <w:sz w:val="20"/>
              </w:rPr>
              <w:t>of</w:t>
            </w:r>
            <w:r>
              <w:rPr>
                <w:b/>
                <w:spacing w:val="-7"/>
                <w:sz w:val="20"/>
              </w:rPr>
              <w:t> </w:t>
            </w:r>
            <w:r>
              <w:rPr>
                <w:b/>
                <w:spacing w:val="-2"/>
                <w:sz w:val="20"/>
              </w:rPr>
              <w:t>period</w:t>
            </w:r>
          </w:p>
        </w:tc>
        <w:tc>
          <w:tcPr>
            <w:tcW w:w="888" w:type="dxa"/>
            <w:tcBorders>
              <w:top w:val="single" w:sz="4" w:space="0" w:color="000000"/>
              <w:bottom w:val="double" w:sz="4" w:space="0" w:color="000000"/>
            </w:tcBorders>
          </w:tcPr>
          <w:p>
            <w:pPr>
              <w:pStyle w:val="TableParagraph"/>
              <w:spacing w:line="210" w:lineRule="exact" w:before="119"/>
              <w:ind w:left="168"/>
              <w:rPr>
                <w:sz w:val="20"/>
              </w:rPr>
            </w:pPr>
            <w:r>
              <w:rPr>
                <w:spacing w:val="-2"/>
                <w:sz w:val="20"/>
              </w:rPr>
              <w:t>65,242</w:t>
            </w:r>
          </w:p>
        </w:tc>
        <w:tc>
          <w:tcPr>
            <w:tcW w:w="310" w:type="dxa"/>
          </w:tcPr>
          <w:p>
            <w:pPr>
              <w:pStyle w:val="TableParagraph"/>
              <w:rPr>
                <w:rFonts w:ascii="Times New Roman"/>
                <w:sz w:val="20"/>
              </w:rPr>
            </w:pPr>
          </w:p>
        </w:tc>
        <w:tc>
          <w:tcPr>
            <w:tcW w:w="1282" w:type="dxa"/>
            <w:tcBorders>
              <w:top w:val="single" w:sz="4" w:space="0" w:color="000000"/>
              <w:bottom w:val="double" w:sz="4" w:space="0" w:color="000000"/>
            </w:tcBorders>
          </w:tcPr>
          <w:p>
            <w:pPr>
              <w:pStyle w:val="TableParagraph"/>
              <w:spacing w:line="210" w:lineRule="exact" w:before="119"/>
              <w:ind w:right="108"/>
              <w:jc w:val="right"/>
              <w:rPr>
                <w:sz w:val="20"/>
              </w:rPr>
            </w:pPr>
            <w:r>
              <w:rPr>
                <w:spacing w:val="-2"/>
                <w:sz w:val="20"/>
              </w:rPr>
              <w:t>81,439</w:t>
            </w:r>
          </w:p>
        </w:tc>
      </w:tr>
    </w:tbl>
    <w:p>
      <w:pPr>
        <w:pStyle w:val="TableParagraph"/>
        <w:spacing w:after="0" w:line="210" w:lineRule="exact"/>
        <w:jc w:val="right"/>
        <w:rPr>
          <w:sz w:val="20"/>
        </w:rPr>
        <w:sectPr>
          <w:pgSz w:w="11910" w:h="16850"/>
          <w:pgMar w:header="727" w:footer="702" w:top="1520" w:bottom="900" w:left="566" w:right="708"/>
        </w:sectPr>
      </w:pPr>
    </w:p>
    <w:p>
      <w:pPr>
        <w:pStyle w:val="BodyText"/>
        <w:spacing w:before="54"/>
        <w:rPr>
          <w:b/>
        </w:rPr>
      </w:pPr>
    </w:p>
    <w:tbl>
      <w:tblPr>
        <w:tblW w:w="0" w:type="auto"/>
        <w:jc w:val="left"/>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41"/>
        <w:gridCol w:w="295"/>
        <w:gridCol w:w="1296"/>
      </w:tblGrid>
      <w:tr>
        <w:trPr>
          <w:trHeight w:val="409" w:hRule="atLeast"/>
        </w:trPr>
        <w:tc>
          <w:tcPr>
            <w:tcW w:w="7641" w:type="dxa"/>
          </w:tcPr>
          <w:p>
            <w:pPr>
              <w:pStyle w:val="TableParagraph"/>
              <w:spacing w:line="268" w:lineRule="exact"/>
              <w:ind w:left="477"/>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c>
        <w:tc>
          <w:tcPr>
            <w:tcW w:w="1591" w:type="dxa"/>
            <w:gridSpan w:val="2"/>
            <w:vMerge w:val="restart"/>
          </w:tcPr>
          <w:p>
            <w:pPr>
              <w:pStyle w:val="TableParagraph"/>
              <w:rPr>
                <w:rFonts w:ascii="Times New Roman"/>
                <w:sz w:val="20"/>
              </w:rPr>
            </w:pPr>
          </w:p>
        </w:tc>
      </w:tr>
      <w:tr>
        <w:trPr>
          <w:trHeight w:val="517" w:hRule="atLeast"/>
        </w:trPr>
        <w:tc>
          <w:tcPr>
            <w:tcW w:w="7641" w:type="dxa"/>
          </w:tcPr>
          <w:p>
            <w:pPr>
              <w:pStyle w:val="TableParagraph"/>
              <w:spacing w:before="134"/>
              <w:ind w:left="50"/>
              <w:rPr>
                <w:b/>
                <w:sz w:val="22"/>
              </w:rPr>
            </w:pPr>
            <w:r>
              <w:rPr>
                <w:b/>
                <w:sz w:val="22"/>
              </w:rPr>
              <w:t>18.</w:t>
            </w:r>
            <w:r>
              <w:rPr>
                <w:b/>
                <w:spacing w:val="51"/>
                <w:sz w:val="22"/>
              </w:rPr>
              <w:t> </w:t>
            </w:r>
            <w:r>
              <w:rPr>
                <w:b/>
                <w:sz w:val="22"/>
              </w:rPr>
              <w:t>Retirement</w:t>
            </w:r>
            <w:r>
              <w:rPr>
                <w:b/>
                <w:spacing w:val="-4"/>
                <w:sz w:val="22"/>
              </w:rPr>
              <w:t> </w:t>
            </w:r>
            <w:r>
              <w:rPr>
                <w:b/>
                <w:sz w:val="22"/>
              </w:rPr>
              <w:t>benefits</w:t>
            </w:r>
            <w:r>
              <w:rPr>
                <w:b/>
                <w:spacing w:val="-5"/>
                <w:sz w:val="22"/>
              </w:rPr>
              <w:t> </w:t>
            </w:r>
            <w:r>
              <w:rPr>
                <w:b/>
                <w:spacing w:val="-2"/>
                <w:sz w:val="22"/>
              </w:rPr>
              <w:t>(continued)</w:t>
            </w:r>
          </w:p>
        </w:tc>
        <w:tc>
          <w:tcPr>
            <w:tcW w:w="1591" w:type="dxa"/>
            <w:gridSpan w:val="2"/>
            <w:vMerge/>
            <w:tcBorders>
              <w:top w:val="nil"/>
            </w:tcBorders>
          </w:tcPr>
          <w:p>
            <w:pPr>
              <w:rPr>
                <w:sz w:val="2"/>
                <w:szCs w:val="2"/>
              </w:rPr>
            </w:pPr>
          </w:p>
        </w:tc>
      </w:tr>
      <w:tr>
        <w:trPr>
          <w:trHeight w:val="380" w:hRule="atLeast"/>
        </w:trPr>
        <w:tc>
          <w:tcPr>
            <w:tcW w:w="7641" w:type="dxa"/>
          </w:tcPr>
          <w:p>
            <w:pPr>
              <w:pStyle w:val="TableParagraph"/>
              <w:spacing w:before="122"/>
              <w:ind w:right="41"/>
              <w:jc w:val="right"/>
              <w:rPr>
                <w:b/>
                <w:sz w:val="20"/>
              </w:rPr>
            </w:pPr>
            <w:r>
              <w:rPr>
                <w:b/>
                <w:spacing w:val="-4"/>
                <w:sz w:val="20"/>
              </w:rPr>
              <w:t>2023</w:t>
            </w:r>
          </w:p>
        </w:tc>
        <w:tc>
          <w:tcPr>
            <w:tcW w:w="295" w:type="dxa"/>
          </w:tcPr>
          <w:p>
            <w:pPr>
              <w:pStyle w:val="TableParagraph"/>
              <w:rPr>
                <w:rFonts w:ascii="Times New Roman"/>
                <w:sz w:val="20"/>
              </w:rPr>
            </w:pPr>
          </w:p>
        </w:tc>
        <w:tc>
          <w:tcPr>
            <w:tcW w:w="1296" w:type="dxa"/>
          </w:tcPr>
          <w:p>
            <w:pPr>
              <w:pStyle w:val="TableParagraph"/>
              <w:spacing w:before="122"/>
              <w:ind w:right="108"/>
              <w:jc w:val="right"/>
              <w:rPr>
                <w:b/>
                <w:sz w:val="20"/>
              </w:rPr>
            </w:pPr>
            <w:r>
              <w:rPr>
                <w:b/>
                <w:spacing w:val="-4"/>
                <w:sz w:val="20"/>
              </w:rPr>
              <w:t>2022</w:t>
            </w:r>
          </w:p>
        </w:tc>
      </w:tr>
      <w:tr>
        <w:trPr>
          <w:trHeight w:val="278" w:hRule="atLeast"/>
        </w:trPr>
        <w:tc>
          <w:tcPr>
            <w:tcW w:w="7641" w:type="dxa"/>
          </w:tcPr>
          <w:p>
            <w:pPr>
              <w:pStyle w:val="TableParagraph"/>
              <w:spacing w:before="20"/>
              <w:ind w:right="40"/>
              <w:jc w:val="right"/>
              <w:rPr>
                <w:b/>
                <w:sz w:val="20"/>
              </w:rPr>
            </w:pPr>
            <w:r>
              <w:rPr>
                <w:b/>
                <w:spacing w:val="-2"/>
                <w:sz w:val="20"/>
              </w:rPr>
              <w:t>£’000</w:t>
            </w:r>
          </w:p>
        </w:tc>
        <w:tc>
          <w:tcPr>
            <w:tcW w:w="295" w:type="dxa"/>
          </w:tcPr>
          <w:p>
            <w:pPr>
              <w:pStyle w:val="TableParagraph"/>
              <w:rPr>
                <w:rFonts w:ascii="Times New Roman"/>
                <w:sz w:val="20"/>
              </w:rPr>
            </w:pPr>
          </w:p>
        </w:tc>
        <w:tc>
          <w:tcPr>
            <w:tcW w:w="1296" w:type="dxa"/>
          </w:tcPr>
          <w:p>
            <w:pPr>
              <w:pStyle w:val="TableParagraph"/>
              <w:spacing w:before="20"/>
              <w:ind w:right="107"/>
              <w:jc w:val="right"/>
              <w:rPr>
                <w:b/>
                <w:sz w:val="20"/>
              </w:rPr>
            </w:pPr>
            <w:r>
              <w:rPr>
                <w:b/>
                <w:spacing w:val="-2"/>
                <w:sz w:val="20"/>
              </w:rPr>
              <w:t>£’000</w:t>
            </w:r>
          </w:p>
        </w:tc>
      </w:tr>
      <w:tr>
        <w:trPr>
          <w:trHeight w:val="277" w:hRule="atLeast"/>
        </w:trPr>
        <w:tc>
          <w:tcPr>
            <w:tcW w:w="7641" w:type="dxa"/>
          </w:tcPr>
          <w:p>
            <w:pPr>
              <w:pStyle w:val="TableParagraph"/>
              <w:spacing w:before="20"/>
              <w:ind w:left="1038"/>
              <w:rPr>
                <w:b/>
                <w:sz w:val="20"/>
              </w:rPr>
            </w:pPr>
            <w:r>
              <w:rPr>
                <w:b/>
                <w:sz w:val="20"/>
              </w:rPr>
              <w:t>Changes</w:t>
            </w:r>
            <w:r>
              <w:rPr>
                <w:b/>
                <w:spacing w:val="-6"/>
                <w:sz w:val="20"/>
              </w:rPr>
              <w:t> </w:t>
            </w:r>
            <w:r>
              <w:rPr>
                <w:b/>
                <w:sz w:val="20"/>
              </w:rPr>
              <w:t>in</w:t>
            </w:r>
            <w:r>
              <w:rPr>
                <w:b/>
                <w:spacing w:val="-5"/>
                <w:sz w:val="20"/>
              </w:rPr>
              <w:t> </w:t>
            </w:r>
            <w:r>
              <w:rPr>
                <w:b/>
                <w:sz w:val="20"/>
              </w:rPr>
              <w:t>fair</w:t>
            </w:r>
            <w:r>
              <w:rPr>
                <w:b/>
                <w:spacing w:val="-4"/>
                <w:sz w:val="20"/>
              </w:rPr>
              <w:t> </w:t>
            </w:r>
            <w:r>
              <w:rPr>
                <w:b/>
                <w:sz w:val="20"/>
              </w:rPr>
              <w:t>value</w:t>
            </w:r>
            <w:r>
              <w:rPr>
                <w:b/>
                <w:spacing w:val="-5"/>
                <w:sz w:val="20"/>
              </w:rPr>
              <w:t> </w:t>
            </w:r>
            <w:r>
              <w:rPr>
                <w:b/>
                <w:sz w:val="20"/>
              </w:rPr>
              <w:t>of</w:t>
            </w:r>
            <w:r>
              <w:rPr>
                <w:b/>
                <w:spacing w:val="-5"/>
                <w:sz w:val="20"/>
              </w:rPr>
              <w:t> </w:t>
            </w:r>
            <w:r>
              <w:rPr>
                <w:b/>
                <w:sz w:val="20"/>
              </w:rPr>
              <w:t>plan</w:t>
            </w:r>
            <w:r>
              <w:rPr>
                <w:b/>
                <w:spacing w:val="-5"/>
                <w:sz w:val="20"/>
              </w:rPr>
              <w:t> </w:t>
            </w:r>
            <w:r>
              <w:rPr>
                <w:b/>
                <w:spacing w:val="-2"/>
                <w:sz w:val="20"/>
              </w:rPr>
              <w:t>assets</w:t>
            </w:r>
          </w:p>
        </w:tc>
        <w:tc>
          <w:tcPr>
            <w:tcW w:w="295" w:type="dxa"/>
          </w:tcPr>
          <w:p>
            <w:pPr>
              <w:pStyle w:val="TableParagraph"/>
              <w:rPr>
                <w:rFonts w:ascii="Times New Roman"/>
                <w:sz w:val="20"/>
              </w:rPr>
            </w:pPr>
          </w:p>
        </w:tc>
        <w:tc>
          <w:tcPr>
            <w:tcW w:w="1296" w:type="dxa"/>
          </w:tcPr>
          <w:p>
            <w:pPr>
              <w:pStyle w:val="TableParagraph"/>
              <w:rPr>
                <w:rFonts w:ascii="Times New Roman"/>
                <w:sz w:val="20"/>
              </w:rPr>
            </w:pPr>
          </w:p>
        </w:tc>
      </w:tr>
      <w:tr>
        <w:trPr>
          <w:trHeight w:val="277" w:hRule="atLeast"/>
        </w:trPr>
        <w:tc>
          <w:tcPr>
            <w:tcW w:w="7641" w:type="dxa"/>
          </w:tcPr>
          <w:p>
            <w:pPr>
              <w:pStyle w:val="TableParagraph"/>
              <w:tabs>
                <w:tab w:pos="5882" w:val="left" w:leader="none"/>
              </w:tabs>
              <w:spacing w:before="19"/>
              <w:ind w:right="108"/>
              <w:jc w:val="right"/>
              <w:rPr>
                <w:sz w:val="20"/>
              </w:rPr>
            </w:pPr>
            <w:r>
              <w:rPr>
                <w:b/>
                <w:sz w:val="20"/>
              </w:rPr>
              <w:t>Fair</w:t>
            </w:r>
            <w:r>
              <w:rPr>
                <w:b/>
                <w:spacing w:val="-9"/>
                <w:sz w:val="20"/>
              </w:rPr>
              <w:t> </w:t>
            </w:r>
            <w:r>
              <w:rPr>
                <w:b/>
                <w:sz w:val="20"/>
              </w:rPr>
              <w:t>value</w:t>
            </w:r>
            <w:r>
              <w:rPr>
                <w:b/>
                <w:spacing w:val="-6"/>
                <w:sz w:val="20"/>
              </w:rPr>
              <w:t> </w:t>
            </w:r>
            <w:r>
              <w:rPr>
                <w:b/>
                <w:sz w:val="20"/>
              </w:rPr>
              <w:t>of</w:t>
            </w:r>
            <w:r>
              <w:rPr>
                <w:b/>
                <w:spacing w:val="-4"/>
                <w:sz w:val="20"/>
              </w:rPr>
              <w:t> </w:t>
            </w:r>
            <w:r>
              <w:rPr>
                <w:b/>
                <w:sz w:val="20"/>
              </w:rPr>
              <w:t>plan</w:t>
            </w:r>
            <w:r>
              <w:rPr>
                <w:b/>
                <w:spacing w:val="-3"/>
                <w:sz w:val="20"/>
              </w:rPr>
              <w:t> </w:t>
            </w:r>
            <w:r>
              <w:rPr>
                <w:b/>
                <w:sz w:val="20"/>
              </w:rPr>
              <w:t>assets</w:t>
            </w:r>
            <w:r>
              <w:rPr>
                <w:b/>
                <w:spacing w:val="-4"/>
                <w:sz w:val="20"/>
              </w:rPr>
              <w:t> </w:t>
            </w:r>
            <w:r>
              <w:rPr>
                <w:b/>
                <w:sz w:val="20"/>
              </w:rPr>
              <w:t>at</w:t>
            </w:r>
            <w:r>
              <w:rPr>
                <w:b/>
                <w:spacing w:val="-5"/>
                <w:sz w:val="20"/>
              </w:rPr>
              <w:t> </w:t>
            </w:r>
            <w:r>
              <w:rPr>
                <w:b/>
                <w:sz w:val="20"/>
              </w:rPr>
              <w:t>start</w:t>
            </w:r>
            <w:r>
              <w:rPr>
                <w:b/>
                <w:spacing w:val="-5"/>
                <w:sz w:val="20"/>
              </w:rPr>
              <w:t> </w:t>
            </w:r>
            <w:r>
              <w:rPr>
                <w:b/>
                <w:sz w:val="20"/>
              </w:rPr>
              <w:t>of</w:t>
            </w:r>
            <w:r>
              <w:rPr>
                <w:b/>
                <w:spacing w:val="-4"/>
                <w:sz w:val="20"/>
              </w:rPr>
              <w:t> </w:t>
            </w:r>
            <w:r>
              <w:rPr>
                <w:b/>
                <w:spacing w:val="-2"/>
                <w:sz w:val="20"/>
              </w:rPr>
              <w:t>period</w:t>
            </w:r>
            <w:r>
              <w:rPr>
                <w:b/>
                <w:sz w:val="20"/>
              </w:rPr>
              <w:tab/>
            </w:r>
            <w:r>
              <w:rPr>
                <w:spacing w:val="-2"/>
                <w:sz w:val="20"/>
              </w:rPr>
              <w:t>88,719</w:t>
            </w:r>
          </w:p>
        </w:tc>
        <w:tc>
          <w:tcPr>
            <w:tcW w:w="295" w:type="dxa"/>
          </w:tcPr>
          <w:p>
            <w:pPr>
              <w:pStyle w:val="TableParagraph"/>
              <w:rPr>
                <w:rFonts w:ascii="Times New Roman"/>
                <w:sz w:val="20"/>
              </w:rPr>
            </w:pPr>
          </w:p>
        </w:tc>
        <w:tc>
          <w:tcPr>
            <w:tcW w:w="1296" w:type="dxa"/>
          </w:tcPr>
          <w:p>
            <w:pPr>
              <w:pStyle w:val="TableParagraph"/>
              <w:spacing w:before="19"/>
              <w:ind w:right="108"/>
              <w:jc w:val="right"/>
              <w:rPr>
                <w:sz w:val="20"/>
              </w:rPr>
            </w:pPr>
            <w:r>
              <w:rPr>
                <w:spacing w:val="-2"/>
                <w:sz w:val="20"/>
              </w:rPr>
              <w:t>87,776</w:t>
            </w:r>
          </w:p>
        </w:tc>
      </w:tr>
      <w:tr>
        <w:trPr>
          <w:trHeight w:val="278" w:hRule="atLeast"/>
        </w:trPr>
        <w:tc>
          <w:tcPr>
            <w:tcW w:w="7641" w:type="dxa"/>
          </w:tcPr>
          <w:p>
            <w:pPr>
              <w:pStyle w:val="TableParagraph"/>
              <w:tabs>
                <w:tab w:pos="5992" w:val="left" w:leader="none"/>
              </w:tabs>
              <w:spacing w:before="20"/>
              <w:ind w:right="107"/>
              <w:jc w:val="right"/>
              <w:rPr>
                <w:sz w:val="20"/>
              </w:rPr>
            </w:pPr>
            <w:r>
              <w:rPr>
                <w:sz w:val="20"/>
              </w:rPr>
              <w:t>Interest</w:t>
            </w:r>
            <w:r>
              <w:rPr>
                <w:spacing w:val="-10"/>
                <w:sz w:val="20"/>
              </w:rPr>
              <w:t> </w:t>
            </w:r>
            <w:r>
              <w:rPr>
                <w:spacing w:val="-2"/>
                <w:sz w:val="20"/>
              </w:rPr>
              <w:t>income</w:t>
            </w:r>
            <w:r>
              <w:rPr>
                <w:sz w:val="20"/>
              </w:rPr>
              <w:tab/>
            </w:r>
            <w:r>
              <w:rPr>
                <w:spacing w:val="-2"/>
                <w:sz w:val="20"/>
              </w:rPr>
              <w:t>3,143</w:t>
            </w:r>
          </w:p>
        </w:tc>
        <w:tc>
          <w:tcPr>
            <w:tcW w:w="295" w:type="dxa"/>
          </w:tcPr>
          <w:p>
            <w:pPr>
              <w:pStyle w:val="TableParagraph"/>
              <w:rPr>
                <w:rFonts w:ascii="Times New Roman"/>
                <w:sz w:val="20"/>
              </w:rPr>
            </w:pPr>
          </w:p>
        </w:tc>
        <w:tc>
          <w:tcPr>
            <w:tcW w:w="1296" w:type="dxa"/>
          </w:tcPr>
          <w:p>
            <w:pPr>
              <w:pStyle w:val="TableParagraph"/>
              <w:spacing w:before="20"/>
              <w:ind w:right="107"/>
              <w:jc w:val="right"/>
              <w:rPr>
                <w:sz w:val="20"/>
              </w:rPr>
            </w:pPr>
            <w:r>
              <w:rPr>
                <w:spacing w:val="-2"/>
                <w:sz w:val="20"/>
              </w:rPr>
              <w:t>1,441</w:t>
            </w:r>
          </w:p>
        </w:tc>
      </w:tr>
      <w:tr>
        <w:trPr>
          <w:trHeight w:val="484" w:hRule="atLeast"/>
        </w:trPr>
        <w:tc>
          <w:tcPr>
            <w:tcW w:w="7641" w:type="dxa"/>
          </w:tcPr>
          <w:p>
            <w:pPr>
              <w:pStyle w:val="TableParagraph"/>
              <w:spacing w:before="20"/>
              <w:ind w:left="1038"/>
              <w:rPr>
                <w:sz w:val="20"/>
              </w:rPr>
            </w:pPr>
            <w:r>
              <w:rPr>
                <w:sz w:val="20"/>
              </w:rPr>
              <w:t>Return</w:t>
            </w:r>
            <w:r>
              <w:rPr>
                <w:spacing w:val="-5"/>
                <w:sz w:val="20"/>
              </w:rPr>
              <w:t> </w:t>
            </w:r>
            <w:r>
              <w:rPr>
                <w:sz w:val="20"/>
              </w:rPr>
              <w:t>on</w:t>
            </w:r>
            <w:r>
              <w:rPr>
                <w:spacing w:val="-6"/>
                <w:sz w:val="20"/>
              </w:rPr>
              <w:t> </w:t>
            </w:r>
            <w:r>
              <w:rPr>
                <w:sz w:val="20"/>
              </w:rPr>
              <w:t>plan</w:t>
            </w:r>
            <w:r>
              <w:rPr>
                <w:spacing w:val="-6"/>
                <w:sz w:val="20"/>
              </w:rPr>
              <w:t> </w:t>
            </w:r>
            <w:r>
              <w:rPr>
                <w:sz w:val="20"/>
              </w:rPr>
              <w:t>assets</w:t>
            </w:r>
            <w:r>
              <w:rPr>
                <w:spacing w:val="-6"/>
                <w:sz w:val="20"/>
              </w:rPr>
              <w:t> </w:t>
            </w:r>
            <w:r>
              <w:rPr>
                <w:sz w:val="20"/>
              </w:rPr>
              <w:t>(excluding</w:t>
            </w:r>
            <w:r>
              <w:rPr>
                <w:spacing w:val="-6"/>
                <w:sz w:val="20"/>
              </w:rPr>
              <w:t> </w:t>
            </w:r>
            <w:r>
              <w:rPr>
                <w:sz w:val="20"/>
              </w:rPr>
              <w:t>net</w:t>
            </w:r>
            <w:r>
              <w:rPr>
                <w:spacing w:val="-5"/>
                <w:sz w:val="20"/>
              </w:rPr>
              <w:t> </w:t>
            </w:r>
            <w:r>
              <w:rPr>
                <w:sz w:val="20"/>
              </w:rPr>
              <w:t>interest</w:t>
            </w:r>
            <w:r>
              <w:rPr>
                <w:spacing w:val="-6"/>
                <w:sz w:val="20"/>
              </w:rPr>
              <w:t> </w:t>
            </w:r>
            <w:r>
              <w:rPr>
                <w:sz w:val="20"/>
              </w:rPr>
              <w:t>on</w:t>
            </w:r>
            <w:r>
              <w:rPr>
                <w:spacing w:val="-4"/>
                <w:sz w:val="20"/>
              </w:rPr>
              <w:t> </w:t>
            </w:r>
            <w:r>
              <w:rPr>
                <w:sz w:val="20"/>
              </w:rPr>
              <w:t>the</w:t>
            </w:r>
            <w:r>
              <w:rPr>
                <w:spacing w:val="-5"/>
                <w:sz w:val="20"/>
              </w:rPr>
              <w:t> net</w:t>
            </w:r>
          </w:p>
          <w:p>
            <w:pPr>
              <w:pStyle w:val="TableParagraph"/>
              <w:tabs>
                <w:tab w:pos="6957" w:val="left" w:leader="none"/>
              </w:tabs>
              <w:spacing w:line="214" w:lineRule="exact" w:before="1"/>
              <w:ind w:left="1038"/>
              <w:rPr>
                <w:sz w:val="20"/>
              </w:rPr>
            </w:pPr>
            <w:r>
              <w:rPr>
                <w:sz w:val="20"/>
              </w:rPr>
              <w:t>defined</w:t>
            </w:r>
            <w:r>
              <w:rPr>
                <w:spacing w:val="-8"/>
                <w:sz w:val="20"/>
              </w:rPr>
              <w:t> </w:t>
            </w:r>
            <w:r>
              <w:rPr>
                <w:sz w:val="20"/>
              </w:rPr>
              <w:t>benefit</w:t>
            </w:r>
            <w:r>
              <w:rPr>
                <w:spacing w:val="-10"/>
                <w:sz w:val="20"/>
              </w:rPr>
              <w:t> </w:t>
            </w:r>
            <w:r>
              <w:rPr>
                <w:spacing w:val="-2"/>
                <w:sz w:val="20"/>
              </w:rPr>
              <w:t>liability)</w:t>
            </w:r>
            <w:r>
              <w:rPr>
                <w:sz w:val="20"/>
              </w:rPr>
              <w:tab/>
            </w:r>
            <w:r>
              <w:rPr>
                <w:spacing w:val="-2"/>
                <w:sz w:val="20"/>
              </w:rPr>
              <w:t>(1,490)</w:t>
            </w:r>
          </w:p>
        </w:tc>
        <w:tc>
          <w:tcPr>
            <w:tcW w:w="295" w:type="dxa"/>
          </w:tcPr>
          <w:p>
            <w:pPr>
              <w:pStyle w:val="TableParagraph"/>
              <w:rPr>
                <w:rFonts w:ascii="Times New Roman"/>
                <w:sz w:val="20"/>
              </w:rPr>
            </w:pPr>
          </w:p>
        </w:tc>
        <w:tc>
          <w:tcPr>
            <w:tcW w:w="1296" w:type="dxa"/>
          </w:tcPr>
          <w:p>
            <w:pPr>
              <w:pStyle w:val="TableParagraph"/>
              <w:spacing w:before="21"/>
              <w:rPr>
                <w:b/>
                <w:sz w:val="20"/>
              </w:rPr>
            </w:pPr>
          </w:p>
          <w:p>
            <w:pPr>
              <w:pStyle w:val="TableParagraph"/>
              <w:spacing w:line="214" w:lineRule="exact"/>
              <w:ind w:right="107"/>
              <w:jc w:val="right"/>
              <w:rPr>
                <w:sz w:val="20"/>
              </w:rPr>
            </w:pPr>
            <w:r>
              <w:rPr>
                <w:spacing w:val="-2"/>
                <w:sz w:val="20"/>
              </w:rPr>
              <w:t>2,016</w:t>
            </w:r>
          </w:p>
        </w:tc>
      </w:tr>
      <w:tr>
        <w:trPr>
          <w:trHeight w:val="254" w:hRule="atLeast"/>
        </w:trPr>
        <w:tc>
          <w:tcPr>
            <w:tcW w:w="7641" w:type="dxa"/>
          </w:tcPr>
          <w:p>
            <w:pPr>
              <w:pStyle w:val="TableParagraph"/>
              <w:tabs>
                <w:tab w:pos="6491" w:val="right" w:leader="none"/>
              </w:tabs>
              <w:spacing w:line="227" w:lineRule="exact"/>
              <w:ind w:right="108"/>
              <w:jc w:val="right"/>
              <w:rPr>
                <w:sz w:val="20"/>
              </w:rPr>
            </w:pPr>
            <w:r>
              <w:rPr>
                <w:sz w:val="20"/>
              </w:rPr>
              <w:t>Employer</w:t>
            </w:r>
            <w:r>
              <w:rPr>
                <w:spacing w:val="-12"/>
                <w:sz w:val="20"/>
              </w:rPr>
              <w:t> </w:t>
            </w:r>
            <w:r>
              <w:rPr>
                <w:spacing w:val="-2"/>
                <w:sz w:val="20"/>
              </w:rPr>
              <w:t>contributions</w:t>
            </w:r>
            <w:r>
              <w:rPr>
                <w:sz w:val="20"/>
              </w:rPr>
              <w:tab/>
            </w:r>
            <w:r>
              <w:rPr>
                <w:spacing w:val="-5"/>
                <w:sz w:val="20"/>
              </w:rPr>
              <w:t>853</w:t>
            </w:r>
          </w:p>
        </w:tc>
        <w:tc>
          <w:tcPr>
            <w:tcW w:w="295" w:type="dxa"/>
          </w:tcPr>
          <w:p>
            <w:pPr>
              <w:pStyle w:val="TableParagraph"/>
              <w:rPr>
                <w:rFonts w:ascii="Times New Roman"/>
                <w:sz w:val="18"/>
              </w:rPr>
            </w:pPr>
          </w:p>
        </w:tc>
        <w:tc>
          <w:tcPr>
            <w:tcW w:w="1296" w:type="dxa"/>
          </w:tcPr>
          <w:p>
            <w:pPr>
              <w:pStyle w:val="TableParagraph"/>
              <w:spacing w:line="227" w:lineRule="exact"/>
              <w:ind w:right="108"/>
              <w:jc w:val="right"/>
              <w:rPr>
                <w:sz w:val="20"/>
              </w:rPr>
            </w:pPr>
            <w:r>
              <w:rPr>
                <w:spacing w:val="-5"/>
                <w:sz w:val="20"/>
              </w:rPr>
              <w:t>842</w:t>
            </w:r>
          </w:p>
        </w:tc>
      </w:tr>
      <w:tr>
        <w:trPr>
          <w:trHeight w:val="277" w:hRule="atLeast"/>
        </w:trPr>
        <w:tc>
          <w:tcPr>
            <w:tcW w:w="7641" w:type="dxa"/>
          </w:tcPr>
          <w:p>
            <w:pPr>
              <w:pStyle w:val="TableParagraph"/>
              <w:tabs>
                <w:tab w:pos="5918" w:val="left" w:leader="none"/>
              </w:tabs>
              <w:spacing w:before="20"/>
              <w:ind w:right="51"/>
              <w:jc w:val="right"/>
              <w:rPr>
                <w:sz w:val="20"/>
              </w:rPr>
            </w:pPr>
            <w:r>
              <w:rPr>
                <w:sz w:val="20"/>
              </w:rPr>
              <w:t>Recalculation</w:t>
            </w:r>
            <w:r>
              <w:rPr>
                <w:spacing w:val="-5"/>
                <w:sz w:val="20"/>
              </w:rPr>
              <w:t> </w:t>
            </w:r>
            <w:r>
              <w:rPr>
                <w:sz w:val="20"/>
              </w:rPr>
              <w:t>of</w:t>
            </w:r>
            <w:r>
              <w:rPr>
                <w:spacing w:val="-6"/>
                <w:sz w:val="20"/>
              </w:rPr>
              <w:t> </w:t>
            </w:r>
            <w:r>
              <w:rPr>
                <w:sz w:val="20"/>
              </w:rPr>
              <w:t>net</w:t>
            </w:r>
            <w:r>
              <w:rPr>
                <w:spacing w:val="-6"/>
                <w:sz w:val="20"/>
              </w:rPr>
              <w:t> </w:t>
            </w:r>
            <w:r>
              <w:rPr>
                <w:sz w:val="20"/>
              </w:rPr>
              <w:t>present</w:t>
            </w:r>
            <w:r>
              <w:rPr>
                <w:spacing w:val="-6"/>
                <w:sz w:val="20"/>
              </w:rPr>
              <w:t> </w:t>
            </w:r>
            <w:r>
              <w:rPr>
                <w:sz w:val="20"/>
              </w:rPr>
              <w:t>value</w:t>
            </w:r>
            <w:r>
              <w:rPr>
                <w:spacing w:val="-7"/>
                <w:sz w:val="20"/>
              </w:rPr>
              <w:t> </w:t>
            </w:r>
            <w:r>
              <w:rPr>
                <w:sz w:val="20"/>
              </w:rPr>
              <w:t>of</w:t>
            </w:r>
            <w:r>
              <w:rPr>
                <w:spacing w:val="-4"/>
                <w:sz w:val="20"/>
              </w:rPr>
              <w:t> </w:t>
            </w:r>
            <w:r>
              <w:rPr>
                <w:spacing w:val="-2"/>
                <w:sz w:val="20"/>
              </w:rPr>
              <w:t>assets</w:t>
            </w:r>
            <w:r>
              <w:rPr>
                <w:sz w:val="20"/>
              </w:rPr>
              <w:tab/>
            </w:r>
            <w:r>
              <w:rPr>
                <w:spacing w:val="-2"/>
                <w:sz w:val="20"/>
              </w:rPr>
              <w:t>(3,525)</w:t>
            </w:r>
          </w:p>
        </w:tc>
        <w:tc>
          <w:tcPr>
            <w:tcW w:w="295" w:type="dxa"/>
          </w:tcPr>
          <w:p>
            <w:pPr>
              <w:pStyle w:val="TableParagraph"/>
              <w:rPr>
                <w:rFonts w:ascii="Times New Roman"/>
                <w:sz w:val="20"/>
              </w:rPr>
            </w:pPr>
          </w:p>
        </w:tc>
        <w:tc>
          <w:tcPr>
            <w:tcW w:w="1296" w:type="dxa"/>
          </w:tcPr>
          <w:p>
            <w:pPr>
              <w:pStyle w:val="TableParagraph"/>
              <w:spacing w:before="20"/>
              <w:ind w:right="109"/>
              <w:jc w:val="right"/>
              <w:rPr>
                <w:sz w:val="20"/>
              </w:rPr>
            </w:pPr>
            <w:r>
              <w:rPr>
                <w:spacing w:val="-2"/>
                <w:sz w:val="20"/>
              </w:rPr>
              <w:t>(1,686)</w:t>
            </w:r>
          </w:p>
        </w:tc>
      </w:tr>
      <w:tr>
        <w:trPr>
          <w:trHeight w:val="277" w:hRule="atLeast"/>
        </w:trPr>
        <w:tc>
          <w:tcPr>
            <w:tcW w:w="7641" w:type="dxa"/>
          </w:tcPr>
          <w:p>
            <w:pPr>
              <w:pStyle w:val="TableParagraph"/>
              <w:tabs>
                <w:tab w:pos="5992" w:val="left" w:leader="none"/>
              </w:tabs>
              <w:spacing w:before="19"/>
              <w:ind w:right="107"/>
              <w:jc w:val="right"/>
              <w:rPr>
                <w:sz w:val="20"/>
              </w:rPr>
            </w:pPr>
            <w:r>
              <w:rPr>
                <w:sz w:val="20"/>
              </w:rPr>
              <w:t>Recalculation</w:t>
            </w:r>
            <w:r>
              <w:rPr>
                <w:spacing w:val="-5"/>
                <w:sz w:val="20"/>
              </w:rPr>
              <w:t> </w:t>
            </w:r>
            <w:r>
              <w:rPr>
                <w:sz w:val="20"/>
              </w:rPr>
              <w:t>of</w:t>
            </w:r>
            <w:r>
              <w:rPr>
                <w:spacing w:val="-5"/>
                <w:sz w:val="20"/>
              </w:rPr>
              <w:t> </w:t>
            </w:r>
            <w:r>
              <w:rPr>
                <w:sz w:val="20"/>
              </w:rPr>
              <w:t>net</w:t>
            </w:r>
            <w:r>
              <w:rPr>
                <w:spacing w:val="-6"/>
                <w:sz w:val="20"/>
              </w:rPr>
              <w:t> </w:t>
            </w:r>
            <w:r>
              <w:rPr>
                <w:sz w:val="20"/>
              </w:rPr>
              <w:t>present</w:t>
            </w:r>
            <w:r>
              <w:rPr>
                <w:spacing w:val="-6"/>
                <w:sz w:val="20"/>
              </w:rPr>
              <w:t> </w:t>
            </w:r>
            <w:r>
              <w:rPr>
                <w:sz w:val="20"/>
              </w:rPr>
              <w:t>value</w:t>
            </w:r>
            <w:r>
              <w:rPr>
                <w:spacing w:val="-6"/>
                <w:sz w:val="20"/>
              </w:rPr>
              <w:t> </w:t>
            </w:r>
            <w:r>
              <w:rPr>
                <w:sz w:val="20"/>
              </w:rPr>
              <w:t>of</w:t>
            </w:r>
            <w:r>
              <w:rPr>
                <w:spacing w:val="-4"/>
                <w:sz w:val="20"/>
              </w:rPr>
              <w:t> </w:t>
            </w:r>
            <w:r>
              <w:rPr>
                <w:sz w:val="20"/>
              </w:rPr>
              <w:t>assets</w:t>
            </w:r>
            <w:r>
              <w:rPr>
                <w:spacing w:val="-4"/>
                <w:sz w:val="20"/>
              </w:rPr>
              <w:t> </w:t>
            </w:r>
            <w:r>
              <w:rPr>
                <w:sz w:val="20"/>
              </w:rPr>
              <w:t>–</w:t>
            </w:r>
            <w:r>
              <w:rPr>
                <w:spacing w:val="-6"/>
                <w:sz w:val="20"/>
              </w:rPr>
              <w:t> </w:t>
            </w:r>
            <w:r>
              <w:rPr>
                <w:sz w:val="20"/>
              </w:rPr>
              <w:t>prior</w:t>
            </w:r>
            <w:r>
              <w:rPr>
                <w:spacing w:val="-5"/>
                <w:sz w:val="20"/>
              </w:rPr>
              <w:t> </w:t>
            </w:r>
            <w:r>
              <w:rPr>
                <w:spacing w:val="-4"/>
                <w:sz w:val="20"/>
              </w:rPr>
              <w:t>year</w:t>
            </w:r>
            <w:r>
              <w:rPr>
                <w:sz w:val="20"/>
              </w:rPr>
              <w:tab/>
            </w:r>
            <w:r>
              <w:rPr>
                <w:spacing w:val="-2"/>
                <w:sz w:val="20"/>
              </w:rPr>
              <w:t>1,686</w:t>
            </w:r>
          </w:p>
        </w:tc>
        <w:tc>
          <w:tcPr>
            <w:tcW w:w="295" w:type="dxa"/>
          </w:tcPr>
          <w:p>
            <w:pPr>
              <w:pStyle w:val="TableParagraph"/>
              <w:rPr>
                <w:rFonts w:ascii="Times New Roman"/>
                <w:sz w:val="20"/>
              </w:rPr>
            </w:pPr>
          </w:p>
        </w:tc>
        <w:tc>
          <w:tcPr>
            <w:tcW w:w="1296" w:type="dxa"/>
          </w:tcPr>
          <w:p>
            <w:pPr>
              <w:pStyle w:val="TableParagraph"/>
              <w:spacing w:before="19"/>
              <w:ind w:right="106"/>
              <w:jc w:val="right"/>
              <w:rPr>
                <w:sz w:val="20"/>
              </w:rPr>
            </w:pPr>
            <w:r>
              <w:rPr>
                <w:spacing w:val="-10"/>
                <w:sz w:val="20"/>
              </w:rPr>
              <w:t>-</w:t>
            </w:r>
          </w:p>
        </w:tc>
      </w:tr>
      <w:tr>
        <w:trPr>
          <w:trHeight w:val="278" w:hRule="atLeast"/>
        </w:trPr>
        <w:tc>
          <w:tcPr>
            <w:tcW w:w="7641" w:type="dxa"/>
          </w:tcPr>
          <w:p>
            <w:pPr>
              <w:pStyle w:val="TableParagraph"/>
              <w:tabs>
                <w:tab w:pos="6491" w:val="right" w:leader="none"/>
              </w:tabs>
              <w:spacing w:before="20"/>
              <w:ind w:right="108"/>
              <w:jc w:val="right"/>
              <w:rPr>
                <w:sz w:val="20"/>
              </w:rPr>
            </w:pPr>
            <w:r>
              <w:rPr>
                <w:sz w:val="20"/>
              </w:rPr>
              <w:t>Contributions</w:t>
            </w:r>
            <w:r>
              <w:rPr>
                <w:spacing w:val="-7"/>
                <w:sz w:val="20"/>
              </w:rPr>
              <w:t> </w:t>
            </w:r>
            <w:r>
              <w:rPr>
                <w:sz w:val="20"/>
              </w:rPr>
              <w:t>by</w:t>
            </w:r>
            <w:r>
              <w:rPr>
                <w:spacing w:val="-10"/>
                <w:sz w:val="20"/>
              </w:rPr>
              <w:t> </w:t>
            </w:r>
            <w:r>
              <w:rPr>
                <w:sz w:val="20"/>
              </w:rPr>
              <w:t>scheme</w:t>
            </w:r>
            <w:r>
              <w:rPr>
                <w:spacing w:val="-8"/>
                <w:sz w:val="20"/>
              </w:rPr>
              <w:t> </w:t>
            </w:r>
            <w:r>
              <w:rPr>
                <w:spacing w:val="-2"/>
                <w:sz w:val="20"/>
              </w:rPr>
              <w:t>participants</w:t>
            </w:r>
            <w:r>
              <w:rPr>
                <w:sz w:val="20"/>
              </w:rPr>
              <w:tab/>
            </w:r>
            <w:r>
              <w:rPr>
                <w:spacing w:val="-5"/>
                <w:sz w:val="20"/>
              </w:rPr>
              <w:t>193</w:t>
            </w:r>
          </w:p>
        </w:tc>
        <w:tc>
          <w:tcPr>
            <w:tcW w:w="295" w:type="dxa"/>
          </w:tcPr>
          <w:p>
            <w:pPr>
              <w:pStyle w:val="TableParagraph"/>
              <w:rPr>
                <w:rFonts w:ascii="Times New Roman"/>
                <w:sz w:val="20"/>
              </w:rPr>
            </w:pPr>
          </w:p>
        </w:tc>
        <w:tc>
          <w:tcPr>
            <w:tcW w:w="1296" w:type="dxa"/>
          </w:tcPr>
          <w:p>
            <w:pPr>
              <w:pStyle w:val="TableParagraph"/>
              <w:spacing w:before="20"/>
              <w:ind w:right="108"/>
              <w:jc w:val="right"/>
              <w:rPr>
                <w:sz w:val="20"/>
              </w:rPr>
            </w:pPr>
            <w:r>
              <w:rPr>
                <w:spacing w:val="-5"/>
                <w:sz w:val="20"/>
              </w:rPr>
              <w:t>196</w:t>
            </w:r>
          </w:p>
        </w:tc>
      </w:tr>
      <w:tr>
        <w:trPr>
          <w:trHeight w:val="299" w:hRule="atLeast"/>
        </w:trPr>
        <w:tc>
          <w:tcPr>
            <w:tcW w:w="7641" w:type="dxa"/>
          </w:tcPr>
          <w:p>
            <w:pPr>
              <w:pStyle w:val="TableParagraph"/>
              <w:tabs>
                <w:tab w:pos="5918" w:val="left" w:leader="none"/>
              </w:tabs>
              <w:spacing w:before="20"/>
              <w:ind w:right="51"/>
              <w:jc w:val="right"/>
              <w:rPr>
                <w:sz w:val="20"/>
              </w:rPr>
            </w:pPr>
            <w:r>
              <w:rPr>
                <w:sz w:val="20"/>
              </w:rPr>
              <w:t>Benefits</w:t>
            </w:r>
            <w:r>
              <w:rPr>
                <w:spacing w:val="-10"/>
                <w:sz w:val="20"/>
              </w:rPr>
              <w:t> </w:t>
            </w:r>
            <w:r>
              <w:rPr>
                <w:spacing w:val="-4"/>
                <w:sz w:val="20"/>
              </w:rPr>
              <w:t>paid</w:t>
            </w:r>
            <w:r>
              <w:rPr>
                <w:sz w:val="20"/>
              </w:rPr>
              <w:tab/>
            </w:r>
            <w:r>
              <w:rPr>
                <w:spacing w:val="-2"/>
                <w:sz w:val="20"/>
              </w:rPr>
              <w:t>(2,112)</w:t>
            </w:r>
          </w:p>
        </w:tc>
        <w:tc>
          <w:tcPr>
            <w:tcW w:w="295" w:type="dxa"/>
          </w:tcPr>
          <w:p>
            <w:pPr>
              <w:pStyle w:val="TableParagraph"/>
              <w:rPr>
                <w:rFonts w:ascii="Times New Roman"/>
                <w:sz w:val="20"/>
              </w:rPr>
            </w:pPr>
          </w:p>
        </w:tc>
        <w:tc>
          <w:tcPr>
            <w:tcW w:w="1296" w:type="dxa"/>
            <w:tcBorders>
              <w:bottom w:val="single" w:sz="4" w:space="0" w:color="000000"/>
            </w:tcBorders>
          </w:tcPr>
          <w:p>
            <w:pPr>
              <w:pStyle w:val="TableParagraph"/>
              <w:spacing w:before="20"/>
              <w:ind w:right="51"/>
              <w:jc w:val="right"/>
              <w:rPr>
                <w:sz w:val="20"/>
              </w:rPr>
            </w:pPr>
            <w:r>
              <w:rPr>
                <w:spacing w:val="-2"/>
                <w:sz w:val="20"/>
              </w:rPr>
              <w:t>(1,866)</w:t>
            </w:r>
          </w:p>
        </w:tc>
      </w:tr>
      <w:tr>
        <w:trPr>
          <w:trHeight w:val="494" w:hRule="atLeast"/>
        </w:trPr>
        <w:tc>
          <w:tcPr>
            <w:tcW w:w="7641" w:type="dxa"/>
          </w:tcPr>
          <w:p>
            <w:pPr>
              <w:pStyle w:val="TableParagraph"/>
              <w:spacing w:line="20" w:lineRule="exact"/>
              <w:ind w:left="6381" w:right="-72"/>
              <w:rPr>
                <w:sz w:val="2"/>
              </w:rPr>
            </w:pPr>
            <w:r>
              <w:rPr>
                <w:sz w:val="2"/>
              </w:rPr>
              <mc:AlternateContent>
                <mc:Choice Requires="wps">
                  <w:drawing>
                    <wp:inline distT="0" distB="0" distL="0" distR="0">
                      <wp:extent cx="800100" cy="6350"/>
                      <wp:effectExtent l="0" t="0" r="0" b="0"/>
                      <wp:docPr id="135" name="Group 135"/>
                      <wp:cNvGraphicFramePr>
                        <a:graphicFrameLocks/>
                      </wp:cNvGraphicFramePr>
                      <a:graphic>
                        <a:graphicData uri="http://schemas.microsoft.com/office/word/2010/wordprocessingGroup">
                          <wpg:wgp>
                            <wpg:cNvPr id="135" name="Group 135"/>
                            <wpg:cNvGrpSpPr/>
                            <wpg:grpSpPr>
                              <a:xfrm>
                                <a:off x="0" y="0"/>
                                <a:ext cx="800100" cy="6350"/>
                                <a:chExt cx="800100" cy="6350"/>
                              </a:xfrm>
                            </wpg:grpSpPr>
                            <wps:wsp>
                              <wps:cNvPr id="136" name="Graphic 136"/>
                              <wps:cNvSpPr/>
                              <wps:spPr>
                                <a:xfrm>
                                  <a:off x="0" y="0"/>
                                  <a:ext cx="800100" cy="6350"/>
                                </a:xfrm>
                                <a:custGeom>
                                  <a:avLst/>
                                  <a:gdLst/>
                                  <a:ahLst/>
                                  <a:cxnLst/>
                                  <a:rect l="l" t="t" r="r" b="b"/>
                                  <a:pathLst>
                                    <a:path w="800100" h="6350">
                                      <a:moveTo>
                                        <a:pt x="800100" y="0"/>
                                      </a:moveTo>
                                      <a:lnTo>
                                        <a:pt x="0" y="0"/>
                                      </a:lnTo>
                                      <a:lnTo>
                                        <a:pt x="0" y="6096"/>
                                      </a:lnTo>
                                      <a:lnTo>
                                        <a:pt x="800100" y="6096"/>
                                      </a:lnTo>
                                      <a:lnTo>
                                        <a:pt x="800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pt;height:.5pt;mso-position-horizontal-relative:char;mso-position-vertical-relative:line" id="docshapegroup125" coordorigin="0,0" coordsize="1260,10">
                      <v:rect style="position:absolute;left:0;top:0;width:1260;height:10" id="docshape126" filled="true" fillcolor="#000000" stroked="false">
                        <v:fill type="solid"/>
                      </v:rect>
                    </v:group>
                  </w:pict>
                </mc:Fallback>
              </mc:AlternateContent>
            </w:r>
            <w:r>
              <w:rPr>
                <w:sz w:val="2"/>
              </w:rPr>
            </w:r>
          </w:p>
          <w:p>
            <w:pPr>
              <w:pStyle w:val="TableParagraph"/>
              <w:tabs>
                <w:tab w:pos="5327" w:val="left" w:leader="none"/>
                <w:tab w:pos="5882" w:val="left" w:leader="none"/>
              </w:tabs>
              <w:spacing w:before="99"/>
              <w:ind w:right="-15"/>
              <w:jc w:val="right"/>
              <w:rPr>
                <w:sz w:val="20"/>
              </w:rPr>
            </w:pPr>
            <w:r>
              <w:rPr>
                <w:b/>
                <w:sz w:val="20"/>
              </w:rPr>
              <w:t>Fair</w:t>
            </w:r>
            <w:r>
              <w:rPr>
                <w:b/>
                <w:spacing w:val="-7"/>
                <w:sz w:val="20"/>
              </w:rPr>
              <w:t> </w:t>
            </w:r>
            <w:r>
              <w:rPr>
                <w:b/>
                <w:sz w:val="20"/>
              </w:rPr>
              <w:t>value</w:t>
            </w:r>
            <w:r>
              <w:rPr>
                <w:b/>
                <w:spacing w:val="-5"/>
                <w:sz w:val="20"/>
              </w:rPr>
              <w:t> </w:t>
            </w:r>
            <w:r>
              <w:rPr>
                <w:b/>
                <w:sz w:val="20"/>
              </w:rPr>
              <w:t>of</w:t>
            </w:r>
            <w:r>
              <w:rPr>
                <w:b/>
                <w:spacing w:val="-4"/>
                <w:sz w:val="20"/>
              </w:rPr>
              <w:t> </w:t>
            </w:r>
            <w:r>
              <w:rPr>
                <w:b/>
                <w:sz w:val="20"/>
              </w:rPr>
              <w:t>plan</w:t>
            </w:r>
            <w:r>
              <w:rPr>
                <w:b/>
                <w:spacing w:val="-3"/>
                <w:sz w:val="20"/>
              </w:rPr>
              <w:t> </w:t>
            </w:r>
            <w:r>
              <w:rPr>
                <w:b/>
                <w:sz w:val="20"/>
              </w:rPr>
              <w:t>assets</w:t>
            </w:r>
            <w:r>
              <w:rPr>
                <w:b/>
                <w:spacing w:val="-4"/>
                <w:sz w:val="20"/>
              </w:rPr>
              <w:t> </w:t>
            </w:r>
            <w:r>
              <w:rPr>
                <w:b/>
                <w:sz w:val="20"/>
              </w:rPr>
              <w:t>at</w:t>
            </w:r>
            <w:r>
              <w:rPr>
                <w:b/>
                <w:spacing w:val="-4"/>
                <w:sz w:val="20"/>
              </w:rPr>
              <w:t> </w:t>
            </w:r>
            <w:r>
              <w:rPr>
                <w:b/>
                <w:sz w:val="20"/>
              </w:rPr>
              <w:t>end</w:t>
            </w:r>
            <w:r>
              <w:rPr>
                <w:b/>
                <w:spacing w:val="-4"/>
                <w:sz w:val="20"/>
              </w:rPr>
              <w:t> </w:t>
            </w:r>
            <w:r>
              <w:rPr>
                <w:b/>
                <w:sz w:val="20"/>
              </w:rPr>
              <w:t>of</w:t>
            </w:r>
            <w:r>
              <w:rPr>
                <w:b/>
                <w:spacing w:val="-5"/>
                <w:sz w:val="20"/>
              </w:rPr>
              <w:t> </w:t>
            </w:r>
            <w:r>
              <w:rPr>
                <w:b/>
                <w:spacing w:val="-2"/>
                <w:sz w:val="20"/>
              </w:rPr>
              <w:t>period</w:t>
            </w:r>
            <w:r>
              <w:rPr>
                <w:b/>
                <w:sz w:val="20"/>
              </w:rPr>
              <w:tab/>
            </w:r>
            <w:r>
              <w:rPr>
                <w:sz w:val="20"/>
                <w:u w:val="double"/>
              </w:rPr>
              <w:tab/>
            </w:r>
            <w:r>
              <w:rPr>
                <w:spacing w:val="-2"/>
                <w:sz w:val="20"/>
                <w:u w:val="double"/>
              </w:rPr>
              <w:t>87,467</w:t>
            </w:r>
            <w:r>
              <w:rPr>
                <w:spacing w:val="80"/>
                <w:sz w:val="20"/>
                <w:u w:val="double"/>
              </w:rPr>
              <w:t> </w:t>
            </w:r>
          </w:p>
        </w:tc>
        <w:tc>
          <w:tcPr>
            <w:tcW w:w="295" w:type="dxa"/>
          </w:tcPr>
          <w:p>
            <w:pPr>
              <w:pStyle w:val="TableParagraph"/>
              <w:rPr>
                <w:rFonts w:ascii="Times New Roman"/>
                <w:sz w:val="20"/>
              </w:rPr>
            </w:pPr>
          </w:p>
        </w:tc>
        <w:tc>
          <w:tcPr>
            <w:tcW w:w="1296" w:type="dxa"/>
            <w:tcBorders>
              <w:top w:val="single" w:sz="4" w:space="0" w:color="000000"/>
            </w:tcBorders>
          </w:tcPr>
          <w:p>
            <w:pPr>
              <w:pStyle w:val="TableParagraph"/>
              <w:tabs>
                <w:tab w:pos="575" w:val="left" w:leader="none"/>
              </w:tabs>
              <w:spacing w:before="119"/>
              <w:ind w:right="-15"/>
              <w:jc w:val="right"/>
              <w:rPr>
                <w:sz w:val="20"/>
              </w:rPr>
            </w:pPr>
            <w:r>
              <w:rPr>
                <w:sz w:val="20"/>
                <w:u w:val="double"/>
              </w:rPr>
              <w:tab/>
            </w:r>
            <w:r>
              <w:rPr>
                <w:spacing w:val="-2"/>
                <w:sz w:val="20"/>
                <w:u w:val="double"/>
              </w:rPr>
              <w:t>88,719</w:t>
            </w:r>
            <w:r>
              <w:rPr>
                <w:spacing w:val="80"/>
                <w:sz w:val="20"/>
                <w:u w:val="double"/>
              </w:rPr>
              <w:t> </w:t>
            </w:r>
          </w:p>
        </w:tc>
      </w:tr>
      <w:tr>
        <w:trPr>
          <w:trHeight w:val="391" w:hRule="atLeast"/>
        </w:trPr>
        <w:tc>
          <w:tcPr>
            <w:tcW w:w="7641" w:type="dxa"/>
          </w:tcPr>
          <w:p>
            <w:pPr>
              <w:pStyle w:val="TableParagraph"/>
              <w:spacing w:line="233" w:lineRule="exact" w:before="139"/>
              <w:ind w:left="50"/>
              <w:rPr>
                <w:b/>
                <w:sz w:val="22"/>
              </w:rPr>
            </w:pPr>
            <w:r>
              <w:rPr>
                <w:b/>
                <w:sz w:val="22"/>
              </w:rPr>
              <w:t>19.</w:t>
            </w:r>
            <w:r>
              <w:rPr>
                <w:b/>
                <w:spacing w:val="49"/>
                <w:sz w:val="22"/>
              </w:rPr>
              <w:t> </w:t>
            </w:r>
            <w:r>
              <w:rPr>
                <w:b/>
                <w:sz w:val="22"/>
              </w:rPr>
              <w:t>Commitments</w:t>
            </w:r>
            <w:r>
              <w:rPr>
                <w:b/>
                <w:spacing w:val="-3"/>
                <w:sz w:val="22"/>
              </w:rPr>
              <w:t> </w:t>
            </w:r>
            <w:r>
              <w:rPr>
                <w:b/>
                <w:sz w:val="22"/>
              </w:rPr>
              <w:t>under</w:t>
            </w:r>
            <w:r>
              <w:rPr>
                <w:b/>
                <w:spacing w:val="-4"/>
                <w:sz w:val="22"/>
              </w:rPr>
              <w:t> </w:t>
            </w:r>
            <w:r>
              <w:rPr>
                <w:b/>
                <w:sz w:val="22"/>
              </w:rPr>
              <w:t>operating</w:t>
            </w:r>
            <w:r>
              <w:rPr>
                <w:b/>
                <w:spacing w:val="-6"/>
                <w:sz w:val="22"/>
              </w:rPr>
              <w:t> </w:t>
            </w:r>
            <w:r>
              <w:rPr>
                <w:b/>
                <w:spacing w:val="-2"/>
                <w:sz w:val="22"/>
              </w:rPr>
              <w:t>leases</w:t>
            </w:r>
          </w:p>
        </w:tc>
        <w:tc>
          <w:tcPr>
            <w:tcW w:w="295" w:type="dxa"/>
          </w:tcPr>
          <w:p>
            <w:pPr>
              <w:pStyle w:val="TableParagraph"/>
              <w:rPr>
                <w:rFonts w:ascii="Times New Roman"/>
                <w:sz w:val="20"/>
              </w:rPr>
            </w:pPr>
          </w:p>
        </w:tc>
        <w:tc>
          <w:tcPr>
            <w:tcW w:w="1296" w:type="dxa"/>
          </w:tcPr>
          <w:p>
            <w:pPr>
              <w:pStyle w:val="TableParagraph"/>
              <w:rPr>
                <w:rFonts w:ascii="Times New Roman"/>
                <w:sz w:val="20"/>
              </w:rPr>
            </w:pPr>
          </w:p>
        </w:tc>
      </w:tr>
    </w:tbl>
    <w:p>
      <w:pPr>
        <w:pStyle w:val="BodyText"/>
        <w:spacing w:before="5"/>
        <w:rPr>
          <w:b/>
        </w:rPr>
      </w:pPr>
    </w:p>
    <w:p>
      <w:pPr>
        <w:pStyle w:val="BodyText"/>
        <w:ind w:left="1418" w:right="537"/>
      </w:pPr>
      <w:r>
        <w:rPr/>
        <w:t>The</w:t>
      </w:r>
      <w:r>
        <w:rPr>
          <w:spacing w:val="40"/>
        </w:rPr>
        <w:t> </w:t>
      </w:r>
      <w:r>
        <w:rPr/>
        <w:t>total</w:t>
      </w:r>
      <w:r>
        <w:rPr>
          <w:spacing w:val="40"/>
        </w:rPr>
        <w:t> </w:t>
      </w:r>
      <w:r>
        <w:rPr/>
        <w:t>future</w:t>
      </w:r>
      <w:r>
        <w:rPr>
          <w:spacing w:val="40"/>
        </w:rPr>
        <w:t> </w:t>
      </w:r>
      <w:r>
        <w:rPr/>
        <w:t>minimum</w:t>
      </w:r>
      <w:r>
        <w:rPr>
          <w:spacing w:val="40"/>
        </w:rPr>
        <w:t> </w:t>
      </w:r>
      <w:r>
        <w:rPr/>
        <w:t>lease</w:t>
      </w:r>
      <w:r>
        <w:rPr>
          <w:spacing w:val="40"/>
        </w:rPr>
        <w:t> </w:t>
      </w:r>
      <w:r>
        <w:rPr/>
        <w:t>payments</w:t>
      </w:r>
      <w:r>
        <w:rPr>
          <w:spacing w:val="40"/>
        </w:rPr>
        <w:t> </w:t>
      </w:r>
      <w:r>
        <w:rPr/>
        <w:t>under</w:t>
      </w:r>
      <w:r>
        <w:rPr>
          <w:spacing w:val="40"/>
        </w:rPr>
        <w:t> </w:t>
      </w:r>
      <w:r>
        <w:rPr/>
        <w:t>non-cancellable</w:t>
      </w:r>
      <w:r>
        <w:rPr>
          <w:spacing w:val="40"/>
        </w:rPr>
        <w:t> </w:t>
      </w:r>
      <w:r>
        <w:rPr/>
        <w:t>operating</w:t>
      </w:r>
      <w:r>
        <w:rPr>
          <w:spacing w:val="40"/>
        </w:rPr>
        <w:t> </w:t>
      </w:r>
      <w:r>
        <w:rPr/>
        <w:t>leases</w:t>
      </w:r>
      <w:r>
        <w:rPr>
          <w:spacing w:val="40"/>
        </w:rPr>
        <w:t> </w:t>
      </w:r>
      <w:r>
        <w:rPr/>
        <w:t>are</w:t>
      </w:r>
      <w:r>
        <w:rPr>
          <w:spacing w:val="40"/>
        </w:rPr>
        <w:t> </w:t>
      </w:r>
      <w:r>
        <w:rPr/>
        <w:t>as </w:t>
      </w:r>
      <w:r>
        <w:rPr>
          <w:spacing w:val="-2"/>
        </w:rPr>
        <w:t>follows:</w:t>
      </w:r>
    </w:p>
    <w:p>
      <w:pPr>
        <w:pStyle w:val="BodyText"/>
        <w:spacing w:before="8" w:after="1"/>
      </w:pPr>
    </w:p>
    <w:tbl>
      <w:tblPr>
        <w:tblW w:w="0" w:type="auto"/>
        <w:jc w:val="left"/>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
        <w:gridCol w:w="3656"/>
        <w:gridCol w:w="1307"/>
        <w:gridCol w:w="424"/>
        <w:gridCol w:w="908"/>
        <w:gridCol w:w="1275"/>
        <w:gridCol w:w="546"/>
        <w:gridCol w:w="781"/>
      </w:tblGrid>
      <w:tr>
        <w:trPr>
          <w:trHeight w:val="226" w:hRule="atLeast"/>
        </w:trPr>
        <w:tc>
          <w:tcPr>
            <w:tcW w:w="4072" w:type="dxa"/>
            <w:gridSpan w:val="2"/>
            <w:vMerge w:val="restart"/>
          </w:tcPr>
          <w:p>
            <w:pPr>
              <w:pStyle w:val="TableParagraph"/>
              <w:rPr>
                <w:rFonts w:ascii="Times New Roman"/>
                <w:sz w:val="20"/>
              </w:rPr>
            </w:pPr>
          </w:p>
        </w:tc>
        <w:tc>
          <w:tcPr>
            <w:tcW w:w="1731" w:type="dxa"/>
            <w:gridSpan w:val="2"/>
          </w:tcPr>
          <w:p>
            <w:pPr>
              <w:pStyle w:val="TableParagraph"/>
              <w:spacing w:line="206" w:lineRule="exact"/>
              <w:ind w:left="977"/>
              <w:rPr>
                <w:b/>
                <w:sz w:val="20"/>
              </w:rPr>
            </w:pPr>
            <w:r>
              <w:rPr>
                <w:b/>
                <w:spacing w:val="-4"/>
                <w:sz w:val="20"/>
              </w:rPr>
              <w:t>Group</w:t>
            </w:r>
          </w:p>
        </w:tc>
        <w:tc>
          <w:tcPr>
            <w:tcW w:w="908" w:type="dxa"/>
          </w:tcPr>
          <w:p>
            <w:pPr>
              <w:pStyle w:val="TableParagraph"/>
              <w:rPr>
                <w:rFonts w:ascii="Times New Roman"/>
                <w:sz w:val="16"/>
              </w:rPr>
            </w:pPr>
          </w:p>
        </w:tc>
        <w:tc>
          <w:tcPr>
            <w:tcW w:w="1821" w:type="dxa"/>
            <w:gridSpan w:val="2"/>
          </w:tcPr>
          <w:p>
            <w:pPr>
              <w:pStyle w:val="TableParagraph"/>
              <w:spacing w:line="206" w:lineRule="exact"/>
              <w:ind w:left="985"/>
              <w:rPr>
                <w:b/>
                <w:sz w:val="20"/>
              </w:rPr>
            </w:pPr>
            <w:r>
              <w:rPr>
                <w:b/>
                <w:spacing w:val="-2"/>
                <w:sz w:val="20"/>
              </w:rPr>
              <w:t>College</w:t>
            </w:r>
          </w:p>
        </w:tc>
        <w:tc>
          <w:tcPr>
            <w:tcW w:w="781" w:type="dxa"/>
          </w:tcPr>
          <w:p>
            <w:pPr>
              <w:pStyle w:val="TableParagraph"/>
              <w:rPr>
                <w:rFonts w:ascii="Times New Roman"/>
                <w:sz w:val="16"/>
              </w:rPr>
            </w:pPr>
          </w:p>
        </w:tc>
      </w:tr>
      <w:tr>
        <w:trPr>
          <w:trHeight w:val="230" w:hRule="atLeast"/>
        </w:trPr>
        <w:tc>
          <w:tcPr>
            <w:tcW w:w="4072" w:type="dxa"/>
            <w:gridSpan w:val="2"/>
            <w:vMerge/>
            <w:tcBorders>
              <w:top w:val="nil"/>
            </w:tcBorders>
          </w:tcPr>
          <w:p>
            <w:pPr>
              <w:rPr>
                <w:sz w:val="2"/>
                <w:szCs w:val="2"/>
              </w:rPr>
            </w:pPr>
          </w:p>
        </w:tc>
        <w:tc>
          <w:tcPr>
            <w:tcW w:w="1731" w:type="dxa"/>
            <w:gridSpan w:val="2"/>
          </w:tcPr>
          <w:p>
            <w:pPr>
              <w:pStyle w:val="TableParagraph"/>
              <w:spacing w:line="210" w:lineRule="exact"/>
              <w:ind w:left="204" w:right="218"/>
              <w:jc w:val="center"/>
              <w:rPr>
                <w:b/>
                <w:sz w:val="20"/>
              </w:rPr>
            </w:pPr>
            <w:r>
              <w:rPr>
                <w:b/>
                <w:spacing w:val="-4"/>
                <w:sz w:val="20"/>
              </w:rPr>
              <w:t>2023</w:t>
            </w:r>
          </w:p>
        </w:tc>
        <w:tc>
          <w:tcPr>
            <w:tcW w:w="908" w:type="dxa"/>
          </w:tcPr>
          <w:p>
            <w:pPr>
              <w:pStyle w:val="TableParagraph"/>
              <w:spacing w:line="210" w:lineRule="exact"/>
              <w:ind w:right="248"/>
              <w:jc w:val="right"/>
              <w:rPr>
                <w:b/>
                <w:sz w:val="20"/>
              </w:rPr>
            </w:pPr>
            <w:r>
              <w:rPr>
                <w:b/>
                <w:spacing w:val="-4"/>
                <w:sz w:val="20"/>
              </w:rPr>
              <w:t>2022</w:t>
            </w:r>
          </w:p>
        </w:tc>
        <w:tc>
          <w:tcPr>
            <w:tcW w:w="1821" w:type="dxa"/>
            <w:gridSpan w:val="2"/>
          </w:tcPr>
          <w:p>
            <w:pPr>
              <w:pStyle w:val="TableParagraph"/>
              <w:spacing w:line="210" w:lineRule="exact"/>
              <w:ind w:left="582"/>
              <w:rPr>
                <w:b/>
                <w:sz w:val="20"/>
              </w:rPr>
            </w:pPr>
            <w:r>
              <w:rPr>
                <w:b/>
                <w:spacing w:val="-4"/>
                <w:sz w:val="20"/>
              </w:rPr>
              <w:t>2023</w:t>
            </w:r>
          </w:p>
        </w:tc>
        <w:tc>
          <w:tcPr>
            <w:tcW w:w="781" w:type="dxa"/>
          </w:tcPr>
          <w:p>
            <w:pPr>
              <w:pStyle w:val="TableParagraph"/>
              <w:spacing w:line="210" w:lineRule="exact"/>
              <w:ind w:right="157"/>
              <w:jc w:val="right"/>
              <w:rPr>
                <w:b/>
                <w:sz w:val="20"/>
              </w:rPr>
            </w:pPr>
            <w:r>
              <w:rPr>
                <w:b/>
                <w:spacing w:val="-4"/>
                <w:sz w:val="20"/>
              </w:rPr>
              <w:t>2022</w:t>
            </w:r>
          </w:p>
        </w:tc>
      </w:tr>
      <w:tr>
        <w:trPr>
          <w:trHeight w:val="229" w:hRule="atLeast"/>
        </w:trPr>
        <w:tc>
          <w:tcPr>
            <w:tcW w:w="4072" w:type="dxa"/>
            <w:gridSpan w:val="2"/>
            <w:vMerge/>
            <w:tcBorders>
              <w:top w:val="nil"/>
            </w:tcBorders>
          </w:tcPr>
          <w:p>
            <w:pPr>
              <w:rPr>
                <w:sz w:val="2"/>
                <w:szCs w:val="2"/>
              </w:rPr>
            </w:pPr>
          </w:p>
        </w:tc>
        <w:tc>
          <w:tcPr>
            <w:tcW w:w="1731" w:type="dxa"/>
            <w:gridSpan w:val="2"/>
          </w:tcPr>
          <w:p>
            <w:pPr>
              <w:pStyle w:val="TableParagraph"/>
              <w:spacing w:line="209" w:lineRule="exact"/>
              <w:ind w:left="204" w:right="275"/>
              <w:jc w:val="center"/>
              <w:rPr>
                <w:b/>
                <w:sz w:val="20"/>
              </w:rPr>
            </w:pPr>
            <w:r>
              <w:rPr>
                <w:b/>
                <w:spacing w:val="-2"/>
                <w:sz w:val="20"/>
              </w:rPr>
              <w:t>£’000</w:t>
            </w:r>
          </w:p>
        </w:tc>
        <w:tc>
          <w:tcPr>
            <w:tcW w:w="908" w:type="dxa"/>
          </w:tcPr>
          <w:p>
            <w:pPr>
              <w:pStyle w:val="TableParagraph"/>
              <w:spacing w:line="209" w:lineRule="exact"/>
              <w:ind w:right="248"/>
              <w:jc w:val="right"/>
              <w:rPr>
                <w:b/>
                <w:sz w:val="20"/>
              </w:rPr>
            </w:pPr>
            <w:r>
              <w:rPr>
                <w:b/>
                <w:spacing w:val="-2"/>
                <w:sz w:val="20"/>
              </w:rPr>
              <w:t>£’000</w:t>
            </w:r>
          </w:p>
        </w:tc>
        <w:tc>
          <w:tcPr>
            <w:tcW w:w="1821" w:type="dxa"/>
            <w:gridSpan w:val="2"/>
          </w:tcPr>
          <w:p>
            <w:pPr>
              <w:pStyle w:val="TableParagraph"/>
              <w:spacing w:line="209" w:lineRule="exact"/>
              <w:ind w:left="524"/>
              <w:rPr>
                <w:b/>
                <w:sz w:val="20"/>
              </w:rPr>
            </w:pPr>
            <w:r>
              <w:rPr>
                <w:b/>
                <w:spacing w:val="-2"/>
                <w:sz w:val="20"/>
              </w:rPr>
              <w:t>£’000</w:t>
            </w:r>
          </w:p>
        </w:tc>
        <w:tc>
          <w:tcPr>
            <w:tcW w:w="781" w:type="dxa"/>
          </w:tcPr>
          <w:p>
            <w:pPr>
              <w:pStyle w:val="TableParagraph"/>
              <w:spacing w:line="209" w:lineRule="exact"/>
              <w:ind w:right="157"/>
              <w:jc w:val="right"/>
              <w:rPr>
                <w:b/>
                <w:sz w:val="20"/>
              </w:rPr>
            </w:pPr>
            <w:r>
              <w:rPr>
                <w:b/>
                <w:spacing w:val="-2"/>
                <w:sz w:val="20"/>
              </w:rPr>
              <w:t>£’000</w:t>
            </w:r>
          </w:p>
        </w:tc>
      </w:tr>
      <w:tr>
        <w:trPr>
          <w:trHeight w:val="229" w:hRule="atLeast"/>
        </w:trPr>
        <w:tc>
          <w:tcPr>
            <w:tcW w:w="4072" w:type="dxa"/>
            <w:gridSpan w:val="2"/>
          </w:tcPr>
          <w:p>
            <w:pPr>
              <w:pStyle w:val="TableParagraph"/>
              <w:spacing w:line="209" w:lineRule="exact"/>
              <w:ind w:left="1010"/>
              <w:rPr>
                <w:b/>
                <w:sz w:val="20"/>
              </w:rPr>
            </w:pPr>
            <w:r>
              <w:rPr>
                <w:b/>
                <w:sz w:val="20"/>
              </w:rPr>
              <w:t>Payment</w:t>
            </w:r>
            <w:r>
              <w:rPr>
                <w:b/>
                <w:spacing w:val="-11"/>
                <w:sz w:val="20"/>
              </w:rPr>
              <w:t> </w:t>
            </w:r>
            <w:r>
              <w:rPr>
                <w:b/>
                <w:spacing w:val="-5"/>
                <w:sz w:val="20"/>
              </w:rPr>
              <w:t>due</w:t>
            </w:r>
          </w:p>
        </w:tc>
        <w:tc>
          <w:tcPr>
            <w:tcW w:w="1731" w:type="dxa"/>
            <w:gridSpan w:val="2"/>
          </w:tcPr>
          <w:p>
            <w:pPr>
              <w:pStyle w:val="TableParagraph"/>
              <w:rPr>
                <w:rFonts w:ascii="Times New Roman"/>
                <w:sz w:val="16"/>
              </w:rPr>
            </w:pPr>
          </w:p>
        </w:tc>
        <w:tc>
          <w:tcPr>
            <w:tcW w:w="908" w:type="dxa"/>
          </w:tcPr>
          <w:p>
            <w:pPr>
              <w:pStyle w:val="TableParagraph"/>
              <w:rPr>
                <w:rFonts w:ascii="Times New Roman"/>
                <w:sz w:val="16"/>
              </w:rPr>
            </w:pPr>
          </w:p>
        </w:tc>
        <w:tc>
          <w:tcPr>
            <w:tcW w:w="1821" w:type="dxa"/>
            <w:gridSpan w:val="2"/>
          </w:tcPr>
          <w:p>
            <w:pPr>
              <w:pStyle w:val="TableParagraph"/>
              <w:rPr>
                <w:rFonts w:ascii="Times New Roman"/>
                <w:sz w:val="16"/>
              </w:rPr>
            </w:pPr>
          </w:p>
        </w:tc>
        <w:tc>
          <w:tcPr>
            <w:tcW w:w="781" w:type="dxa"/>
          </w:tcPr>
          <w:p>
            <w:pPr>
              <w:pStyle w:val="TableParagraph"/>
              <w:rPr>
                <w:rFonts w:ascii="Times New Roman"/>
                <w:sz w:val="16"/>
              </w:rPr>
            </w:pPr>
          </w:p>
        </w:tc>
      </w:tr>
      <w:tr>
        <w:trPr>
          <w:trHeight w:val="230" w:hRule="atLeast"/>
        </w:trPr>
        <w:tc>
          <w:tcPr>
            <w:tcW w:w="4072" w:type="dxa"/>
            <w:gridSpan w:val="2"/>
          </w:tcPr>
          <w:p>
            <w:pPr>
              <w:pStyle w:val="TableParagraph"/>
              <w:spacing w:line="210" w:lineRule="exact"/>
              <w:ind w:left="1010"/>
              <w:rPr>
                <w:sz w:val="20"/>
              </w:rPr>
            </w:pPr>
            <w:r>
              <w:rPr>
                <w:sz w:val="20"/>
              </w:rPr>
              <w:t>Not</w:t>
            </w:r>
            <w:r>
              <w:rPr>
                <w:spacing w:val="-5"/>
                <w:sz w:val="20"/>
              </w:rPr>
              <w:t> </w:t>
            </w:r>
            <w:r>
              <w:rPr>
                <w:sz w:val="20"/>
              </w:rPr>
              <w:t>later</w:t>
            </w:r>
            <w:r>
              <w:rPr>
                <w:spacing w:val="-5"/>
                <w:sz w:val="20"/>
              </w:rPr>
              <w:t> </w:t>
            </w:r>
            <w:r>
              <w:rPr>
                <w:sz w:val="20"/>
              </w:rPr>
              <w:t>than</w:t>
            </w:r>
            <w:r>
              <w:rPr>
                <w:spacing w:val="-3"/>
                <w:sz w:val="20"/>
              </w:rPr>
              <w:t> </w:t>
            </w:r>
            <w:r>
              <w:rPr>
                <w:sz w:val="20"/>
              </w:rPr>
              <w:t>one</w:t>
            </w:r>
            <w:r>
              <w:rPr>
                <w:spacing w:val="-5"/>
                <w:sz w:val="20"/>
              </w:rPr>
              <w:t> </w:t>
            </w:r>
            <w:r>
              <w:rPr>
                <w:spacing w:val="-4"/>
                <w:sz w:val="20"/>
              </w:rPr>
              <w:t>year</w:t>
            </w:r>
          </w:p>
        </w:tc>
        <w:tc>
          <w:tcPr>
            <w:tcW w:w="1731" w:type="dxa"/>
            <w:gridSpan w:val="2"/>
          </w:tcPr>
          <w:p>
            <w:pPr>
              <w:pStyle w:val="TableParagraph"/>
              <w:spacing w:line="210" w:lineRule="exact"/>
              <w:ind w:left="275" w:right="71"/>
              <w:jc w:val="center"/>
              <w:rPr>
                <w:sz w:val="20"/>
              </w:rPr>
            </w:pPr>
            <w:r>
              <w:rPr>
                <w:spacing w:val="-5"/>
                <w:sz w:val="20"/>
              </w:rPr>
              <w:t>62</w:t>
            </w:r>
          </w:p>
        </w:tc>
        <w:tc>
          <w:tcPr>
            <w:tcW w:w="908" w:type="dxa"/>
          </w:tcPr>
          <w:p>
            <w:pPr>
              <w:pStyle w:val="TableParagraph"/>
              <w:spacing w:line="210" w:lineRule="exact"/>
              <w:ind w:right="248"/>
              <w:jc w:val="right"/>
              <w:rPr>
                <w:sz w:val="20"/>
              </w:rPr>
            </w:pPr>
            <w:r>
              <w:rPr>
                <w:spacing w:val="-5"/>
                <w:sz w:val="20"/>
              </w:rPr>
              <w:t>82</w:t>
            </w:r>
          </w:p>
        </w:tc>
        <w:tc>
          <w:tcPr>
            <w:tcW w:w="1821" w:type="dxa"/>
            <w:gridSpan w:val="2"/>
          </w:tcPr>
          <w:p>
            <w:pPr>
              <w:pStyle w:val="TableParagraph"/>
              <w:spacing w:line="210" w:lineRule="exact"/>
              <w:ind w:left="107" w:right="102"/>
              <w:jc w:val="center"/>
              <w:rPr>
                <w:sz w:val="20"/>
              </w:rPr>
            </w:pPr>
            <w:r>
              <w:rPr>
                <w:spacing w:val="-5"/>
                <w:sz w:val="20"/>
              </w:rPr>
              <w:t>62</w:t>
            </w:r>
          </w:p>
        </w:tc>
        <w:tc>
          <w:tcPr>
            <w:tcW w:w="781" w:type="dxa"/>
          </w:tcPr>
          <w:p>
            <w:pPr>
              <w:pStyle w:val="TableParagraph"/>
              <w:spacing w:line="210" w:lineRule="exact"/>
              <w:ind w:right="157"/>
              <w:jc w:val="right"/>
              <w:rPr>
                <w:sz w:val="20"/>
              </w:rPr>
            </w:pPr>
            <w:r>
              <w:rPr>
                <w:spacing w:val="-5"/>
                <w:sz w:val="20"/>
              </w:rPr>
              <w:t>82</w:t>
            </w:r>
          </w:p>
        </w:tc>
      </w:tr>
      <w:tr>
        <w:trPr>
          <w:trHeight w:val="230" w:hRule="atLeast"/>
        </w:trPr>
        <w:tc>
          <w:tcPr>
            <w:tcW w:w="4072" w:type="dxa"/>
            <w:gridSpan w:val="2"/>
          </w:tcPr>
          <w:p>
            <w:pPr>
              <w:pStyle w:val="TableParagraph"/>
              <w:spacing w:line="210" w:lineRule="exact"/>
              <w:ind w:left="1010"/>
              <w:rPr>
                <w:sz w:val="20"/>
              </w:rPr>
            </w:pPr>
            <w:r>
              <w:rPr>
                <w:sz w:val="20"/>
              </w:rPr>
              <w:t>Later</w:t>
            </w:r>
            <w:r>
              <w:rPr>
                <w:spacing w:val="15"/>
                <w:sz w:val="20"/>
              </w:rPr>
              <w:t> </w:t>
            </w:r>
            <w:r>
              <w:rPr>
                <w:sz w:val="20"/>
              </w:rPr>
              <w:t>than</w:t>
            </w:r>
            <w:r>
              <w:rPr>
                <w:spacing w:val="14"/>
                <w:sz w:val="20"/>
              </w:rPr>
              <w:t> </w:t>
            </w:r>
            <w:r>
              <w:rPr>
                <w:sz w:val="20"/>
              </w:rPr>
              <w:t>one</w:t>
            </w:r>
            <w:r>
              <w:rPr>
                <w:spacing w:val="13"/>
                <w:sz w:val="20"/>
              </w:rPr>
              <w:t> </w:t>
            </w:r>
            <w:r>
              <w:rPr>
                <w:sz w:val="20"/>
              </w:rPr>
              <w:t>year</w:t>
            </w:r>
            <w:r>
              <w:rPr>
                <w:spacing w:val="14"/>
                <w:sz w:val="20"/>
              </w:rPr>
              <w:t> </w:t>
            </w:r>
            <w:r>
              <w:rPr>
                <w:sz w:val="20"/>
              </w:rPr>
              <w:t>and</w:t>
            </w:r>
            <w:r>
              <w:rPr>
                <w:spacing w:val="14"/>
                <w:sz w:val="20"/>
              </w:rPr>
              <w:t> </w:t>
            </w:r>
            <w:r>
              <w:rPr>
                <w:sz w:val="20"/>
              </w:rPr>
              <w:t>not</w:t>
            </w:r>
            <w:r>
              <w:rPr>
                <w:spacing w:val="15"/>
                <w:sz w:val="20"/>
              </w:rPr>
              <w:t> </w:t>
            </w:r>
            <w:r>
              <w:rPr>
                <w:spacing w:val="-2"/>
                <w:sz w:val="20"/>
              </w:rPr>
              <w:t>later</w:t>
            </w:r>
          </w:p>
        </w:tc>
        <w:tc>
          <w:tcPr>
            <w:tcW w:w="1731" w:type="dxa"/>
            <w:gridSpan w:val="2"/>
          </w:tcPr>
          <w:p>
            <w:pPr>
              <w:pStyle w:val="TableParagraph"/>
              <w:rPr>
                <w:rFonts w:ascii="Times New Roman"/>
                <w:sz w:val="16"/>
              </w:rPr>
            </w:pPr>
          </w:p>
        </w:tc>
        <w:tc>
          <w:tcPr>
            <w:tcW w:w="908" w:type="dxa"/>
          </w:tcPr>
          <w:p>
            <w:pPr>
              <w:pStyle w:val="TableParagraph"/>
              <w:rPr>
                <w:rFonts w:ascii="Times New Roman"/>
                <w:sz w:val="16"/>
              </w:rPr>
            </w:pPr>
          </w:p>
        </w:tc>
        <w:tc>
          <w:tcPr>
            <w:tcW w:w="1821" w:type="dxa"/>
            <w:gridSpan w:val="2"/>
          </w:tcPr>
          <w:p>
            <w:pPr>
              <w:pStyle w:val="TableParagraph"/>
              <w:rPr>
                <w:rFonts w:ascii="Times New Roman"/>
                <w:sz w:val="16"/>
              </w:rPr>
            </w:pPr>
          </w:p>
        </w:tc>
        <w:tc>
          <w:tcPr>
            <w:tcW w:w="781" w:type="dxa"/>
          </w:tcPr>
          <w:p>
            <w:pPr>
              <w:pStyle w:val="TableParagraph"/>
              <w:rPr>
                <w:rFonts w:ascii="Times New Roman"/>
                <w:sz w:val="16"/>
              </w:rPr>
            </w:pPr>
          </w:p>
        </w:tc>
      </w:tr>
      <w:tr>
        <w:trPr>
          <w:trHeight w:val="226" w:hRule="atLeast"/>
        </w:trPr>
        <w:tc>
          <w:tcPr>
            <w:tcW w:w="4072" w:type="dxa"/>
            <w:gridSpan w:val="2"/>
          </w:tcPr>
          <w:p>
            <w:pPr>
              <w:pStyle w:val="TableParagraph"/>
              <w:spacing w:line="206" w:lineRule="exact"/>
              <w:ind w:left="1010"/>
              <w:rPr>
                <w:sz w:val="20"/>
              </w:rPr>
            </w:pPr>
            <w:r>
              <w:rPr>
                <w:sz w:val="20"/>
              </w:rPr>
              <w:t>than</w:t>
            </w:r>
            <w:r>
              <w:rPr>
                <w:spacing w:val="-8"/>
                <w:sz w:val="20"/>
              </w:rPr>
              <w:t> </w:t>
            </w:r>
            <w:r>
              <w:rPr>
                <w:sz w:val="20"/>
              </w:rPr>
              <w:t>five</w:t>
            </w:r>
            <w:r>
              <w:rPr>
                <w:spacing w:val="-6"/>
                <w:sz w:val="20"/>
              </w:rPr>
              <w:t> </w:t>
            </w:r>
            <w:r>
              <w:rPr>
                <w:spacing w:val="-2"/>
                <w:sz w:val="20"/>
              </w:rPr>
              <w:t>years</w:t>
            </w:r>
          </w:p>
        </w:tc>
        <w:tc>
          <w:tcPr>
            <w:tcW w:w="1731" w:type="dxa"/>
            <w:gridSpan w:val="2"/>
          </w:tcPr>
          <w:p>
            <w:pPr>
              <w:pStyle w:val="TableParagraph"/>
              <w:spacing w:line="206" w:lineRule="exact"/>
              <w:ind w:left="204" w:right="111"/>
              <w:jc w:val="center"/>
              <w:rPr>
                <w:sz w:val="20"/>
              </w:rPr>
            </w:pPr>
            <w:r>
              <w:rPr>
                <w:spacing w:val="-5"/>
                <w:sz w:val="20"/>
              </w:rPr>
              <w:t>149</w:t>
            </w:r>
          </w:p>
        </w:tc>
        <w:tc>
          <w:tcPr>
            <w:tcW w:w="908" w:type="dxa"/>
          </w:tcPr>
          <w:p>
            <w:pPr>
              <w:pStyle w:val="TableParagraph"/>
              <w:spacing w:line="206" w:lineRule="exact"/>
              <w:ind w:right="248"/>
              <w:jc w:val="right"/>
              <w:rPr>
                <w:sz w:val="20"/>
              </w:rPr>
            </w:pPr>
            <w:r>
              <w:rPr>
                <w:spacing w:val="-5"/>
                <w:sz w:val="20"/>
              </w:rPr>
              <w:t>167</w:t>
            </w:r>
          </w:p>
        </w:tc>
        <w:tc>
          <w:tcPr>
            <w:tcW w:w="1821" w:type="dxa"/>
            <w:gridSpan w:val="2"/>
          </w:tcPr>
          <w:p>
            <w:pPr>
              <w:pStyle w:val="TableParagraph"/>
              <w:spacing w:line="206" w:lineRule="exact"/>
              <w:ind w:left="5" w:right="107"/>
              <w:jc w:val="center"/>
              <w:rPr>
                <w:sz w:val="20"/>
              </w:rPr>
            </w:pPr>
            <w:r>
              <w:rPr>
                <w:spacing w:val="-5"/>
                <w:sz w:val="20"/>
              </w:rPr>
              <w:t>149</w:t>
            </w:r>
          </w:p>
        </w:tc>
        <w:tc>
          <w:tcPr>
            <w:tcW w:w="781" w:type="dxa"/>
          </w:tcPr>
          <w:p>
            <w:pPr>
              <w:pStyle w:val="TableParagraph"/>
              <w:spacing w:line="206" w:lineRule="exact"/>
              <w:ind w:right="157"/>
              <w:jc w:val="right"/>
              <w:rPr>
                <w:sz w:val="20"/>
              </w:rPr>
            </w:pPr>
            <w:r>
              <w:rPr>
                <w:spacing w:val="-5"/>
                <w:sz w:val="20"/>
              </w:rPr>
              <w:t>167</w:t>
            </w:r>
          </w:p>
        </w:tc>
      </w:tr>
      <w:tr>
        <w:trPr>
          <w:trHeight w:val="299" w:hRule="atLeast"/>
        </w:trPr>
        <w:tc>
          <w:tcPr>
            <w:tcW w:w="416" w:type="dxa"/>
          </w:tcPr>
          <w:p>
            <w:pPr>
              <w:pStyle w:val="TableParagraph"/>
              <w:rPr>
                <w:rFonts w:ascii="Times New Roman"/>
                <w:sz w:val="20"/>
              </w:rPr>
            </w:pPr>
          </w:p>
        </w:tc>
        <w:tc>
          <w:tcPr>
            <w:tcW w:w="3656" w:type="dxa"/>
          </w:tcPr>
          <w:p>
            <w:pPr>
              <w:pStyle w:val="TableParagraph"/>
              <w:spacing w:line="223" w:lineRule="exact"/>
              <w:ind w:left="594"/>
              <w:rPr>
                <w:sz w:val="20"/>
              </w:rPr>
            </w:pPr>
            <w:r>
              <w:rPr>
                <w:sz w:val="20"/>
              </w:rPr>
              <w:t>Later</w:t>
            </w:r>
            <w:r>
              <w:rPr>
                <w:spacing w:val="-6"/>
                <w:sz w:val="20"/>
              </w:rPr>
              <w:t> </w:t>
            </w:r>
            <w:r>
              <w:rPr>
                <w:sz w:val="20"/>
              </w:rPr>
              <w:t>than</w:t>
            </w:r>
            <w:r>
              <w:rPr>
                <w:spacing w:val="-5"/>
                <w:sz w:val="20"/>
              </w:rPr>
              <w:t> </w:t>
            </w:r>
            <w:r>
              <w:rPr>
                <w:sz w:val="20"/>
              </w:rPr>
              <w:t>five</w:t>
            </w:r>
            <w:r>
              <w:rPr>
                <w:spacing w:val="-7"/>
                <w:sz w:val="20"/>
              </w:rPr>
              <w:t> </w:t>
            </w:r>
            <w:r>
              <w:rPr>
                <w:spacing w:val="-4"/>
                <w:sz w:val="20"/>
              </w:rPr>
              <w:t>years</w:t>
            </w:r>
          </w:p>
        </w:tc>
        <w:tc>
          <w:tcPr>
            <w:tcW w:w="1307" w:type="dxa"/>
          </w:tcPr>
          <w:p>
            <w:pPr>
              <w:pStyle w:val="TableParagraph"/>
              <w:tabs>
                <w:tab w:pos="691" w:val="left" w:leader="none"/>
              </w:tabs>
              <w:spacing w:line="223" w:lineRule="exact"/>
              <w:ind w:right="58"/>
              <w:jc w:val="center"/>
              <w:rPr>
                <w:sz w:val="20"/>
              </w:rPr>
            </w:pPr>
            <w:r>
              <w:rPr>
                <w:sz w:val="20"/>
                <w:u w:val="single"/>
              </w:rPr>
              <w:tab/>
            </w:r>
            <w:r>
              <w:rPr>
                <w:spacing w:val="-5"/>
                <w:sz w:val="20"/>
                <w:u w:val="single"/>
              </w:rPr>
              <w:t>632</w:t>
            </w:r>
            <w:r>
              <w:rPr>
                <w:spacing w:val="80"/>
                <w:sz w:val="20"/>
                <w:u w:val="single"/>
              </w:rPr>
              <w:t> </w:t>
            </w:r>
          </w:p>
        </w:tc>
        <w:tc>
          <w:tcPr>
            <w:tcW w:w="1332" w:type="dxa"/>
            <w:gridSpan w:val="2"/>
          </w:tcPr>
          <w:p>
            <w:pPr>
              <w:pStyle w:val="TableParagraph"/>
              <w:tabs>
                <w:tab w:pos="750" w:val="left" w:leader="none"/>
              </w:tabs>
              <w:spacing w:line="223" w:lineRule="exact"/>
              <w:ind w:left="118"/>
              <w:rPr>
                <w:sz w:val="20"/>
              </w:rPr>
            </w:pPr>
            <w:r>
              <w:rPr>
                <w:sz w:val="20"/>
                <w:u w:val="single"/>
              </w:rPr>
              <w:tab/>
            </w:r>
            <w:r>
              <w:rPr>
                <w:spacing w:val="-5"/>
                <w:sz w:val="20"/>
                <w:u w:val="single"/>
              </w:rPr>
              <w:t>670</w:t>
            </w:r>
            <w:r>
              <w:rPr>
                <w:spacing w:val="80"/>
                <w:sz w:val="20"/>
                <w:u w:val="single"/>
              </w:rPr>
              <w:t> </w:t>
            </w:r>
          </w:p>
        </w:tc>
        <w:tc>
          <w:tcPr>
            <w:tcW w:w="1275" w:type="dxa"/>
          </w:tcPr>
          <w:p>
            <w:pPr>
              <w:pStyle w:val="TableParagraph"/>
              <w:tabs>
                <w:tab w:pos="554" w:val="left" w:leader="none"/>
              </w:tabs>
              <w:spacing w:line="223" w:lineRule="exact"/>
              <w:ind w:left="4"/>
              <w:jc w:val="center"/>
              <w:rPr>
                <w:sz w:val="20"/>
              </w:rPr>
            </w:pPr>
            <w:r>
              <w:rPr>
                <w:sz w:val="20"/>
                <w:u w:val="single"/>
              </w:rPr>
              <w:tab/>
            </w:r>
            <w:r>
              <w:rPr>
                <w:spacing w:val="-5"/>
                <w:sz w:val="20"/>
                <w:u w:val="single"/>
              </w:rPr>
              <w:t>632</w:t>
            </w:r>
            <w:r>
              <w:rPr>
                <w:spacing w:val="80"/>
                <w:sz w:val="20"/>
                <w:u w:val="single"/>
              </w:rPr>
              <w:t> </w:t>
            </w:r>
          </w:p>
        </w:tc>
        <w:tc>
          <w:tcPr>
            <w:tcW w:w="1327" w:type="dxa"/>
            <w:gridSpan w:val="2"/>
          </w:tcPr>
          <w:p>
            <w:pPr>
              <w:pStyle w:val="TableParagraph"/>
              <w:tabs>
                <w:tab w:pos="835" w:val="left" w:leader="none"/>
              </w:tabs>
              <w:spacing w:line="223" w:lineRule="exact"/>
              <w:ind w:left="144"/>
              <w:rPr>
                <w:sz w:val="20"/>
              </w:rPr>
            </w:pPr>
            <w:r>
              <w:rPr>
                <w:sz w:val="20"/>
                <w:u w:val="single"/>
              </w:rPr>
              <w:tab/>
            </w:r>
            <w:r>
              <w:rPr>
                <w:spacing w:val="-5"/>
                <w:sz w:val="20"/>
                <w:u w:val="single"/>
              </w:rPr>
              <w:t>670</w:t>
            </w:r>
            <w:r>
              <w:rPr>
                <w:spacing w:val="80"/>
                <w:sz w:val="20"/>
                <w:u w:val="single"/>
              </w:rPr>
              <w:t> </w:t>
            </w:r>
          </w:p>
        </w:tc>
      </w:tr>
      <w:tr>
        <w:trPr>
          <w:trHeight w:val="539" w:hRule="atLeast"/>
        </w:trPr>
        <w:tc>
          <w:tcPr>
            <w:tcW w:w="416" w:type="dxa"/>
          </w:tcPr>
          <w:p>
            <w:pPr>
              <w:pStyle w:val="TableParagraph"/>
              <w:rPr>
                <w:rFonts w:ascii="Times New Roman"/>
                <w:sz w:val="20"/>
              </w:rPr>
            </w:pPr>
          </w:p>
        </w:tc>
        <w:tc>
          <w:tcPr>
            <w:tcW w:w="3656" w:type="dxa"/>
          </w:tcPr>
          <w:p>
            <w:pPr>
              <w:pStyle w:val="TableParagraph"/>
              <w:rPr>
                <w:rFonts w:ascii="Times New Roman"/>
                <w:sz w:val="20"/>
              </w:rPr>
            </w:pPr>
          </w:p>
        </w:tc>
        <w:tc>
          <w:tcPr>
            <w:tcW w:w="1307" w:type="dxa"/>
          </w:tcPr>
          <w:p>
            <w:pPr>
              <w:pStyle w:val="TableParagraph"/>
              <w:tabs>
                <w:tab w:pos="691" w:val="left" w:leader="none"/>
              </w:tabs>
              <w:spacing w:before="61"/>
              <w:ind w:right="58"/>
              <w:jc w:val="center"/>
              <w:rPr>
                <w:sz w:val="20"/>
              </w:rPr>
            </w:pPr>
            <w:r>
              <w:rPr>
                <w:sz w:val="20"/>
                <w:u w:val="double"/>
              </w:rPr>
              <w:tab/>
            </w:r>
            <w:r>
              <w:rPr>
                <w:spacing w:val="-5"/>
                <w:sz w:val="20"/>
                <w:u w:val="double"/>
              </w:rPr>
              <w:t>843</w:t>
            </w:r>
            <w:r>
              <w:rPr>
                <w:spacing w:val="80"/>
                <w:sz w:val="20"/>
                <w:u w:val="double"/>
              </w:rPr>
              <w:t> </w:t>
            </w:r>
          </w:p>
        </w:tc>
        <w:tc>
          <w:tcPr>
            <w:tcW w:w="1332" w:type="dxa"/>
            <w:gridSpan w:val="2"/>
          </w:tcPr>
          <w:p>
            <w:pPr>
              <w:pStyle w:val="TableParagraph"/>
              <w:tabs>
                <w:tab w:pos="750" w:val="left" w:leader="none"/>
              </w:tabs>
              <w:spacing w:before="61"/>
              <w:ind w:left="118"/>
              <w:rPr>
                <w:sz w:val="20"/>
              </w:rPr>
            </w:pPr>
            <w:r>
              <w:rPr>
                <w:sz w:val="20"/>
                <w:u w:val="double"/>
              </w:rPr>
              <w:tab/>
            </w:r>
            <w:r>
              <w:rPr>
                <w:spacing w:val="-5"/>
                <w:sz w:val="20"/>
                <w:u w:val="double"/>
              </w:rPr>
              <w:t>919</w:t>
            </w:r>
            <w:r>
              <w:rPr>
                <w:spacing w:val="80"/>
                <w:sz w:val="20"/>
                <w:u w:val="double"/>
              </w:rPr>
              <w:t> </w:t>
            </w:r>
          </w:p>
        </w:tc>
        <w:tc>
          <w:tcPr>
            <w:tcW w:w="1275" w:type="dxa"/>
          </w:tcPr>
          <w:p>
            <w:pPr>
              <w:pStyle w:val="TableParagraph"/>
              <w:tabs>
                <w:tab w:pos="554" w:val="left" w:leader="none"/>
              </w:tabs>
              <w:spacing w:before="61"/>
              <w:ind w:left="4"/>
              <w:jc w:val="center"/>
              <w:rPr>
                <w:sz w:val="20"/>
              </w:rPr>
            </w:pPr>
            <w:r>
              <w:rPr>
                <w:sz w:val="20"/>
                <w:u w:val="double"/>
              </w:rPr>
              <w:tab/>
            </w:r>
            <w:r>
              <w:rPr>
                <w:spacing w:val="-5"/>
                <w:sz w:val="20"/>
                <w:u w:val="double"/>
              </w:rPr>
              <w:t>843</w:t>
            </w:r>
            <w:r>
              <w:rPr>
                <w:spacing w:val="80"/>
                <w:sz w:val="20"/>
                <w:u w:val="double"/>
              </w:rPr>
              <w:t> </w:t>
            </w:r>
          </w:p>
        </w:tc>
        <w:tc>
          <w:tcPr>
            <w:tcW w:w="1327" w:type="dxa"/>
            <w:gridSpan w:val="2"/>
          </w:tcPr>
          <w:p>
            <w:pPr>
              <w:pStyle w:val="TableParagraph"/>
              <w:tabs>
                <w:tab w:pos="835" w:val="left" w:leader="none"/>
              </w:tabs>
              <w:spacing w:before="61"/>
              <w:ind w:left="144"/>
              <w:rPr>
                <w:sz w:val="20"/>
              </w:rPr>
            </w:pPr>
            <w:r>
              <w:rPr>
                <w:sz w:val="20"/>
                <w:u w:val="double"/>
              </w:rPr>
              <w:tab/>
            </w:r>
            <w:r>
              <w:rPr>
                <w:spacing w:val="-5"/>
                <w:sz w:val="20"/>
                <w:u w:val="double"/>
              </w:rPr>
              <w:t>919</w:t>
            </w:r>
            <w:r>
              <w:rPr>
                <w:spacing w:val="80"/>
                <w:sz w:val="20"/>
                <w:u w:val="double"/>
              </w:rPr>
              <w:t> </w:t>
            </w:r>
          </w:p>
        </w:tc>
      </w:tr>
      <w:tr>
        <w:trPr>
          <w:trHeight w:val="495" w:hRule="atLeast"/>
        </w:trPr>
        <w:tc>
          <w:tcPr>
            <w:tcW w:w="416" w:type="dxa"/>
          </w:tcPr>
          <w:p>
            <w:pPr>
              <w:pStyle w:val="TableParagraph"/>
              <w:spacing w:line="233" w:lineRule="exact" w:before="242"/>
              <w:ind w:left="50"/>
              <w:rPr>
                <w:b/>
                <w:sz w:val="22"/>
              </w:rPr>
            </w:pPr>
            <w:r>
              <w:rPr>
                <w:b/>
                <w:spacing w:val="-5"/>
                <w:sz w:val="22"/>
              </w:rPr>
              <w:t>20.</w:t>
            </w:r>
          </w:p>
        </w:tc>
        <w:tc>
          <w:tcPr>
            <w:tcW w:w="3656" w:type="dxa"/>
          </w:tcPr>
          <w:p>
            <w:pPr>
              <w:pStyle w:val="TableParagraph"/>
              <w:spacing w:line="233" w:lineRule="exact" w:before="242"/>
              <w:ind w:left="61"/>
              <w:rPr>
                <w:b/>
                <w:sz w:val="22"/>
              </w:rPr>
            </w:pPr>
            <w:r>
              <w:rPr>
                <w:b/>
                <w:sz w:val="22"/>
              </w:rPr>
              <w:t>Related</w:t>
            </w:r>
            <w:r>
              <w:rPr>
                <w:b/>
                <w:spacing w:val="-5"/>
                <w:sz w:val="22"/>
              </w:rPr>
              <w:t> </w:t>
            </w:r>
            <w:r>
              <w:rPr>
                <w:b/>
                <w:sz w:val="22"/>
              </w:rPr>
              <w:t>party</w:t>
            </w:r>
            <w:r>
              <w:rPr>
                <w:b/>
                <w:spacing w:val="-5"/>
                <w:sz w:val="22"/>
              </w:rPr>
              <w:t> </w:t>
            </w:r>
            <w:r>
              <w:rPr>
                <w:b/>
                <w:spacing w:val="-2"/>
                <w:sz w:val="22"/>
              </w:rPr>
              <w:t>transactions</w:t>
            </w:r>
          </w:p>
        </w:tc>
        <w:tc>
          <w:tcPr>
            <w:tcW w:w="1307" w:type="dxa"/>
          </w:tcPr>
          <w:p>
            <w:pPr>
              <w:pStyle w:val="TableParagraph"/>
              <w:rPr>
                <w:rFonts w:ascii="Times New Roman"/>
                <w:sz w:val="20"/>
              </w:rPr>
            </w:pPr>
          </w:p>
        </w:tc>
        <w:tc>
          <w:tcPr>
            <w:tcW w:w="1332" w:type="dxa"/>
            <w:gridSpan w:val="2"/>
          </w:tcPr>
          <w:p>
            <w:pPr>
              <w:pStyle w:val="TableParagraph"/>
              <w:rPr>
                <w:rFonts w:ascii="Times New Roman"/>
                <w:sz w:val="20"/>
              </w:rPr>
            </w:pPr>
          </w:p>
        </w:tc>
        <w:tc>
          <w:tcPr>
            <w:tcW w:w="1275" w:type="dxa"/>
          </w:tcPr>
          <w:p>
            <w:pPr>
              <w:pStyle w:val="TableParagraph"/>
              <w:rPr>
                <w:rFonts w:ascii="Times New Roman"/>
                <w:sz w:val="20"/>
              </w:rPr>
            </w:pPr>
          </w:p>
        </w:tc>
        <w:tc>
          <w:tcPr>
            <w:tcW w:w="1327" w:type="dxa"/>
            <w:gridSpan w:val="2"/>
          </w:tcPr>
          <w:p>
            <w:pPr>
              <w:pStyle w:val="TableParagraph"/>
              <w:rPr>
                <w:rFonts w:ascii="Times New Roman"/>
                <w:sz w:val="20"/>
              </w:rPr>
            </w:pPr>
          </w:p>
        </w:tc>
      </w:tr>
    </w:tbl>
    <w:p>
      <w:pPr>
        <w:pStyle w:val="BodyText"/>
        <w:spacing w:before="2"/>
      </w:pPr>
    </w:p>
    <w:p>
      <w:pPr>
        <w:pStyle w:val="BodyText"/>
        <w:ind w:left="852"/>
      </w:pPr>
      <w:r>
        <w:rPr/>
        <w:t>Key</w:t>
      </w:r>
      <w:r>
        <w:rPr>
          <w:spacing w:val="-7"/>
        </w:rPr>
        <w:t> </w:t>
      </w:r>
      <w:r>
        <w:rPr/>
        <w:t>management</w:t>
      </w:r>
      <w:r>
        <w:rPr>
          <w:spacing w:val="-7"/>
        </w:rPr>
        <w:t> </w:t>
      </w:r>
      <w:r>
        <w:rPr/>
        <w:t>compensation</w:t>
      </w:r>
      <w:r>
        <w:rPr>
          <w:spacing w:val="-8"/>
        </w:rPr>
        <w:t> </w:t>
      </w:r>
      <w:r>
        <w:rPr/>
        <w:t>disclosure</w:t>
      </w:r>
      <w:r>
        <w:rPr>
          <w:spacing w:val="-5"/>
        </w:rPr>
        <w:t> </w:t>
      </w:r>
      <w:r>
        <w:rPr/>
        <w:t>is</w:t>
      </w:r>
      <w:r>
        <w:rPr>
          <w:spacing w:val="-7"/>
        </w:rPr>
        <w:t> </w:t>
      </w:r>
      <w:r>
        <w:rPr/>
        <w:t>given</w:t>
      </w:r>
      <w:r>
        <w:rPr>
          <w:spacing w:val="-7"/>
        </w:rPr>
        <w:t> </w:t>
      </w:r>
      <w:r>
        <w:rPr/>
        <w:t>in</w:t>
      </w:r>
      <w:r>
        <w:rPr>
          <w:spacing w:val="-6"/>
        </w:rPr>
        <w:t> </w:t>
      </w:r>
      <w:r>
        <w:rPr/>
        <w:t>note</w:t>
      </w:r>
      <w:r>
        <w:rPr>
          <w:spacing w:val="-5"/>
        </w:rPr>
        <w:t> 7.</w:t>
      </w:r>
    </w:p>
    <w:p>
      <w:pPr>
        <w:pStyle w:val="BodyText"/>
        <w:spacing w:before="1"/>
      </w:pPr>
    </w:p>
    <w:p>
      <w:pPr>
        <w:pStyle w:val="Heading6"/>
        <w:jc w:val="left"/>
      </w:pPr>
      <w:r>
        <w:rPr/>
        <w:t>Transactions</w:t>
      </w:r>
      <w:r>
        <w:rPr>
          <w:spacing w:val="-11"/>
        </w:rPr>
        <w:t> </w:t>
      </w:r>
      <w:r>
        <w:rPr/>
        <w:t>with</w:t>
      </w:r>
      <w:r>
        <w:rPr>
          <w:spacing w:val="-10"/>
        </w:rPr>
        <w:t> </w:t>
      </w:r>
      <w:r>
        <w:rPr>
          <w:spacing w:val="-2"/>
        </w:rPr>
        <w:t>subsidiaries</w:t>
      </w:r>
    </w:p>
    <w:p>
      <w:pPr>
        <w:pStyle w:val="BodyText"/>
        <w:spacing w:before="229"/>
        <w:ind w:left="852"/>
      </w:pPr>
      <w:r>
        <w:rPr/>
        <w:t>Sales</w:t>
      </w:r>
      <w:r>
        <w:rPr>
          <w:spacing w:val="-7"/>
        </w:rPr>
        <w:t> </w:t>
      </w:r>
      <w:r>
        <w:rPr/>
        <w:t>of</w:t>
      </w:r>
      <w:r>
        <w:rPr>
          <w:spacing w:val="-6"/>
        </w:rPr>
        <w:t> </w:t>
      </w:r>
      <w:r>
        <w:rPr/>
        <w:t>£4,300,000</w:t>
      </w:r>
      <w:r>
        <w:rPr>
          <w:spacing w:val="-7"/>
        </w:rPr>
        <w:t> </w:t>
      </w:r>
      <w:r>
        <w:rPr/>
        <w:t>(2022:</w:t>
      </w:r>
      <w:r>
        <w:rPr>
          <w:spacing w:val="-6"/>
        </w:rPr>
        <w:t> </w:t>
      </w:r>
      <w:r>
        <w:rPr/>
        <w:t>£4,184,000)</w:t>
      </w:r>
      <w:r>
        <w:rPr>
          <w:spacing w:val="-5"/>
        </w:rPr>
        <w:t> </w:t>
      </w:r>
      <w:r>
        <w:rPr/>
        <w:t>and</w:t>
      </w:r>
      <w:r>
        <w:rPr>
          <w:spacing w:val="-8"/>
        </w:rPr>
        <w:t> </w:t>
      </w:r>
      <w:r>
        <w:rPr/>
        <w:t>staff</w:t>
      </w:r>
      <w:r>
        <w:rPr>
          <w:spacing w:val="-7"/>
        </w:rPr>
        <w:t> </w:t>
      </w:r>
      <w:r>
        <w:rPr/>
        <w:t>costs,</w:t>
      </w:r>
      <w:r>
        <w:rPr>
          <w:spacing w:val="-8"/>
        </w:rPr>
        <w:t> </w:t>
      </w:r>
      <w:r>
        <w:rPr/>
        <w:t>travel</w:t>
      </w:r>
      <w:r>
        <w:rPr>
          <w:spacing w:val="-9"/>
        </w:rPr>
        <w:t> </w:t>
      </w:r>
      <w:r>
        <w:rPr/>
        <w:t>expenses</w:t>
      </w:r>
      <w:r>
        <w:rPr>
          <w:spacing w:val="-7"/>
        </w:rPr>
        <w:t> </w:t>
      </w:r>
      <w:r>
        <w:rPr/>
        <w:t>and</w:t>
      </w:r>
      <w:r>
        <w:rPr>
          <w:spacing w:val="-8"/>
        </w:rPr>
        <w:t> </w:t>
      </w:r>
      <w:r>
        <w:rPr/>
        <w:t>Management</w:t>
      </w:r>
      <w:r>
        <w:rPr>
          <w:spacing w:val="-7"/>
        </w:rPr>
        <w:t> </w:t>
      </w:r>
      <w:r>
        <w:rPr/>
        <w:t>charges</w:t>
      </w:r>
      <w:r>
        <w:rPr>
          <w:spacing w:val="-7"/>
        </w:rPr>
        <w:t> </w:t>
      </w:r>
      <w:r>
        <w:rPr>
          <w:spacing w:val="-5"/>
        </w:rPr>
        <w:t>of</w:t>
      </w:r>
    </w:p>
    <w:p>
      <w:pPr>
        <w:pStyle w:val="BodyText"/>
        <w:ind w:left="852"/>
      </w:pPr>
      <w:r>
        <w:rPr/>
        <w:t>£4,277,000</w:t>
      </w:r>
      <w:r>
        <w:rPr>
          <w:spacing w:val="-8"/>
        </w:rPr>
        <w:t> </w:t>
      </w:r>
      <w:r>
        <w:rPr/>
        <w:t>(2022:</w:t>
      </w:r>
      <w:r>
        <w:rPr>
          <w:spacing w:val="-7"/>
        </w:rPr>
        <w:t> </w:t>
      </w:r>
      <w:r>
        <w:rPr/>
        <w:t>£4,324,000)</w:t>
      </w:r>
      <w:r>
        <w:rPr>
          <w:spacing w:val="-6"/>
        </w:rPr>
        <w:t> </w:t>
      </w:r>
      <w:r>
        <w:rPr/>
        <w:t>were</w:t>
      </w:r>
      <w:r>
        <w:rPr>
          <w:spacing w:val="-7"/>
        </w:rPr>
        <w:t> </w:t>
      </w:r>
      <w:r>
        <w:rPr/>
        <w:t>recharged</w:t>
      </w:r>
      <w:r>
        <w:rPr>
          <w:spacing w:val="-7"/>
        </w:rPr>
        <w:t> </w:t>
      </w:r>
      <w:r>
        <w:rPr/>
        <w:t>to</w:t>
      </w:r>
      <w:r>
        <w:rPr>
          <w:spacing w:val="-7"/>
        </w:rPr>
        <w:t> </w:t>
      </w:r>
      <w:r>
        <w:rPr/>
        <w:t>the</w:t>
      </w:r>
      <w:r>
        <w:rPr>
          <w:spacing w:val="-5"/>
        </w:rPr>
        <w:t> </w:t>
      </w:r>
      <w:r>
        <w:rPr/>
        <w:t>subsidiaries.</w:t>
      </w:r>
      <w:r>
        <w:rPr>
          <w:spacing w:val="-7"/>
        </w:rPr>
        <w:t> </w:t>
      </w:r>
      <w:r>
        <w:rPr/>
        <w:t>Gift</w:t>
      </w:r>
      <w:r>
        <w:rPr>
          <w:spacing w:val="-5"/>
        </w:rPr>
        <w:t> </w:t>
      </w:r>
      <w:r>
        <w:rPr/>
        <w:t>aid</w:t>
      </w:r>
      <w:r>
        <w:rPr>
          <w:spacing w:val="-7"/>
        </w:rPr>
        <w:t> </w:t>
      </w:r>
      <w:r>
        <w:rPr/>
        <w:t>of</w:t>
      </w:r>
      <w:r>
        <w:rPr>
          <w:spacing w:val="-5"/>
        </w:rPr>
        <w:t> </w:t>
      </w:r>
      <w:r>
        <w:rPr/>
        <w:t>£77,000</w:t>
      </w:r>
      <w:r>
        <w:rPr>
          <w:spacing w:val="-7"/>
        </w:rPr>
        <w:t> </w:t>
      </w:r>
      <w:r>
        <w:rPr>
          <w:spacing w:val="-2"/>
        </w:rPr>
        <w:t>(2022:</w:t>
      </w:r>
    </w:p>
    <w:p>
      <w:pPr>
        <w:pStyle w:val="BodyText"/>
        <w:spacing w:before="1"/>
        <w:ind w:left="851" w:right="703"/>
      </w:pPr>
      <w:r>
        <w:rPr/>
        <w:t>£29,000)</w:t>
      </w:r>
      <w:r>
        <w:rPr>
          <w:spacing w:val="-2"/>
        </w:rPr>
        <w:t> </w:t>
      </w:r>
      <w:r>
        <w:rPr/>
        <w:t>was</w:t>
      </w:r>
      <w:r>
        <w:rPr>
          <w:spacing w:val="-2"/>
        </w:rPr>
        <w:t> </w:t>
      </w:r>
      <w:r>
        <w:rPr/>
        <w:t>donated</w:t>
      </w:r>
      <w:r>
        <w:rPr>
          <w:spacing w:val="-3"/>
        </w:rPr>
        <w:t> </w:t>
      </w:r>
      <w:r>
        <w:rPr/>
        <w:t>by</w:t>
      </w:r>
      <w:r>
        <w:rPr>
          <w:spacing w:val="-2"/>
        </w:rPr>
        <w:t> </w:t>
      </w:r>
      <w:r>
        <w:rPr/>
        <w:t>the</w:t>
      </w:r>
      <w:r>
        <w:rPr>
          <w:spacing w:val="-3"/>
        </w:rPr>
        <w:t> </w:t>
      </w:r>
      <w:r>
        <w:rPr/>
        <w:t>subsidiaries</w:t>
      </w:r>
      <w:r>
        <w:rPr>
          <w:spacing w:val="-2"/>
        </w:rPr>
        <w:t> </w:t>
      </w:r>
      <w:r>
        <w:rPr/>
        <w:t>to</w:t>
      </w:r>
      <w:r>
        <w:rPr>
          <w:spacing w:val="-3"/>
        </w:rPr>
        <w:t> </w:t>
      </w:r>
      <w:r>
        <w:rPr/>
        <w:t>the</w:t>
      </w:r>
      <w:r>
        <w:rPr>
          <w:spacing w:val="-3"/>
        </w:rPr>
        <w:t> </w:t>
      </w:r>
      <w:r>
        <w:rPr/>
        <w:t>college.</w:t>
      </w:r>
      <w:r>
        <w:rPr>
          <w:spacing w:val="-3"/>
        </w:rPr>
        <w:t> </w:t>
      </w:r>
      <w:r>
        <w:rPr/>
        <w:t>There</w:t>
      </w:r>
      <w:r>
        <w:rPr>
          <w:spacing w:val="-3"/>
        </w:rPr>
        <w:t> </w:t>
      </w:r>
      <w:r>
        <w:rPr/>
        <w:t>were</w:t>
      </w:r>
      <w:r>
        <w:rPr>
          <w:spacing w:val="-3"/>
        </w:rPr>
        <w:t> </w:t>
      </w:r>
      <w:r>
        <w:rPr/>
        <w:t>amounts</w:t>
      </w:r>
      <w:r>
        <w:rPr>
          <w:spacing w:val="-2"/>
        </w:rPr>
        <w:t> </w:t>
      </w:r>
      <w:r>
        <w:rPr/>
        <w:t>of £205,000</w:t>
      </w:r>
      <w:r>
        <w:rPr>
          <w:spacing w:val="-3"/>
        </w:rPr>
        <w:t> </w:t>
      </w:r>
      <w:r>
        <w:rPr/>
        <w:t>owed</w:t>
      </w:r>
      <w:r>
        <w:rPr>
          <w:spacing w:val="-3"/>
        </w:rPr>
        <w:t> </w:t>
      </w:r>
      <w:r>
        <w:rPr/>
        <w:t>by a subsidiary and £81,000 owed to a subsidiary (2022: £325,000 owed to the subsidiaries) at the year </w:t>
      </w:r>
      <w:r>
        <w:rPr>
          <w:spacing w:val="-4"/>
        </w:rPr>
        <w:t>end.</w:t>
      </w:r>
    </w:p>
    <w:p>
      <w:pPr>
        <w:pStyle w:val="BodyText"/>
        <w:spacing w:after="0"/>
        <w:sectPr>
          <w:pgSz w:w="11910" w:h="16850"/>
          <w:pgMar w:header="727" w:footer="702" w:top="1520" w:bottom="900" w:left="566" w:right="708"/>
        </w:sectPr>
      </w:pPr>
    </w:p>
    <w:p>
      <w:pPr>
        <w:pStyle w:val="Heading2"/>
        <w:ind w:left="873"/>
      </w:pPr>
      <w:r>
        <w:rPr/>
        <w:t>FUNDING</w:t>
      </w:r>
      <w:r>
        <w:rPr>
          <w:spacing w:val="-4"/>
        </w:rPr>
        <w:t> </w:t>
      </w:r>
      <w:r>
        <w:rPr>
          <w:spacing w:val="-2"/>
        </w:rPr>
        <w:t>AGENCY</w:t>
      </w:r>
    </w:p>
    <w:p>
      <w:pPr>
        <w:pStyle w:val="BodyText"/>
        <w:spacing w:before="45"/>
        <w:rPr>
          <w:b/>
        </w:rPr>
      </w:pPr>
    </w:p>
    <w:p>
      <w:pPr>
        <w:pStyle w:val="Heading6"/>
        <w:ind w:left="874"/>
        <w:jc w:val="left"/>
      </w:pPr>
      <w:r>
        <w:rPr>
          <w:spacing w:val="-2"/>
        </w:rPr>
        <w:t>Conclusion</w:t>
      </w:r>
    </w:p>
    <w:p>
      <w:pPr>
        <w:pStyle w:val="BodyText"/>
        <w:ind w:left="874" w:right="731"/>
        <w:jc w:val="both"/>
      </w:pPr>
      <w:r>
        <w:rPr/>
        <w:t>We have carried out an engagement, in accordance with the terms of our engagement letter dated 29 October 2021</w:t>
      </w:r>
      <w:r>
        <w:rPr>
          <w:spacing w:val="40"/>
        </w:rPr>
        <w:t> </w:t>
      </w:r>
      <w:r>
        <w:rPr/>
        <w:t>and further to the requirements of the grant funding agreements and contracts with the Education</w:t>
      </w:r>
      <w:r>
        <w:rPr>
          <w:spacing w:val="-7"/>
        </w:rPr>
        <w:t> </w:t>
      </w:r>
      <w:r>
        <w:rPr/>
        <w:t>and</w:t>
      </w:r>
      <w:r>
        <w:rPr>
          <w:spacing w:val="-5"/>
        </w:rPr>
        <w:t> </w:t>
      </w:r>
      <w:r>
        <w:rPr/>
        <w:t>Skills</w:t>
      </w:r>
      <w:r>
        <w:rPr>
          <w:spacing w:val="-5"/>
        </w:rPr>
        <w:t> </w:t>
      </w:r>
      <w:r>
        <w:rPr/>
        <w:t>Funding</w:t>
      </w:r>
      <w:r>
        <w:rPr>
          <w:spacing w:val="-7"/>
        </w:rPr>
        <w:t> </w:t>
      </w:r>
      <w:r>
        <w:rPr/>
        <w:t>Agency</w:t>
      </w:r>
      <w:r>
        <w:rPr>
          <w:spacing w:val="-5"/>
        </w:rPr>
        <w:t> </w:t>
      </w:r>
      <w:r>
        <w:rPr/>
        <w:t>(the</w:t>
      </w:r>
      <w:r>
        <w:rPr>
          <w:spacing w:val="-7"/>
        </w:rPr>
        <w:t> </w:t>
      </w:r>
      <w:r>
        <w:rPr/>
        <w:t>“ESFA”)</w:t>
      </w:r>
      <w:r>
        <w:rPr>
          <w:spacing w:val="-5"/>
        </w:rPr>
        <w:t> </w:t>
      </w:r>
      <w:r>
        <w:rPr/>
        <w:t>or</w:t>
      </w:r>
      <w:r>
        <w:rPr>
          <w:spacing w:val="-5"/>
        </w:rPr>
        <w:t> </w:t>
      </w:r>
      <w:r>
        <w:rPr/>
        <w:t>those</w:t>
      </w:r>
      <w:r>
        <w:rPr>
          <w:spacing w:val="-7"/>
        </w:rPr>
        <w:t> </w:t>
      </w:r>
      <w:r>
        <w:rPr/>
        <w:t>of</w:t>
      </w:r>
      <w:r>
        <w:rPr>
          <w:spacing w:val="-6"/>
        </w:rPr>
        <w:t> </w:t>
      </w:r>
      <w:r>
        <w:rPr/>
        <w:t>any</w:t>
      </w:r>
      <w:r>
        <w:rPr>
          <w:spacing w:val="-5"/>
        </w:rPr>
        <w:t> </w:t>
      </w:r>
      <w:r>
        <w:rPr/>
        <w:t>other</w:t>
      </w:r>
      <w:r>
        <w:rPr>
          <w:spacing w:val="-5"/>
        </w:rPr>
        <w:t> </w:t>
      </w:r>
      <w:r>
        <w:rPr/>
        <w:t>public</w:t>
      </w:r>
      <w:r>
        <w:rPr>
          <w:spacing w:val="-5"/>
        </w:rPr>
        <w:t> </w:t>
      </w:r>
      <w:r>
        <w:rPr/>
        <w:t>funder,</w:t>
      </w:r>
      <w:r>
        <w:rPr>
          <w:spacing w:val="-6"/>
        </w:rPr>
        <w:t> </w:t>
      </w:r>
      <w:r>
        <w:rPr/>
        <w:t>to</w:t>
      </w:r>
      <w:r>
        <w:rPr>
          <w:spacing w:val="-7"/>
        </w:rPr>
        <w:t> </w:t>
      </w:r>
      <w:r>
        <w:rPr/>
        <w:t>obtain</w:t>
      </w:r>
      <w:r>
        <w:rPr>
          <w:spacing w:val="-7"/>
        </w:rPr>
        <w:t> </w:t>
      </w:r>
      <w:r>
        <w:rPr/>
        <w:t>limited assurance about whether the expenditure disbursed and income received by Hull College during the period 1 August 2022 to 31 July 2023 have been applied to the purposes identified by Parliament and the financial transactions conform to the authorities which govern them.</w:t>
      </w:r>
    </w:p>
    <w:p>
      <w:pPr>
        <w:pStyle w:val="BodyText"/>
        <w:spacing w:before="1"/>
      </w:pPr>
    </w:p>
    <w:p>
      <w:pPr>
        <w:pStyle w:val="BodyText"/>
        <w:ind w:left="874" w:right="728"/>
        <w:jc w:val="both"/>
      </w:pPr>
      <w:r>
        <w:rPr/>
        <w:t>In</w:t>
      </w:r>
      <w:r>
        <w:rPr>
          <w:spacing w:val="-10"/>
        </w:rPr>
        <w:t> </w:t>
      </w:r>
      <w:r>
        <w:rPr/>
        <w:t>the</w:t>
      </w:r>
      <w:r>
        <w:rPr>
          <w:spacing w:val="-8"/>
        </w:rPr>
        <w:t> </w:t>
      </w:r>
      <w:r>
        <w:rPr/>
        <w:t>course</w:t>
      </w:r>
      <w:r>
        <w:rPr>
          <w:spacing w:val="-8"/>
        </w:rPr>
        <w:t> </w:t>
      </w:r>
      <w:r>
        <w:rPr/>
        <w:t>of</w:t>
      </w:r>
      <w:r>
        <w:rPr>
          <w:spacing w:val="-8"/>
        </w:rPr>
        <w:t> </w:t>
      </w:r>
      <w:r>
        <w:rPr/>
        <w:t>our</w:t>
      </w:r>
      <w:r>
        <w:rPr>
          <w:spacing w:val="-7"/>
        </w:rPr>
        <w:t> </w:t>
      </w:r>
      <w:r>
        <w:rPr/>
        <w:t>work,</w:t>
      </w:r>
      <w:r>
        <w:rPr>
          <w:spacing w:val="-10"/>
        </w:rPr>
        <w:t> </w:t>
      </w:r>
      <w:r>
        <w:rPr/>
        <w:t>nothing</w:t>
      </w:r>
      <w:r>
        <w:rPr>
          <w:spacing w:val="-8"/>
        </w:rPr>
        <w:t> </w:t>
      </w:r>
      <w:r>
        <w:rPr/>
        <w:t>has</w:t>
      </w:r>
      <w:r>
        <w:rPr>
          <w:spacing w:val="-6"/>
        </w:rPr>
        <w:t> </w:t>
      </w:r>
      <w:r>
        <w:rPr/>
        <w:t>come</w:t>
      </w:r>
      <w:r>
        <w:rPr>
          <w:spacing w:val="-8"/>
        </w:rPr>
        <w:t> </w:t>
      </w:r>
      <w:r>
        <w:rPr/>
        <w:t>to</w:t>
      </w:r>
      <w:r>
        <w:rPr>
          <w:spacing w:val="-8"/>
        </w:rPr>
        <w:t> </w:t>
      </w:r>
      <w:r>
        <w:rPr/>
        <w:t>our</w:t>
      </w:r>
      <w:r>
        <w:rPr>
          <w:spacing w:val="-9"/>
        </w:rPr>
        <w:t> </w:t>
      </w:r>
      <w:r>
        <w:rPr/>
        <w:t>attention</w:t>
      </w:r>
      <w:r>
        <w:rPr>
          <w:spacing w:val="-10"/>
        </w:rPr>
        <w:t> </w:t>
      </w:r>
      <w:r>
        <w:rPr/>
        <w:t>which</w:t>
      </w:r>
      <w:r>
        <w:rPr>
          <w:spacing w:val="-8"/>
        </w:rPr>
        <w:t> </w:t>
      </w:r>
      <w:r>
        <w:rPr/>
        <w:t>suggests</w:t>
      </w:r>
      <w:r>
        <w:rPr>
          <w:spacing w:val="-9"/>
        </w:rPr>
        <w:t> </w:t>
      </w:r>
      <w:r>
        <w:rPr/>
        <w:t>that</w:t>
      </w:r>
      <w:r>
        <w:rPr>
          <w:spacing w:val="-8"/>
        </w:rPr>
        <w:t> </w:t>
      </w:r>
      <w:r>
        <w:rPr/>
        <w:t>in</w:t>
      </w:r>
      <w:r>
        <w:rPr>
          <w:spacing w:val="-8"/>
        </w:rPr>
        <w:t> </w:t>
      </w:r>
      <w:r>
        <w:rPr/>
        <w:t>all</w:t>
      </w:r>
      <w:r>
        <w:rPr>
          <w:spacing w:val="-9"/>
        </w:rPr>
        <w:t> </w:t>
      </w:r>
      <w:r>
        <w:rPr/>
        <w:t>material</w:t>
      </w:r>
      <w:r>
        <w:rPr>
          <w:spacing w:val="-9"/>
        </w:rPr>
        <w:t> </w:t>
      </w:r>
      <w:r>
        <w:rPr/>
        <w:t>respects the</w:t>
      </w:r>
      <w:r>
        <w:rPr>
          <w:spacing w:val="-2"/>
        </w:rPr>
        <w:t> </w:t>
      </w:r>
      <w:r>
        <w:rPr/>
        <w:t>expenditure</w:t>
      </w:r>
      <w:r>
        <w:rPr>
          <w:spacing w:val="-2"/>
        </w:rPr>
        <w:t> </w:t>
      </w:r>
      <w:r>
        <w:rPr/>
        <w:t>disbursed and</w:t>
      </w:r>
      <w:r>
        <w:rPr>
          <w:spacing w:val="-2"/>
        </w:rPr>
        <w:t> </w:t>
      </w:r>
      <w:r>
        <w:rPr/>
        <w:t>income</w:t>
      </w:r>
      <w:r>
        <w:rPr>
          <w:spacing w:val="-2"/>
        </w:rPr>
        <w:t> </w:t>
      </w:r>
      <w:r>
        <w:rPr/>
        <w:t>received</w:t>
      </w:r>
      <w:r>
        <w:rPr>
          <w:spacing w:val="-2"/>
        </w:rPr>
        <w:t> </w:t>
      </w:r>
      <w:r>
        <w:rPr/>
        <w:t>during</w:t>
      </w:r>
      <w:r>
        <w:rPr>
          <w:spacing w:val="-2"/>
        </w:rPr>
        <w:t> </w:t>
      </w:r>
      <w:r>
        <w:rPr/>
        <w:t>the</w:t>
      </w:r>
      <w:r>
        <w:rPr>
          <w:spacing w:val="-2"/>
        </w:rPr>
        <w:t> </w:t>
      </w:r>
      <w:r>
        <w:rPr/>
        <w:t>period</w:t>
      </w:r>
      <w:r>
        <w:rPr>
          <w:spacing w:val="-2"/>
        </w:rPr>
        <w:t> </w:t>
      </w:r>
      <w:r>
        <w:rPr/>
        <w:t>1 August</w:t>
      </w:r>
      <w:r>
        <w:rPr>
          <w:spacing w:val="-2"/>
        </w:rPr>
        <w:t> </w:t>
      </w:r>
      <w:r>
        <w:rPr/>
        <w:t>2022 to</w:t>
      </w:r>
      <w:r>
        <w:rPr>
          <w:spacing w:val="-2"/>
        </w:rPr>
        <w:t> </w:t>
      </w:r>
      <w:r>
        <w:rPr/>
        <w:t>31</w:t>
      </w:r>
      <w:r>
        <w:rPr>
          <w:spacing w:val="-2"/>
        </w:rPr>
        <w:t> </w:t>
      </w:r>
      <w:r>
        <w:rPr/>
        <w:t>July 2023</w:t>
      </w:r>
      <w:r>
        <w:rPr>
          <w:spacing w:val="-2"/>
        </w:rPr>
        <w:t> </w:t>
      </w:r>
      <w:r>
        <w:rPr/>
        <w:t>have not been applied to purposes intended by Parliament and the financial transactions do not conform to the authorities which govern them.</w:t>
      </w:r>
    </w:p>
    <w:p>
      <w:pPr>
        <w:pStyle w:val="BodyText"/>
      </w:pPr>
    </w:p>
    <w:p>
      <w:pPr>
        <w:pStyle w:val="Heading6"/>
        <w:spacing w:before="1"/>
        <w:ind w:left="874"/>
      </w:pPr>
      <w:r>
        <w:rPr/>
        <w:t>Basis</w:t>
      </w:r>
      <w:r>
        <w:rPr>
          <w:spacing w:val="-7"/>
        </w:rPr>
        <w:t> </w:t>
      </w:r>
      <w:r>
        <w:rPr/>
        <w:t>for</w:t>
      </w:r>
      <w:r>
        <w:rPr>
          <w:spacing w:val="-7"/>
        </w:rPr>
        <w:t> </w:t>
      </w:r>
      <w:r>
        <w:rPr>
          <w:spacing w:val="-2"/>
        </w:rPr>
        <w:t>conclusion</w:t>
      </w:r>
    </w:p>
    <w:p>
      <w:pPr>
        <w:pStyle w:val="BodyText"/>
        <w:ind w:left="873" w:right="730"/>
        <w:jc w:val="both"/>
      </w:pPr>
      <w:r>
        <w:rPr/>
        <w:t>The</w:t>
      </w:r>
      <w:r>
        <w:rPr>
          <w:spacing w:val="-9"/>
        </w:rPr>
        <w:t> </w:t>
      </w:r>
      <w:r>
        <w:rPr/>
        <w:t>framework</w:t>
      </w:r>
      <w:r>
        <w:rPr>
          <w:spacing w:val="-7"/>
        </w:rPr>
        <w:t> </w:t>
      </w:r>
      <w:r>
        <w:rPr/>
        <w:t>that</w:t>
      </w:r>
      <w:r>
        <w:rPr>
          <w:spacing w:val="-9"/>
        </w:rPr>
        <w:t> </w:t>
      </w:r>
      <w:r>
        <w:rPr/>
        <w:t>has</w:t>
      </w:r>
      <w:r>
        <w:rPr>
          <w:spacing w:val="-7"/>
        </w:rPr>
        <w:t> </w:t>
      </w:r>
      <w:r>
        <w:rPr/>
        <w:t>been</w:t>
      </w:r>
      <w:r>
        <w:rPr>
          <w:spacing w:val="-9"/>
        </w:rPr>
        <w:t> </w:t>
      </w:r>
      <w:r>
        <w:rPr/>
        <w:t>applied</w:t>
      </w:r>
      <w:r>
        <w:rPr>
          <w:spacing w:val="-7"/>
        </w:rPr>
        <w:t> </w:t>
      </w:r>
      <w:r>
        <w:rPr/>
        <w:t>is</w:t>
      </w:r>
      <w:r>
        <w:rPr>
          <w:spacing w:val="-7"/>
        </w:rPr>
        <w:t> </w:t>
      </w:r>
      <w:r>
        <w:rPr/>
        <w:t>set</w:t>
      </w:r>
      <w:r>
        <w:rPr>
          <w:spacing w:val="-9"/>
        </w:rPr>
        <w:t> </w:t>
      </w:r>
      <w:r>
        <w:rPr/>
        <w:t>out</w:t>
      </w:r>
      <w:r>
        <w:rPr>
          <w:spacing w:val="-9"/>
        </w:rPr>
        <w:t> </w:t>
      </w:r>
      <w:r>
        <w:rPr/>
        <w:t>in</w:t>
      </w:r>
      <w:r>
        <w:rPr>
          <w:spacing w:val="-9"/>
        </w:rPr>
        <w:t> </w:t>
      </w:r>
      <w:r>
        <w:rPr/>
        <w:t>the</w:t>
      </w:r>
      <w:r>
        <w:rPr>
          <w:spacing w:val="-7"/>
        </w:rPr>
        <w:t> </w:t>
      </w:r>
      <w:r>
        <w:rPr/>
        <w:t>Post-16</w:t>
      </w:r>
      <w:r>
        <w:rPr>
          <w:spacing w:val="-7"/>
        </w:rPr>
        <w:t> </w:t>
      </w:r>
      <w:r>
        <w:rPr/>
        <w:t>Audit</w:t>
      </w:r>
      <w:r>
        <w:rPr>
          <w:spacing w:val="-9"/>
        </w:rPr>
        <w:t> </w:t>
      </w:r>
      <w:r>
        <w:rPr/>
        <w:t>Code</w:t>
      </w:r>
      <w:r>
        <w:rPr>
          <w:spacing w:val="-9"/>
        </w:rPr>
        <w:t> </w:t>
      </w:r>
      <w:r>
        <w:rPr/>
        <w:t>of</w:t>
      </w:r>
      <w:r>
        <w:rPr>
          <w:spacing w:val="-6"/>
        </w:rPr>
        <w:t> </w:t>
      </w:r>
      <w:r>
        <w:rPr/>
        <w:t>Practice</w:t>
      </w:r>
      <w:r>
        <w:rPr>
          <w:spacing w:val="-9"/>
        </w:rPr>
        <w:t> </w:t>
      </w:r>
      <w:r>
        <w:rPr/>
        <w:t>(the</w:t>
      </w:r>
      <w:r>
        <w:rPr>
          <w:spacing w:val="-9"/>
        </w:rPr>
        <w:t> </w:t>
      </w:r>
      <w:r>
        <w:rPr/>
        <w:t>Code)</w:t>
      </w:r>
      <w:r>
        <w:rPr>
          <w:spacing w:val="-8"/>
        </w:rPr>
        <w:t> </w:t>
      </w:r>
      <w:r>
        <w:rPr/>
        <w:t>issued by</w:t>
      </w:r>
      <w:r>
        <w:rPr>
          <w:spacing w:val="-6"/>
        </w:rPr>
        <w:t> </w:t>
      </w:r>
      <w:r>
        <w:rPr/>
        <w:t>the</w:t>
      </w:r>
      <w:r>
        <w:rPr>
          <w:spacing w:val="-6"/>
        </w:rPr>
        <w:t> </w:t>
      </w:r>
      <w:r>
        <w:rPr/>
        <w:t>ESFA</w:t>
      </w:r>
      <w:r>
        <w:rPr>
          <w:spacing w:val="-9"/>
        </w:rPr>
        <w:t> </w:t>
      </w:r>
      <w:r>
        <w:rPr/>
        <w:t>and</w:t>
      </w:r>
      <w:r>
        <w:rPr>
          <w:spacing w:val="-8"/>
        </w:rPr>
        <w:t> </w:t>
      </w:r>
      <w:r>
        <w:rPr/>
        <w:t>in</w:t>
      </w:r>
      <w:r>
        <w:rPr>
          <w:spacing w:val="-8"/>
        </w:rPr>
        <w:t> </w:t>
      </w:r>
      <w:r>
        <w:rPr/>
        <w:t>any</w:t>
      </w:r>
      <w:r>
        <w:rPr>
          <w:spacing w:val="-6"/>
        </w:rPr>
        <w:t> </w:t>
      </w:r>
      <w:r>
        <w:rPr/>
        <w:t>relevant</w:t>
      </w:r>
      <w:r>
        <w:rPr>
          <w:spacing w:val="-8"/>
        </w:rPr>
        <w:t> </w:t>
      </w:r>
      <w:r>
        <w:rPr/>
        <w:t>conditions</w:t>
      </w:r>
      <w:r>
        <w:rPr>
          <w:spacing w:val="-6"/>
        </w:rPr>
        <w:t> </w:t>
      </w:r>
      <w:r>
        <w:rPr/>
        <w:t>of</w:t>
      </w:r>
      <w:r>
        <w:rPr>
          <w:spacing w:val="-8"/>
        </w:rPr>
        <w:t> </w:t>
      </w:r>
      <w:r>
        <w:rPr/>
        <w:t>funding</w:t>
      </w:r>
      <w:r>
        <w:rPr>
          <w:spacing w:val="-6"/>
        </w:rPr>
        <w:t> </w:t>
      </w:r>
      <w:r>
        <w:rPr/>
        <w:t>concerning</w:t>
      </w:r>
      <w:r>
        <w:rPr>
          <w:spacing w:val="-8"/>
        </w:rPr>
        <w:t> </w:t>
      </w:r>
      <w:r>
        <w:rPr/>
        <w:t>adult</w:t>
      </w:r>
      <w:r>
        <w:rPr>
          <w:spacing w:val="-8"/>
        </w:rPr>
        <w:t> </w:t>
      </w:r>
      <w:r>
        <w:rPr/>
        <w:t>education</w:t>
      </w:r>
      <w:r>
        <w:rPr>
          <w:spacing w:val="-6"/>
        </w:rPr>
        <w:t> </w:t>
      </w:r>
      <w:r>
        <w:rPr/>
        <w:t>notified</w:t>
      </w:r>
      <w:r>
        <w:rPr>
          <w:spacing w:val="-8"/>
        </w:rPr>
        <w:t> </w:t>
      </w:r>
      <w:r>
        <w:rPr/>
        <w:t>by</w:t>
      </w:r>
      <w:r>
        <w:rPr>
          <w:spacing w:val="-6"/>
        </w:rPr>
        <w:t> </w:t>
      </w:r>
      <w:r>
        <w:rPr/>
        <w:t>a</w:t>
      </w:r>
      <w:r>
        <w:rPr>
          <w:spacing w:val="-8"/>
        </w:rPr>
        <w:t> </w:t>
      </w:r>
      <w:r>
        <w:rPr/>
        <w:t>relevant </w:t>
      </w:r>
      <w:r>
        <w:rPr>
          <w:spacing w:val="-2"/>
        </w:rPr>
        <w:t>funder.</w:t>
      </w:r>
    </w:p>
    <w:p>
      <w:pPr>
        <w:pStyle w:val="BodyText"/>
        <w:spacing w:before="230"/>
        <w:ind w:left="873" w:right="730"/>
        <w:jc w:val="both"/>
      </w:pPr>
      <w:r>
        <w:rPr/>
        <w:t>We</w:t>
      </w:r>
      <w:r>
        <w:rPr>
          <w:spacing w:val="-12"/>
        </w:rPr>
        <w:t> </w:t>
      </w:r>
      <w:r>
        <w:rPr/>
        <w:t>have</w:t>
      </w:r>
      <w:r>
        <w:rPr>
          <w:spacing w:val="-12"/>
        </w:rPr>
        <w:t> </w:t>
      </w:r>
      <w:r>
        <w:rPr/>
        <w:t>complied</w:t>
      </w:r>
      <w:r>
        <w:rPr>
          <w:spacing w:val="-12"/>
        </w:rPr>
        <w:t> </w:t>
      </w:r>
      <w:r>
        <w:rPr/>
        <w:t>with</w:t>
      </w:r>
      <w:r>
        <w:rPr>
          <w:spacing w:val="-12"/>
        </w:rPr>
        <w:t> </w:t>
      </w:r>
      <w:r>
        <w:rPr/>
        <w:t>the</w:t>
      </w:r>
      <w:r>
        <w:rPr>
          <w:spacing w:val="-12"/>
        </w:rPr>
        <w:t> </w:t>
      </w:r>
      <w:r>
        <w:rPr/>
        <w:t>independence</w:t>
      </w:r>
      <w:r>
        <w:rPr>
          <w:spacing w:val="-12"/>
        </w:rPr>
        <w:t> </w:t>
      </w:r>
      <w:r>
        <w:rPr/>
        <w:t>and</w:t>
      </w:r>
      <w:r>
        <w:rPr>
          <w:spacing w:val="-12"/>
        </w:rPr>
        <w:t> </w:t>
      </w:r>
      <w:r>
        <w:rPr/>
        <w:t>other</w:t>
      </w:r>
      <w:r>
        <w:rPr>
          <w:spacing w:val="-11"/>
        </w:rPr>
        <w:t> </w:t>
      </w:r>
      <w:r>
        <w:rPr/>
        <w:t>ethical</w:t>
      </w:r>
      <w:r>
        <w:rPr>
          <w:spacing w:val="-13"/>
        </w:rPr>
        <w:t> </w:t>
      </w:r>
      <w:r>
        <w:rPr/>
        <w:t>requirements</w:t>
      </w:r>
      <w:r>
        <w:rPr>
          <w:spacing w:val="-11"/>
        </w:rPr>
        <w:t> </w:t>
      </w:r>
      <w:r>
        <w:rPr/>
        <w:t>of</w:t>
      </w:r>
      <w:r>
        <w:rPr>
          <w:spacing w:val="-12"/>
        </w:rPr>
        <w:t> </w:t>
      </w:r>
      <w:r>
        <w:rPr/>
        <w:t>the</w:t>
      </w:r>
      <w:r>
        <w:rPr>
          <w:spacing w:val="-12"/>
        </w:rPr>
        <w:t> </w:t>
      </w:r>
      <w:r>
        <w:rPr/>
        <w:t>FRC’s</w:t>
      </w:r>
      <w:r>
        <w:rPr>
          <w:spacing w:val="-13"/>
        </w:rPr>
        <w:t> </w:t>
      </w:r>
      <w:r>
        <w:rPr/>
        <w:t>Ethical</w:t>
      </w:r>
      <w:r>
        <w:rPr>
          <w:spacing w:val="-13"/>
        </w:rPr>
        <w:t> </w:t>
      </w:r>
      <w:r>
        <w:rPr/>
        <w:t>Standard and the ethical pronouncements of the ICAEW. We also apply International Standard on Quality Management (UK) 1 Quality Management for Firms that Perform Audits or Reviews of Financial Statements, or Other Assurance or Related Services Engagements and accordingly maintain comprehensive systems of continuing quality management.</w:t>
      </w:r>
    </w:p>
    <w:p>
      <w:pPr>
        <w:pStyle w:val="BodyText"/>
      </w:pPr>
    </w:p>
    <w:p>
      <w:pPr>
        <w:pStyle w:val="Heading6"/>
        <w:ind w:left="873"/>
      </w:pPr>
      <w:r>
        <w:rPr/>
        <w:t>Responsibilities</w:t>
      </w:r>
      <w:r>
        <w:rPr>
          <w:spacing w:val="-9"/>
        </w:rPr>
        <w:t> </w:t>
      </w:r>
      <w:r>
        <w:rPr/>
        <w:t>of</w:t>
      </w:r>
      <w:r>
        <w:rPr>
          <w:spacing w:val="-7"/>
        </w:rPr>
        <w:t> </w:t>
      </w:r>
      <w:r>
        <w:rPr/>
        <w:t>Corporation</w:t>
      </w:r>
      <w:r>
        <w:rPr>
          <w:spacing w:val="-8"/>
        </w:rPr>
        <w:t> </w:t>
      </w:r>
      <w:r>
        <w:rPr/>
        <w:t>of</w:t>
      </w:r>
      <w:r>
        <w:rPr>
          <w:spacing w:val="-7"/>
        </w:rPr>
        <w:t> </w:t>
      </w:r>
      <w:r>
        <w:rPr/>
        <w:t>Hull</w:t>
      </w:r>
      <w:r>
        <w:rPr>
          <w:spacing w:val="-9"/>
        </w:rPr>
        <w:t> </w:t>
      </w:r>
      <w:r>
        <w:rPr/>
        <w:t>College</w:t>
      </w:r>
      <w:r>
        <w:rPr>
          <w:spacing w:val="-8"/>
        </w:rPr>
        <w:t> </w:t>
      </w:r>
      <w:r>
        <w:rPr/>
        <w:t>for</w:t>
      </w:r>
      <w:r>
        <w:rPr>
          <w:spacing w:val="-7"/>
        </w:rPr>
        <w:t> </w:t>
      </w:r>
      <w:r>
        <w:rPr>
          <w:spacing w:val="-2"/>
        </w:rPr>
        <w:t>regularity</w:t>
      </w:r>
    </w:p>
    <w:p>
      <w:pPr>
        <w:pStyle w:val="BodyText"/>
        <w:spacing w:before="1"/>
        <w:ind w:left="873" w:right="730"/>
        <w:jc w:val="both"/>
      </w:pPr>
      <w:r>
        <w:rPr/>
        <w:t>The</w:t>
      </w:r>
      <w:r>
        <w:rPr>
          <w:spacing w:val="-4"/>
        </w:rPr>
        <w:t> </w:t>
      </w:r>
      <w:r>
        <w:rPr/>
        <w:t>Corporation</w:t>
      </w:r>
      <w:r>
        <w:rPr>
          <w:spacing w:val="-4"/>
        </w:rPr>
        <w:t> </w:t>
      </w:r>
      <w:r>
        <w:rPr/>
        <w:t>of</w:t>
      </w:r>
      <w:r>
        <w:rPr>
          <w:spacing w:val="-4"/>
        </w:rPr>
        <w:t> </w:t>
      </w:r>
      <w:r>
        <w:rPr/>
        <w:t>Hull</w:t>
      </w:r>
      <w:r>
        <w:rPr>
          <w:spacing w:val="-5"/>
        </w:rPr>
        <w:t> </w:t>
      </w:r>
      <w:r>
        <w:rPr/>
        <w:t>College</w:t>
      </w:r>
      <w:r>
        <w:rPr>
          <w:spacing w:val="-4"/>
        </w:rPr>
        <w:t> </w:t>
      </w:r>
      <w:r>
        <w:rPr/>
        <w:t>is</w:t>
      </w:r>
      <w:r>
        <w:rPr>
          <w:spacing w:val="-3"/>
        </w:rPr>
        <w:t> </w:t>
      </w:r>
      <w:r>
        <w:rPr/>
        <w:t>responsible,</w:t>
      </w:r>
      <w:r>
        <w:rPr>
          <w:spacing w:val="-4"/>
        </w:rPr>
        <w:t> </w:t>
      </w:r>
      <w:r>
        <w:rPr/>
        <w:t>under</w:t>
      </w:r>
      <w:r>
        <w:rPr>
          <w:spacing w:val="-3"/>
        </w:rPr>
        <w:t> </w:t>
      </w:r>
      <w:r>
        <w:rPr/>
        <w:t>the</w:t>
      </w:r>
      <w:r>
        <w:rPr>
          <w:spacing w:val="-4"/>
        </w:rPr>
        <w:t> </w:t>
      </w:r>
      <w:r>
        <w:rPr/>
        <w:t>grant</w:t>
      </w:r>
      <w:r>
        <w:rPr>
          <w:spacing w:val="-4"/>
        </w:rPr>
        <w:t> </w:t>
      </w:r>
      <w:r>
        <w:rPr/>
        <w:t>funding</w:t>
      </w:r>
      <w:r>
        <w:rPr>
          <w:spacing w:val="-4"/>
        </w:rPr>
        <w:t> </w:t>
      </w:r>
      <w:r>
        <w:rPr/>
        <w:t>agreements</w:t>
      </w:r>
      <w:r>
        <w:rPr>
          <w:spacing w:val="-3"/>
        </w:rPr>
        <w:t> </w:t>
      </w:r>
      <w:r>
        <w:rPr/>
        <w:t>and</w:t>
      </w:r>
      <w:r>
        <w:rPr>
          <w:spacing w:val="-4"/>
        </w:rPr>
        <w:t> </w:t>
      </w:r>
      <w:r>
        <w:rPr/>
        <w:t>contracts</w:t>
      </w:r>
      <w:r>
        <w:rPr>
          <w:spacing w:val="-3"/>
        </w:rPr>
        <w:t> </w:t>
      </w:r>
      <w:r>
        <w:rPr/>
        <w:t>with the</w:t>
      </w:r>
      <w:r>
        <w:rPr>
          <w:spacing w:val="-11"/>
        </w:rPr>
        <w:t> </w:t>
      </w:r>
      <w:r>
        <w:rPr/>
        <w:t>ESFA</w:t>
      </w:r>
      <w:r>
        <w:rPr>
          <w:spacing w:val="-12"/>
        </w:rPr>
        <w:t> </w:t>
      </w:r>
      <w:r>
        <w:rPr/>
        <w:t>and</w:t>
      </w:r>
      <w:r>
        <w:rPr>
          <w:spacing w:val="-11"/>
        </w:rPr>
        <w:t> </w:t>
      </w:r>
      <w:r>
        <w:rPr/>
        <w:t>the</w:t>
      </w:r>
      <w:r>
        <w:rPr>
          <w:spacing w:val="-13"/>
        </w:rPr>
        <w:t> </w:t>
      </w:r>
      <w:r>
        <w:rPr/>
        <w:t>requirements</w:t>
      </w:r>
      <w:r>
        <w:rPr>
          <w:spacing w:val="-12"/>
        </w:rPr>
        <w:t> </w:t>
      </w:r>
      <w:r>
        <w:rPr/>
        <w:t>of</w:t>
      </w:r>
      <w:r>
        <w:rPr>
          <w:spacing w:val="-11"/>
        </w:rPr>
        <w:t> </w:t>
      </w:r>
      <w:r>
        <w:rPr/>
        <w:t>the</w:t>
      </w:r>
      <w:r>
        <w:rPr>
          <w:spacing w:val="-13"/>
        </w:rPr>
        <w:t> </w:t>
      </w:r>
      <w:r>
        <w:rPr/>
        <w:t>Further</w:t>
      </w:r>
      <w:r>
        <w:rPr>
          <w:spacing w:val="-10"/>
        </w:rPr>
        <w:t> </w:t>
      </w:r>
      <w:r>
        <w:rPr/>
        <w:t>&amp;</w:t>
      </w:r>
      <w:r>
        <w:rPr>
          <w:spacing w:val="-13"/>
        </w:rPr>
        <w:t> </w:t>
      </w:r>
      <w:r>
        <w:rPr/>
        <w:t>Higher</w:t>
      </w:r>
      <w:r>
        <w:rPr>
          <w:spacing w:val="-10"/>
        </w:rPr>
        <w:t> </w:t>
      </w:r>
      <w:r>
        <w:rPr/>
        <w:t>Education</w:t>
      </w:r>
      <w:r>
        <w:rPr>
          <w:spacing w:val="-11"/>
        </w:rPr>
        <w:t> </w:t>
      </w:r>
      <w:r>
        <w:rPr/>
        <w:t>Act</w:t>
      </w:r>
      <w:r>
        <w:rPr>
          <w:spacing w:val="-11"/>
        </w:rPr>
        <w:t> </w:t>
      </w:r>
      <w:r>
        <w:rPr/>
        <w:t>1992,</w:t>
      </w:r>
      <w:r>
        <w:rPr>
          <w:spacing w:val="-13"/>
        </w:rPr>
        <w:t> </w:t>
      </w:r>
      <w:r>
        <w:rPr/>
        <w:t>subsequent</w:t>
      </w:r>
      <w:r>
        <w:rPr>
          <w:spacing w:val="-13"/>
        </w:rPr>
        <w:t> </w:t>
      </w:r>
      <w:r>
        <w:rPr/>
        <w:t>legislation</w:t>
      </w:r>
      <w:r>
        <w:rPr>
          <w:spacing w:val="-13"/>
        </w:rPr>
        <w:t> </w:t>
      </w:r>
      <w:r>
        <w:rPr/>
        <w:t>and related regulations and guidance, for ensuring that expenditure disbursed and income received are applied</w:t>
      </w:r>
      <w:r>
        <w:rPr>
          <w:spacing w:val="-14"/>
        </w:rPr>
        <w:t> </w:t>
      </w:r>
      <w:r>
        <w:rPr/>
        <w:t>for</w:t>
      </w:r>
      <w:r>
        <w:rPr>
          <w:spacing w:val="-14"/>
        </w:rPr>
        <w:t> </w:t>
      </w:r>
      <w:r>
        <w:rPr/>
        <w:t>the</w:t>
      </w:r>
      <w:r>
        <w:rPr>
          <w:spacing w:val="-14"/>
        </w:rPr>
        <w:t> </w:t>
      </w:r>
      <w:r>
        <w:rPr/>
        <w:t>purposes</w:t>
      </w:r>
      <w:r>
        <w:rPr>
          <w:spacing w:val="-14"/>
        </w:rPr>
        <w:t> </w:t>
      </w:r>
      <w:r>
        <w:rPr/>
        <w:t>intended</w:t>
      </w:r>
      <w:r>
        <w:rPr>
          <w:spacing w:val="-14"/>
        </w:rPr>
        <w:t> </w:t>
      </w:r>
      <w:r>
        <w:rPr/>
        <w:t>by</w:t>
      </w:r>
      <w:r>
        <w:rPr>
          <w:spacing w:val="-14"/>
        </w:rPr>
        <w:t> </w:t>
      </w:r>
      <w:r>
        <w:rPr/>
        <w:t>Parliament</w:t>
      </w:r>
      <w:r>
        <w:rPr>
          <w:spacing w:val="-14"/>
        </w:rPr>
        <w:t> </w:t>
      </w:r>
      <w:r>
        <w:rPr/>
        <w:t>and</w:t>
      </w:r>
      <w:r>
        <w:rPr>
          <w:spacing w:val="-14"/>
        </w:rPr>
        <w:t> </w:t>
      </w:r>
      <w:r>
        <w:rPr/>
        <w:t>the</w:t>
      </w:r>
      <w:r>
        <w:rPr>
          <w:spacing w:val="-14"/>
        </w:rPr>
        <w:t> </w:t>
      </w:r>
      <w:r>
        <w:rPr/>
        <w:t>financial</w:t>
      </w:r>
      <w:r>
        <w:rPr>
          <w:spacing w:val="-13"/>
        </w:rPr>
        <w:t> </w:t>
      </w:r>
      <w:r>
        <w:rPr/>
        <w:t>transactions</w:t>
      </w:r>
      <w:r>
        <w:rPr>
          <w:spacing w:val="-14"/>
        </w:rPr>
        <w:t> </w:t>
      </w:r>
      <w:r>
        <w:rPr/>
        <w:t>conform</w:t>
      </w:r>
      <w:r>
        <w:rPr>
          <w:spacing w:val="-14"/>
        </w:rPr>
        <w:t> </w:t>
      </w:r>
      <w:r>
        <w:rPr/>
        <w:t>to</w:t>
      </w:r>
      <w:r>
        <w:rPr>
          <w:spacing w:val="-14"/>
        </w:rPr>
        <w:t> </w:t>
      </w:r>
      <w:r>
        <w:rPr/>
        <w:t>the</w:t>
      </w:r>
      <w:r>
        <w:rPr>
          <w:spacing w:val="-14"/>
        </w:rPr>
        <w:t> </w:t>
      </w:r>
      <w:r>
        <w:rPr/>
        <w:t>authorities which govern them. The Corporation of Hull College is also responsible for preparing the Governing Body's Statement of Regularity, Propriety and Compliance.</w:t>
      </w:r>
    </w:p>
    <w:p>
      <w:pPr>
        <w:pStyle w:val="BodyText"/>
        <w:spacing w:before="1"/>
      </w:pPr>
    </w:p>
    <w:p>
      <w:pPr>
        <w:pStyle w:val="Heading6"/>
        <w:spacing w:line="229" w:lineRule="exact"/>
        <w:ind w:left="873"/>
      </w:pPr>
      <w:r>
        <w:rPr/>
        <w:t>Reporting</w:t>
      </w:r>
      <w:r>
        <w:rPr>
          <w:spacing w:val="-11"/>
        </w:rPr>
        <w:t> </w:t>
      </w:r>
      <w:r>
        <w:rPr/>
        <w:t>accountant’s</w:t>
      </w:r>
      <w:r>
        <w:rPr>
          <w:spacing w:val="-11"/>
        </w:rPr>
        <w:t> </w:t>
      </w:r>
      <w:r>
        <w:rPr/>
        <w:t>responsibilities</w:t>
      </w:r>
      <w:r>
        <w:rPr>
          <w:spacing w:val="-11"/>
        </w:rPr>
        <w:t> </w:t>
      </w:r>
      <w:r>
        <w:rPr/>
        <w:t>for</w:t>
      </w:r>
      <w:r>
        <w:rPr>
          <w:spacing w:val="-9"/>
        </w:rPr>
        <w:t> </w:t>
      </w:r>
      <w:r>
        <w:rPr/>
        <w:t>reporting</w:t>
      </w:r>
      <w:r>
        <w:rPr>
          <w:spacing w:val="-11"/>
        </w:rPr>
        <w:t> </w:t>
      </w:r>
      <w:r>
        <w:rPr/>
        <w:t>on</w:t>
      </w:r>
      <w:r>
        <w:rPr>
          <w:spacing w:val="-10"/>
        </w:rPr>
        <w:t> </w:t>
      </w:r>
      <w:r>
        <w:rPr>
          <w:spacing w:val="-2"/>
        </w:rPr>
        <w:t>regularity</w:t>
      </w:r>
    </w:p>
    <w:p>
      <w:pPr>
        <w:pStyle w:val="BodyText"/>
        <w:ind w:left="873" w:right="731"/>
        <w:jc w:val="both"/>
      </w:pPr>
      <w:r>
        <w:rPr/>
        <w:t>Our responsibilities for this engagement are established in the United Kingdom by our profession’s ethical guidance and are to obtain limited assurance and report in accordance with our engagement letter and the requirements of the Code.</w:t>
      </w:r>
    </w:p>
    <w:p>
      <w:pPr>
        <w:pStyle w:val="BodyText"/>
        <w:spacing w:before="1"/>
      </w:pPr>
    </w:p>
    <w:p>
      <w:pPr>
        <w:pStyle w:val="BodyText"/>
        <w:ind w:left="873" w:right="730"/>
        <w:jc w:val="both"/>
      </w:pPr>
      <w:r>
        <w:rPr/>
        <w:t>The</w:t>
      </w:r>
      <w:r>
        <w:rPr>
          <w:spacing w:val="-14"/>
        </w:rPr>
        <w:t> </w:t>
      </w:r>
      <w:r>
        <w:rPr/>
        <w:t>objective</w:t>
      </w:r>
      <w:r>
        <w:rPr>
          <w:spacing w:val="-14"/>
        </w:rPr>
        <w:t> </w:t>
      </w:r>
      <w:r>
        <w:rPr/>
        <w:t>of</w:t>
      </w:r>
      <w:r>
        <w:rPr>
          <w:spacing w:val="-14"/>
        </w:rPr>
        <w:t> </w:t>
      </w:r>
      <w:r>
        <w:rPr/>
        <w:t>a</w:t>
      </w:r>
      <w:r>
        <w:rPr>
          <w:spacing w:val="-14"/>
        </w:rPr>
        <w:t> </w:t>
      </w:r>
      <w:r>
        <w:rPr/>
        <w:t>limited</w:t>
      </w:r>
      <w:r>
        <w:rPr>
          <w:spacing w:val="-14"/>
        </w:rPr>
        <w:t> </w:t>
      </w:r>
      <w:r>
        <w:rPr/>
        <w:t>assurance</w:t>
      </w:r>
      <w:r>
        <w:rPr>
          <w:spacing w:val="-14"/>
        </w:rPr>
        <w:t> </w:t>
      </w:r>
      <w:r>
        <w:rPr/>
        <w:t>engagement</w:t>
      </w:r>
      <w:r>
        <w:rPr>
          <w:spacing w:val="-14"/>
        </w:rPr>
        <w:t> </w:t>
      </w:r>
      <w:r>
        <w:rPr/>
        <w:t>is</w:t>
      </w:r>
      <w:r>
        <w:rPr>
          <w:spacing w:val="-11"/>
        </w:rPr>
        <w:t> </w:t>
      </w:r>
      <w:r>
        <w:rPr/>
        <w:t>to</w:t>
      </w:r>
      <w:r>
        <w:rPr>
          <w:spacing w:val="-14"/>
        </w:rPr>
        <w:t> </w:t>
      </w:r>
      <w:r>
        <w:rPr/>
        <w:t>perform</w:t>
      </w:r>
      <w:r>
        <w:rPr>
          <w:spacing w:val="-14"/>
        </w:rPr>
        <w:t> </w:t>
      </w:r>
      <w:r>
        <w:rPr/>
        <w:t>such</w:t>
      </w:r>
      <w:r>
        <w:rPr>
          <w:spacing w:val="-13"/>
        </w:rPr>
        <w:t> </w:t>
      </w:r>
      <w:r>
        <w:rPr/>
        <w:t>procedures</w:t>
      </w:r>
      <w:r>
        <w:rPr>
          <w:spacing w:val="-12"/>
        </w:rPr>
        <w:t> </w:t>
      </w:r>
      <w:r>
        <w:rPr/>
        <w:t>as</w:t>
      </w:r>
      <w:r>
        <w:rPr>
          <w:spacing w:val="-14"/>
        </w:rPr>
        <w:t> </w:t>
      </w:r>
      <w:r>
        <w:rPr/>
        <w:t>to</w:t>
      </w:r>
      <w:r>
        <w:rPr>
          <w:spacing w:val="-14"/>
        </w:rPr>
        <w:t> </w:t>
      </w:r>
      <w:r>
        <w:rPr/>
        <w:t>obtain</w:t>
      </w:r>
      <w:r>
        <w:rPr>
          <w:spacing w:val="-13"/>
        </w:rPr>
        <w:t> </w:t>
      </w:r>
      <w:r>
        <w:rPr/>
        <w:t>information and explanations in order to provide us with sufficient appropriate evidence to express a negative conclusion on regularity. A limited assurance engagement is more limited in scope than a reasonable assurance engagement and the procedures performed vary in nature and timing from, and are less in extent than for a reasonable assurance engagement; consequently a limited assurance engagement does not enable us to obtain assurance that we would become aware of all significant matters that might be identified in a reasonable assurance engagement. Accordingly, we do not express a positive </w:t>
      </w:r>
      <w:r>
        <w:rPr>
          <w:spacing w:val="-2"/>
        </w:rPr>
        <w:t>opinion.</w:t>
      </w:r>
    </w:p>
    <w:p>
      <w:pPr>
        <w:pStyle w:val="BodyText"/>
        <w:spacing w:before="229"/>
        <w:ind w:left="873" w:right="729"/>
        <w:jc w:val="both"/>
      </w:pPr>
      <w:r>
        <w:rPr/>
        <w:t>We report to you whether anything has come to our attention in carrying out our work which suggests that in all material respects, expenditure disbursed and income received during the period 1 August 2022 to 31 July 2023 have not been applied to purposes intended by Parliament or that the financial transactions do not conform to the authorities which govern them.</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2"/>
      </w:pPr>
      <w:r>
        <w:rPr/>
        <mc:AlternateContent>
          <mc:Choice Requires="wps">
            <w:drawing>
              <wp:anchor distT="0" distB="0" distL="0" distR="0" allowOverlap="1" layoutInCell="1" locked="0" behindDoc="1" simplePos="0" relativeHeight="487610368">
                <wp:simplePos x="0" y="0"/>
                <wp:positionH relativeFrom="page">
                  <wp:posOffset>896111</wp:posOffset>
                </wp:positionH>
                <wp:positionV relativeFrom="paragraph">
                  <wp:posOffset>251447</wp:posOffset>
                </wp:positionV>
                <wp:extent cx="5768340" cy="6350"/>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5768340" cy="6350"/>
                        </a:xfrm>
                        <a:custGeom>
                          <a:avLst/>
                          <a:gdLst/>
                          <a:ahLst/>
                          <a:cxnLst/>
                          <a:rect l="l" t="t" r="r" b="b"/>
                          <a:pathLst>
                            <a:path w="5768340" h="6350">
                              <a:moveTo>
                                <a:pt x="5768340" y="0"/>
                              </a:moveTo>
                              <a:lnTo>
                                <a:pt x="0" y="0"/>
                              </a:lnTo>
                              <a:lnTo>
                                <a:pt x="0" y="6095"/>
                              </a:lnTo>
                              <a:lnTo>
                                <a:pt x="5768340" y="6095"/>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799023pt;width:454.2pt;height:.48pt;mso-position-horizontal-relative:page;mso-position-vertical-relative:paragraph;z-index:-15706112;mso-wrap-distance-left:0;mso-wrap-distance-right:0" id="docshape128" filled="true" fillcolor="#000000" stroked="false">
                <v:fill type="solid"/>
                <w10:wrap type="topAndBottom"/>
              </v:rect>
            </w:pict>
          </mc:Fallback>
        </mc:AlternateContent>
      </w:r>
    </w:p>
    <w:p>
      <w:pPr>
        <w:pStyle w:val="BodyText"/>
        <w:spacing w:after="0"/>
        <w:sectPr>
          <w:headerReference w:type="default" r:id="rId52"/>
          <w:footerReference w:type="default" r:id="rId53"/>
          <w:pgSz w:w="11910" w:h="16850"/>
          <w:pgMar w:header="716" w:footer="0" w:top="1520" w:bottom="280" w:left="566" w:right="708"/>
        </w:sectPr>
      </w:pPr>
    </w:p>
    <w:p>
      <w:pPr>
        <w:pStyle w:val="Heading2"/>
        <w:spacing w:before="68"/>
        <w:ind w:left="165" w:right="163"/>
        <w:jc w:val="both"/>
      </w:pPr>
      <w:r>
        <w:rPr/>
        <w:t>INDEPENDENT</w:t>
      </w:r>
      <w:r>
        <w:rPr>
          <w:spacing w:val="-15"/>
        </w:rPr>
        <w:t> </w:t>
      </w:r>
      <w:r>
        <w:rPr/>
        <w:t>REPORTING</w:t>
      </w:r>
      <w:r>
        <w:rPr>
          <w:spacing w:val="-16"/>
        </w:rPr>
        <w:t> </w:t>
      </w:r>
      <w:r>
        <w:rPr/>
        <w:t>ACCOUNTANT’S</w:t>
      </w:r>
      <w:r>
        <w:rPr>
          <w:spacing w:val="-16"/>
        </w:rPr>
        <w:t> </w:t>
      </w:r>
      <w:r>
        <w:rPr/>
        <w:t>REPORT</w:t>
      </w:r>
      <w:r>
        <w:rPr>
          <w:spacing w:val="-15"/>
        </w:rPr>
        <w:t> </w:t>
      </w:r>
      <w:r>
        <w:rPr/>
        <w:t>ON</w:t>
      </w:r>
      <w:r>
        <w:rPr>
          <w:spacing w:val="-15"/>
        </w:rPr>
        <w:t> </w:t>
      </w:r>
      <w:r>
        <w:rPr/>
        <w:t>REGULARITY</w:t>
      </w:r>
      <w:r>
        <w:rPr>
          <w:spacing w:val="-16"/>
        </w:rPr>
        <w:t> </w:t>
      </w:r>
      <w:r>
        <w:rPr/>
        <w:t>TO</w:t>
      </w:r>
      <w:r>
        <w:rPr>
          <w:spacing w:val="-16"/>
        </w:rPr>
        <w:t> </w:t>
      </w:r>
      <w:r>
        <w:rPr/>
        <w:t>HULL COLLEGE FURTHER EDUCATION CORPORATION AND THE SECRETARY OF STATE</w:t>
      </w:r>
      <w:r>
        <w:rPr>
          <w:spacing w:val="51"/>
          <w:w w:val="150"/>
        </w:rPr>
        <w:t> </w:t>
      </w:r>
      <w:r>
        <w:rPr/>
        <w:t>FOR</w:t>
      </w:r>
      <w:r>
        <w:rPr>
          <w:spacing w:val="50"/>
          <w:w w:val="150"/>
        </w:rPr>
        <w:t> </w:t>
      </w:r>
      <w:r>
        <w:rPr/>
        <w:t>EDUCATION</w:t>
      </w:r>
      <w:r>
        <w:rPr>
          <w:spacing w:val="50"/>
          <w:w w:val="150"/>
        </w:rPr>
        <w:t> </w:t>
      </w:r>
      <w:r>
        <w:rPr/>
        <w:t>ACTING</w:t>
      </w:r>
      <w:r>
        <w:rPr>
          <w:spacing w:val="49"/>
          <w:w w:val="150"/>
        </w:rPr>
        <w:t> </w:t>
      </w:r>
      <w:r>
        <w:rPr/>
        <w:t>THROUGH</w:t>
      </w:r>
      <w:r>
        <w:rPr>
          <w:spacing w:val="50"/>
          <w:w w:val="150"/>
        </w:rPr>
        <w:t> </w:t>
      </w:r>
      <w:r>
        <w:rPr/>
        <w:t>THE</w:t>
      </w:r>
      <w:r>
        <w:rPr>
          <w:spacing w:val="49"/>
          <w:w w:val="150"/>
        </w:rPr>
        <w:t> </w:t>
      </w:r>
      <w:r>
        <w:rPr/>
        <w:t>EDUCATION</w:t>
      </w:r>
      <w:r>
        <w:rPr>
          <w:spacing w:val="50"/>
          <w:w w:val="150"/>
        </w:rPr>
        <w:t> </w:t>
      </w:r>
      <w:r>
        <w:rPr/>
        <w:t>AND</w:t>
      </w:r>
      <w:r>
        <w:rPr>
          <w:spacing w:val="50"/>
          <w:w w:val="150"/>
        </w:rPr>
        <w:t> </w:t>
      </w:r>
      <w:r>
        <w:rPr>
          <w:spacing w:val="-2"/>
        </w:rPr>
        <w:t>SKILLS</w:t>
      </w:r>
    </w:p>
    <w:p>
      <w:pPr>
        <w:pStyle w:val="Heading3"/>
        <w:ind w:left="164"/>
        <w:jc w:val="both"/>
      </w:pPr>
      <w:r>
        <w:rPr/>
        <w:t>FUNDING</w:t>
      </w:r>
      <w:r>
        <w:rPr>
          <w:spacing w:val="-3"/>
        </w:rPr>
        <w:t> </w:t>
      </w:r>
      <w:r>
        <w:rPr/>
        <w:t>AGENCY</w:t>
      </w:r>
      <w:r>
        <w:rPr>
          <w:spacing w:val="-3"/>
        </w:rPr>
        <w:t> </w:t>
      </w:r>
      <w:r>
        <w:rPr>
          <w:spacing w:val="-2"/>
        </w:rPr>
        <w:t>(continued)</w:t>
      </w:r>
    </w:p>
    <w:p>
      <w:pPr>
        <w:pStyle w:val="BodyText"/>
        <w:spacing w:before="45"/>
        <w:rPr>
          <w:b/>
        </w:rPr>
      </w:pPr>
    </w:p>
    <w:p>
      <w:pPr>
        <w:pStyle w:val="BodyText"/>
        <w:ind w:left="165" w:right="163"/>
        <w:jc w:val="both"/>
      </w:pPr>
      <w:r>
        <w:rPr/>
        <w:t>Our</w:t>
      </w:r>
      <w:r>
        <w:rPr>
          <w:spacing w:val="-14"/>
        </w:rPr>
        <w:t> </w:t>
      </w:r>
      <w:r>
        <w:rPr/>
        <w:t>work</w:t>
      </w:r>
      <w:r>
        <w:rPr>
          <w:spacing w:val="-14"/>
        </w:rPr>
        <w:t> </w:t>
      </w:r>
      <w:r>
        <w:rPr/>
        <w:t>included</w:t>
      </w:r>
      <w:r>
        <w:rPr>
          <w:spacing w:val="-14"/>
        </w:rPr>
        <w:t> </w:t>
      </w:r>
      <w:r>
        <w:rPr/>
        <w:t>identification</w:t>
      </w:r>
      <w:r>
        <w:rPr>
          <w:spacing w:val="-14"/>
        </w:rPr>
        <w:t> </w:t>
      </w:r>
      <w:r>
        <w:rPr/>
        <w:t>and</w:t>
      </w:r>
      <w:r>
        <w:rPr>
          <w:spacing w:val="-14"/>
        </w:rPr>
        <w:t> </w:t>
      </w:r>
      <w:r>
        <w:rPr/>
        <w:t>assessment</w:t>
      </w:r>
      <w:r>
        <w:rPr>
          <w:spacing w:val="-14"/>
        </w:rPr>
        <w:t> </w:t>
      </w:r>
      <w:r>
        <w:rPr/>
        <w:t>of</w:t>
      </w:r>
      <w:r>
        <w:rPr>
          <w:spacing w:val="-14"/>
        </w:rPr>
        <w:t> </w:t>
      </w:r>
      <w:r>
        <w:rPr/>
        <w:t>the</w:t>
      </w:r>
      <w:r>
        <w:rPr>
          <w:spacing w:val="-14"/>
        </w:rPr>
        <w:t> </w:t>
      </w:r>
      <w:r>
        <w:rPr/>
        <w:t>design</w:t>
      </w:r>
      <w:r>
        <w:rPr>
          <w:spacing w:val="-14"/>
        </w:rPr>
        <w:t> </w:t>
      </w:r>
      <w:r>
        <w:rPr/>
        <w:t>and</w:t>
      </w:r>
      <w:r>
        <w:rPr>
          <w:spacing w:val="-13"/>
        </w:rPr>
        <w:t> </w:t>
      </w:r>
      <w:r>
        <w:rPr/>
        <w:t>operational</w:t>
      </w:r>
      <w:r>
        <w:rPr>
          <w:spacing w:val="-14"/>
        </w:rPr>
        <w:t> </w:t>
      </w:r>
      <w:r>
        <w:rPr/>
        <w:t>effectiveness</w:t>
      </w:r>
      <w:r>
        <w:rPr>
          <w:spacing w:val="-14"/>
        </w:rPr>
        <w:t> </w:t>
      </w:r>
      <w:r>
        <w:rPr/>
        <w:t>of</w:t>
      </w:r>
      <w:r>
        <w:rPr>
          <w:spacing w:val="-14"/>
        </w:rPr>
        <w:t> </w:t>
      </w:r>
      <w:r>
        <w:rPr/>
        <w:t>the</w:t>
      </w:r>
      <w:r>
        <w:rPr>
          <w:spacing w:val="-14"/>
        </w:rPr>
        <w:t> </w:t>
      </w:r>
      <w:r>
        <w:rPr/>
        <w:t>controls, policies and procedures that have been implemented to ensure compliance with the framework of authorities</w:t>
      </w:r>
      <w:r>
        <w:rPr>
          <w:spacing w:val="-14"/>
        </w:rPr>
        <w:t> </w:t>
      </w:r>
      <w:r>
        <w:rPr/>
        <w:t>including</w:t>
      </w:r>
      <w:r>
        <w:rPr>
          <w:spacing w:val="-14"/>
        </w:rPr>
        <w:t> </w:t>
      </w:r>
      <w:r>
        <w:rPr/>
        <w:t>the</w:t>
      </w:r>
      <w:r>
        <w:rPr>
          <w:spacing w:val="-14"/>
        </w:rPr>
        <w:t> </w:t>
      </w:r>
      <w:r>
        <w:rPr/>
        <w:t>specific</w:t>
      </w:r>
      <w:r>
        <w:rPr>
          <w:spacing w:val="-14"/>
        </w:rPr>
        <w:t> </w:t>
      </w:r>
      <w:r>
        <w:rPr/>
        <w:t>requirements</w:t>
      </w:r>
      <w:r>
        <w:rPr>
          <w:spacing w:val="-14"/>
        </w:rPr>
        <w:t> </w:t>
      </w:r>
      <w:r>
        <w:rPr/>
        <w:t>of</w:t>
      </w:r>
      <w:r>
        <w:rPr>
          <w:spacing w:val="-14"/>
        </w:rPr>
        <w:t> </w:t>
      </w:r>
      <w:r>
        <w:rPr/>
        <w:t>the</w:t>
      </w:r>
      <w:r>
        <w:rPr>
          <w:spacing w:val="-14"/>
        </w:rPr>
        <w:t> </w:t>
      </w:r>
      <w:r>
        <w:rPr/>
        <w:t>grant</w:t>
      </w:r>
      <w:r>
        <w:rPr>
          <w:spacing w:val="-14"/>
        </w:rPr>
        <w:t> </w:t>
      </w:r>
      <w:r>
        <w:rPr/>
        <w:t>funding</w:t>
      </w:r>
      <w:r>
        <w:rPr>
          <w:spacing w:val="-14"/>
        </w:rPr>
        <w:t> </w:t>
      </w:r>
      <w:r>
        <w:rPr/>
        <w:t>agreements</w:t>
      </w:r>
      <w:r>
        <w:rPr>
          <w:spacing w:val="-13"/>
        </w:rPr>
        <w:t> </w:t>
      </w:r>
      <w:r>
        <w:rPr/>
        <w:t>and</w:t>
      </w:r>
      <w:r>
        <w:rPr>
          <w:spacing w:val="-14"/>
        </w:rPr>
        <w:t> </w:t>
      </w:r>
      <w:r>
        <w:rPr/>
        <w:t>contracts</w:t>
      </w:r>
      <w:r>
        <w:rPr>
          <w:spacing w:val="-14"/>
        </w:rPr>
        <w:t> </w:t>
      </w:r>
      <w:r>
        <w:rPr/>
        <w:t>with</w:t>
      </w:r>
      <w:r>
        <w:rPr>
          <w:spacing w:val="-14"/>
        </w:rPr>
        <w:t> </w:t>
      </w:r>
      <w:r>
        <w:rPr/>
        <w:t>the</w:t>
      </w:r>
      <w:r>
        <w:rPr>
          <w:spacing w:val="-14"/>
        </w:rPr>
        <w:t> </w:t>
      </w:r>
      <w:r>
        <w:rPr/>
        <w:t>ESFA and those of any other public funder and high level financial control areas where we identified a material irregularity</w:t>
      </w:r>
      <w:r>
        <w:rPr>
          <w:spacing w:val="-14"/>
        </w:rPr>
        <w:t> </w:t>
      </w:r>
      <w:r>
        <w:rPr/>
        <w:t>is</w:t>
      </w:r>
      <w:r>
        <w:rPr>
          <w:spacing w:val="-12"/>
        </w:rPr>
        <w:t> </w:t>
      </w:r>
      <w:r>
        <w:rPr/>
        <w:t>likely</w:t>
      </w:r>
      <w:r>
        <w:rPr>
          <w:spacing w:val="-14"/>
        </w:rPr>
        <w:t> </w:t>
      </w:r>
      <w:r>
        <w:rPr/>
        <w:t>to</w:t>
      </w:r>
      <w:r>
        <w:rPr>
          <w:spacing w:val="-13"/>
        </w:rPr>
        <w:t> </w:t>
      </w:r>
      <w:r>
        <w:rPr/>
        <w:t>arise.</w:t>
      </w:r>
      <w:r>
        <w:rPr>
          <w:spacing w:val="30"/>
        </w:rPr>
        <w:t> </w:t>
      </w:r>
      <w:r>
        <w:rPr/>
        <w:t>We</w:t>
      </w:r>
      <w:r>
        <w:rPr>
          <w:spacing w:val="-13"/>
        </w:rPr>
        <w:t> </w:t>
      </w:r>
      <w:r>
        <w:rPr/>
        <w:t>undertook</w:t>
      </w:r>
      <w:r>
        <w:rPr>
          <w:spacing w:val="-14"/>
        </w:rPr>
        <w:t> </w:t>
      </w:r>
      <w:r>
        <w:rPr/>
        <w:t>detailed</w:t>
      </w:r>
      <w:r>
        <w:rPr>
          <w:spacing w:val="-14"/>
        </w:rPr>
        <w:t> </w:t>
      </w:r>
      <w:r>
        <w:rPr/>
        <w:t>testing,</w:t>
      </w:r>
      <w:r>
        <w:rPr>
          <w:spacing w:val="-13"/>
        </w:rPr>
        <w:t> </w:t>
      </w:r>
      <w:r>
        <w:rPr/>
        <w:t>on</w:t>
      </w:r>
      <w:r>
        <w:rPr>
          <w:spacing w:val="-13"/>
        </w:rPr>
        <w:t> </w:t>
      </w:r>
      <w:r>
        <w:rPr/>
        <w:t>a</w:t>
      </w:r>
      <w:r>
        <w:rPr>
          <w:spacing w:val="-14"/>
        </w:rPr>
        <w:t> </w:t>
      </w:r>
      <w:r>
        <w:rPr/>
        <w:t>sample</w:t>
      </w:r>
      <w:r>
        <w:rPr>
          <w:spacing w:val="-13"/>
        </w:rPr>
        <w:t> </w:t>
      </w:r>
      <w:r>
        <w:rPr/>
        <w:t>basis,</w:t>
      </w:r>
      <w:r>
        <w:rPr>
          <w:spacing w:val="-13"/>
        </w:rPr>
        <w:t> </w:t>
      </w:r>
      <w:r>
        <w:rPr/>
        <w:t>on</w:t>
      </w:r>
      <w:r>
        <w:rPr>
          <w:spacing w:val="-14"/>
        </w:rPr>
        <w:t> </w:t>
      </w:r>
      <w:r>
        <w:rPr/>
        <w:t>the</w:t>
      </w:r>
      <w:r>
        <w:rPr>
          <w:spacing w:val="-14"/>
        </w:rPr>
        <w:t> </w:t>
      </w:r>
      <w:r>
        <w:rPr/>
        <w:t>identified</w:t>
      </w:r>
      <w:r>
        <w:rPr>
          <w:spacing w:val="-13"/>
        </w:rPr>
        <w:t> </w:t>
      </w:r>
      <w:r>
        <w:rPr/>
        <w:t>areas</w:t>
      </w:r>
      <w:r>
        <w:rPr>
          <w:spacing w:val="-14"/>
        </w:rPr>
        <w:t> </w:t>
      </w:r>
      <w:r>
        <w:rPr/>
        <w:t>where a</w:t>
      </w:r>
      <w:r>
        <w:rPr>
          <w:spacing w:val="-7"/>
        </w:rPr>
        <w:t> </w:t>
      </w:r>
      <w:r>
        <w:rPr/>
        <w:t>material</w:t>
      </w:r>
      <w:r>
        <w:rPr>
          <w:spacing w:val="-3"/>
        </w:rPr>
        <w:t> </w:t>
      </w:r>
      <w:r>
        <w:rPr/>
        <w:t>irregularity</w:t>
      </w:r>
      <w:r>
        <w:rPr>
          <w:spacing w:val="-3"/>
        </w:rPr>
        <w:t> </w:t>
      </w:r>
      <w:r>
        <w:rPr/>
        <w:t>is</w:t>
      </w:r>
      <w:r>
        <w:rPr>
          <w:spacing w:val="-3"/>
        </w:rPr>
        <w:t> </w:t>
      </w:r>
      <w:r>
        <w:rPr/>
        <w:t>likely</w:t>
      </w:r>
      <w:r>
        <w:rPr>
          <w:spacing w:val="-5"/>
        </w:rPr>
        <w:t> </w:t>
      </w:r>
      <w:r>
        <w:rPr/>
        <w:t>to</w:t>
      </w:r>
      <w:r>
        <w:rPr>
          <w:spacing w:val="-4"/>
        </w:rPr>
        <w:t> </w:t>
      </w:r>
      <w:r>
        <w:rPr/>
        <w:t>arise</w:t>
      </w:r>
      <w:r>
        <w:rPr>
          <w:spacing w:val="-7"/>
        </w:rPr>
        <w:t> </w:t>
      </w:r>
      <w:r>
        <w:rPr/>
        <w:t>where</w:t>
      </w:r>
      <w:r>
        <w:rPr>
          <w:spacing w:val="-4"/>
        </w:rPr>
        <w:t> </w:t>
      </w:r>
      <w:r>
        <w:rPr/>
        <w:t>such</w:t>
      </w:r>
      <w:r>
        <w:rPr>
          <w:spacing w:val="-4"/>
        </w:rPr>
        <w:t> </w:t>
      </w:r>
      <w:r>
        <w:rPr/>
        <w:t>areas</w:t>
      </w:r>
      <w:r>
        <w:rPr>
          <w:spacing w:val="-5"/>
        </w:rPr>
        <w:t> </w:t>
      </w:r>
      <w:r>
        <w:rPr/>
        <w:t>are</w:t>
      </w:r>
      <w:r>
        <w:rPr>
          <w:spacing w:val="-4"/>
        </w:rPr>
        <w:t> </w:t>
      </w:r>
      <w:r>
        <w:rPr/>
        <w:t>in</w:t>
      </w:r>
      <w:r>
        <w:rPr>
          <w:spacing w:val="-4"/>
        </w:rPr>
        <w:t> </w:t>
      </w:r>
      <w:r>
        <w:rPr/>
        <w:t>respect</w:t>
      </w:r>
      <w:r>
        <w:rPr>
          <w:spacing w:val="-4"/>
        </w:rPr>
        <w:t> </w:t>
      </w:r>
      <w:r>
        <w:rPr/>
        <w:t>of</w:t>
      </w:r>
      <w:r>
        <w:rPr>
          <w:spacing w:val="-4"/>
        </w:rPr>
        <w:t> </w:t>
      </w:r>
      <w:r>
        <w:rPr/>
        <w:t>controls,</w:t>
      </w:r>
      <w:r>
        <w:rPr>
          <w:spacing w:val="-4"/>
        </w:rPr>
        <w:t> </w:t>
      </w:r>
      <w:r>
        <w:rPr/>
        <w:t>policies</w:t>
      </w:r>
      <w:r>
        <w:rPr>
          <w:spacing w:val="-3"/>
        </w:rPr>
        <w:t> </w:t>
      </w:r>
      <w:r>
        <w:rPr/>
        <w:t>and</w:t>
      </w:r>
      <w:r>
        <w:rPr>
          <w:spacing w:val="-4"/>
        </w:rPr>
        <w:t> </w:t>
      </w:r>
      <w:r>
        <w:rPr/>
        <w:t>procedures that apply to classes of transactions.</w:t>
      </w:r>
    </w:p>
    <w:p>
      <w:pPr>
        <w:pStyle w:val="BodyText"/>
        <w:spacing w:before="2"/>
      </w:pPr>
    </w:p>
    <w:p>
      <w:pPr>
        <w:pStyle w:val="BodyText"/>
        <w:ind w:left="165" w:right="166"/>
        <w:jc w:val="both"/>
      </w:pPr>
      <w:r>
        <w:rPr/>
        <w:t>This</w:t>
      </w:r>
      <w:r>
        <w:rPr>
          <w:spacing w:val="-5"/>
        </w:rPr>
        <w:t> </w:t>
      </w:r>
      <w:r>
        <w:rPr/>
        <w:t>work</w:t>
      </w:r>
      <w:r>
        <w:rPr>
          <w:spacing w:val="-5"/>
        </w:rPr>
        <w:t> </w:t>
      </w:r>
      <w:r>
        <w:rPr/>
        <w:t>was</w:t>
      </w:r>
      <w:r>
        <w:rPr>
          <w:spacing w:val="-5"/>
        </w:rPr>
        <w:t> </w:t>
      </w:r>
      <w:r>
        <w:rPr/>
        <w:t>integrated</w:t>
      </w:r>
      <w:r>
        <w:rPr>
          <w:spacing w:val="-7"/>
        </w:rPr>
        <w:t> </w:t>
      </w:r>
      <w:r>
        <w:rPr/>
        <w:t>with</w:t>
      </w:r>
      <w:r>
        <w:rPr>
          <w:spacing w:val="-7"/>
        </w:rPr>
        <w:t> </w:t>
      </w:r>
      <w:r>
        <w:rPr/>
        <w:t>our</w:t>
      </w:r>
      <w:r>
        <w:rPr>
          <w:spacing w:val="-5"/>
        </w:rPr>
        <w:t> </w:t>
      </w:r>
      <w:r>
        <w:rPr/>
        <w:t>audit</w:t>
      </w:r>
      <w:r>
        <w:rPr>
          <w:spacing w:val="-6"/>
        </w:rPr>
        <w:t> </w:t>
      </w:r>
      <w:r>
        <w:rPr/>
        <w:t>of</w:t>
      </w:r>
      <w:r>
        <w:rPr>
          <w:spacing w:val="-6"/>
        </w:rPr>
        <w:t> </w:t>
      </w:r>
      <w:r>
        <w:rPr/>
        <w:t>the</w:t>
      </w:r>
      <w:r>
        <w:rPr>
          <w:spacing w:val="-7"/>
        </w:rPr>
        <w:t> </w:t>
      </w:r>
      <w:r>
        <w:rPr/>
        <w:t>financial</w:t>
      </w:r>
      <w:r>
        <w:rPr>
          <w:spacing w:val="-7"/>
        </w:rPr>
        <w:t> </w:t>
      </w:r>
      <w:r>
        <w:rPr/>
        <w:t>statements</w:t>
      </w:r>
      <w:r>
        <w:rPr>
          <w:spacing w:val="-5"/>
        </w:rPr>
        <w:t> </w:t>
      </w:r>
      <w:r>
        <w:rPr/>
        <w:t>and</w:t>
      </w:r>
      <w:r>
        <w:rPr>
          <w:spacing w:val="-4"/>
        </w:rPr>
        <w:t> </w:t>
      </w:r>
      <w:r>
        <w:rPr/>
        <w:t>evidence</w:t>
      </w:r>
      <w:r>
        <w:rPr>
          <w:spacing w:val="-7"/>
        </w:rPr>
        <w:t> </w:t>
      </w:r>
      <w:r>
        <w:rPr/>
        <w:t>was</w:t>
      </w:r>
      <w:r>
        <w:rPr>
          <w:spacing w:val="-5"/>
        </w:rPr>
        <w:t> </w:t>
      </w:r>
      <w:r>
        <w:rPr/>
        <w:t>also</w:t>
      </w:r>
      <w:r>
        <w:rPr>
          <w:spacing w:val="-7"/>
        </w:rPr>
        <w:t> </w:t>
      </w:r>
      <w:r>
        <w:rPr/>
        <w:t>derived</w:t>
      </w:r>
      <w:r>
        <w:rPr>
          <w:spacing w:val="-7"/>
        </w:rPr>
        <w:t> </w:t>
      </w:r>
      <w:r>
        <w:rPr/>
        <w:t>from</w:t>
      </w:r>
      <w:r>
        <w:rPr>
          <w:spacing w:val="-7"/>
        </w:rPr>
        <w:t> </w:t>
      </w:r>
      <w:r>
        <w:rPr/>
        <w:t>the conduct of that audit to the extent it supports the regularity conclusion.</w:t>
      </w:r>
    </w:p>
    <w:p>
      <w:pPr>
        <w:pStyle w:val="Heading6"/>
        <w:spacing w:before="229"/>
        <w:ind w:left="165"/>
      </w:pPr>
      <w:r>
        <w:rPr/>
        <w:t>Use</w:t>
      </w:r>
      <w:r>
        <w:rPr>
          <w:spacing w:val="-5"/>
        </w:rPr>
        <w:t> </w:t>
      </w:r>
      <w:r>
        <w:rPr/>
        <w:t>of</w:t>
      </w:r>
      <w:r>
        <w:rPr>
          <w:spacing w:val="-3"/>
        </w:rPr>
        <w:t> </w:t>
      </w:r>
      <w:r>
        <w:rPr/>
        <w:t>our</w:t>
      </w:r>
      <w:r>
        <w:rPr>
          <w:spacing w:val="-2"/>
        </w:rPr>
        <w:t> report</w:t>
      </w:r>
    </w:p>
    <w:p>
      <w:pPr>
        <w:pStyle w:val="BodyText"/>
        <w:spacing w:before="1"/>
        <w:ind w:left="165" w:right="162"/>
        <w:jc w:val="both"/>
      </w:pPr>
      <w:r>
        <w:rPr/>
        <w:t>This</w:t>
      </w:r>
      <w:r>
        <w:rPr>
          <w:spacing w:val="-10"/>
        </w:rPr>
        <w:t> </w:t>
      </w:r>
      <w:r>
        <w:rPr/>
        <w:t>report</w:t>
      </w:r>
      <w:r>
        <w:rPr>
          <w:spacing w:val="-9"/>
        </w:rPr>
        <w:t> </w:t>
      </w:r>
      <w:r>
        <w:rPr/>
        <w:t>is</w:t>
      </w:r>
      <w:r>
        <w:rPr>
          <w:spacing w:val="-10"/>
        </w:rPr>
        <w:t> </w:t>
      </w:r>
      <w:r>
        <w:rPr/>
        <w:t>made</w:t>
      </w:r>
      <w:r>
        <w:rPr>
          <w:spacing w:val="-11"/>
        </w:rPr>
        <w:t> </w:t>
      </w:r>
      <w:r>
        <w:rPr/>
        <w:t>solely</w:t>
      </w:r>
      <w:r>
        <w:rPr>
          <w:spacing w:val="-10"/>
        </w:rPr>
        <w:t> </w:t>
      </w:r>
      <w:r>
        <w:rPr/>
        <w:t>to</w:t>
      </w:r>
      <w:r>
        <w:rPr>
          <w:spacing w:val="-11"/>
        </w:rPr>
        <w:t> </w:t>
      </w:r>
      <w:r>
        <w:rPr/>
        <w:t>the</w:t>
      </w:r>
      <w:r>
        <w:rPr>
          <w:spacing w:val="-11"/>
        </w:rPr>
        <w:t> </w:t>
      </w:r>
      <w:r>
        <w:rPr/>
        <w:t>Corporation</w:t>
      </w:r>
      <w:r>
        <w:rPr>
          <w:spacing w:val="-11"/>
        </w:rPr>
        <w:t> </w:t>
      </w:r>
      <w:r>
        <w:rPr/>
        <w:t>of</w:t>
      </w:r>
      <w:r>
        <w:rPr>
          <w:spacing w:val="-9"/>
        </w:rPr>
        <w:t> </w:t>
      </w:r>
      <w:r>
        <w:rPr/>
        <w:t>Hull</w:t>
      </w:r>
      <w:r>
        <w:rPr>
          <w:spacing w:val="-12"/>
        </w:rPr>
        <w:t> </w:t>
      </w:r>
      <w:r>
        <w:rPr/>
        <w:t>College</w:t>
      </w:r>
      <w:r>
        <w:rPr>
          <w:spacing w:val="-11"/>
        </w:rPr>
        <w:t> </w:t>
      </w:r>
      <w:r>
        <w:rPr/>
        <w:t>and</w:t>
      </w:r>
      <w:r>
        <w:rPr>
          <w:spacing w:val="-11"/>
        </w:rPr>
        <w:t> </w:t>
      </w:r>
      <w:r>
        <w:rPr/>
        <w:t>the</w:t>
      </w:r>
      <w:r>
        <w:rPr>
          <w:spacing w:val="-9"/>
        </w:rPr>
        <w:t> </w:t>
      </w:r>
      <w:r>
        <w:rPr/>
        <w:t>Secretary</w:t>
      </w:r>
      <w:r>
        <w:rPr>
          <w:spacing w:val="-10"/>
        </w:rPr>
        <w:t> </w:t>
      </w:r>
      <w:r>
        <w:rPr/>
        <w:t>of</w:t>
      </w:r>
      <w:r>
        <w:rPr>
          <w:spacing w:val="-9"/>
        </w:rPr>
        <w:t> </w:t>
      </w:r>
      <w:r>
        <w:rPr/>
        <w:t>State</w:t>
      </w:r>
      <w:r>
        <w:rPr>
          <w:spacing w:val="-11"/>
        </w:rPr>
        <w:t> </w:t>
      </w:r>
      <w:r>
        <w:rPr/>
        <w:t>for</w:t>
      </w:r>
      <w:r>
        <w:rPr>
          <w:spacing w:val="-10"/>
        </w:rPr>
        <w:t> </w:t>
      </w:r>
      <w:r>
        <w:rPr/>
        <w:t>Education</w:t>
      </w:r>
      <w:r>
        <w:rPr>
          <w:spacing w:val="-11"/>
        </w:rPr>
        <w:t> </w:t>
      </w:r>
      <w:r>
        <w:rPr/>
        <w:t>acting through the ESFA in accordance with the terms of our engagement letter. Our work has been undertaken so that we might state to the Corporation of Hull College and the Secretary of State for Education acting through</w:t>
      </w:r>
      <w:r>
        <w:rPr>
          <w:spacing w:val="-8"/>
        </w:rPr>
        <w:t> </w:t>
      </w:r>
      <w:r>
        <w:rPr/>
        <w:t>the</w:t>
      </w:r>
      <w:r>
        <w:rPr>
          <w:spacing w:val="-6"/>
        </w:rPr>
        <w:t> </w:t>
      </w:r>
      <w:r>
        <w:rPr/>
        <w:t>ESFA</w:t>
      </w:r>
      <w:r>
        <w:rPr>
          <w:spacing w:val="-9"/>
        </w:rPr>
        <w:t> </w:t>
      </w:r>
      <w:r>
        <w:rPr/>
        <w:t>those</w:t>
      </w:r>
      <w:r>
        <w:rPr>
          <w:spacing w:val="-8"/>
        </w:rPr>
        <w:t> </w:t>
      </w:r>
      <w:r>
        <w:rPr/>
        <w:t>matters</w:t>
      </w:r>
      <w:r>
        <w:rPr>
          <w:spacing w:val="-6"/>
        </w:rPr>
        <w:t> </w:t>
      </w:r>
      <w:r>
        <w:rPr/>
        <w:t>we</w:t>
      </w:r>
      <w:r>
        <w:rPr>
          <w:spacing w:val="-8"/>
        </w:rPr>
        <w:t> </w:t>
      </w:r>
      <w:r>
        <w:rPr/>
        <w:t>are</w:t>
      </w:r>
      <w:r>
        <w:rPr>
          <w:spacing w:val="-8"/>
        </w:rPr>
        <w:t> </w:t>
      </w:r>
      <w:r>
        <w:rPr/>
        <w:t>required</w:t>
      </w:r>
      <w:r>
        <w:rPr>
          <w:spacing w:val="-8"/>
        </w:rPr>
        <w:t> </w:t>
      </w:r>
      <w:r>
        <w:rPr/>
        <w:t>to</w:t>
      </w:r>
      <w:r>
        <w:rPr>
          <w:spacing w:val="-8"/>
        </w:rPr>
        <w:t> </w:t>
      </w:r>
      <w:r>
        <w:rPr/>
        <w:t>state</w:t>
      </w:r>
      <w:r>
        <w:rPr>
          <w:spacing w:val="-8"/>
        </w:rPr>
        <w:t> </w:t>
      </w:r>
      <w:r>
        <w:rPr/>
        <w:t>in</w:t>
      </w:r>
      <w:r>
        <w:rPr>
          <w:spacing w:val="-8"/>
        </w:rPr>
        <w:t> </w:t>
      </w:r>
      <w:r>
        <w:rPr/>
        <w:t>a</w:t>
      </w:r>
      <w:r>
        <w:rPr>
          <w:spacing w:val="-8"/>
        </w:rPr>
        <w:t> </w:t>
      </w:r>
      <w:r>
        <w:rPr/>
        <w:t>report</w:t>
      </w:r>
      <w:r>
        <w:rPr>
          <w:spacing w:val="-8"/>
        </w:rPr>
        <w:t> </w:t>
      </w:r>
      <w:r>
        <w:rPr/>
        <w:t>and</w:t>
      </w:r>
      <w:r>
        <w:rPr>
          <w:spacing w:val="-8"/>
        </w:rPr>
        <w:t> </w:t>
      </w:r>
      <w:r>
        <w:rPr/>
        <w:t>for</w:t>
      </w:r>
      <w:r>
        <w:rPr>
          <w:spacing w:val="-7"/>
        </w:rPr>
        <w:t> </w:t>
      </w:r>
      <w:r>
        <w:rPr/>
        <w:t>no</w:t>
      </w:r>
      <w:r>
        <w:rPr>
          <w:spacing w:val="-8"/>
        </w:rPr>
        <w:t> </w:t>
      </w:r>
      <w:r>
        <w:rPr/>
        <w:t>other</w:t>
      </w:r>
      <w:r>
        <w:rPr>
          <w:spacing w:val="-7"/>
        </w:rPr>
        <w:t> </w:t>
      </w:r>
      <w:r>
        <w:rPr/>
        <w:t>purpose.</w:t>
      </w:r>
      <w:r>
        <w:rPr>
          <w:spacing w:val="-8"/>
        </w:rPr>
        <w:t> </w:t>
      </w:r>
      <w:r>
        <w:rPr/>
        <w:t>To</w:t>
      </w:r>
      <w:r>
        <w:rPr>
          <w:spacing w:val="-8"/>
        </w:rPr>
        <w:t> </w:t>
      </w:r>
      <w:r>
        <w:rPr/>
        <w:t>the</w:t>
      </w:r>
      <w:r>
        <w:rPr>
          <w:spacing w:val="-8"/>
        </w:rPr>
        <w:t> </w:t>
      </w:r>
      <w:r>
        <w:rPr/>
        <w:t>fullest extent</w:t>
      </w:r>
      <w:r>
        <w:rPr>
          <w:spacing w:val="-5"/>
        </w:rPr>
        <w:t> </w:t>
      </w:r>
      <w:r>
        <w:rPr/>
        <w:t>permitted</w:t>
      </w:r>
      <w:r>
        <w:rPr>
          <w:spacing w:val="-6"/>
        </w:rPr>
        <w:t> </w:t>
      </w:r>
      <w:r>
        <w:rPr/>
        <w:t>by</w:t>
      </w:r>
      <w:r>
        <w:rPr>
          <w:spacing w:val="-6"/>
        </w:rPr>
        <w:t> </w:t>
      </w:r>
      <w:r>
        <w:rPr/>
        <w:t>law,</w:t>
      </w:r>
      <w:r>
        <w:rPr>
          <w:spacing w:val="-5"/>
        </w:rPr>
        <w:t> </w:t>
      </w:r>
      <w:r>
        <w:rPr/>
        <w:t>we</w:t>
      </w:r>
      <w:r>
        <w:rPr>
          <w:spacing w:val="-6"/>
        </w:rPr>
        <w:t> </w:t>
      </w:r>
      <w:r>
        <w:rPr/>
        <w:t>do</w:t>
      </w:r>
      <w:r>
        <w:rPr>
          <w:spacing w:val="-6"/>
        </w:rPr>
        <w:t> </w:t>
      </w:r>
      <w:r>
        <w:rPr/>
        <w:t>not</w:t>
      </w:r>
      <w:r>
        <w:rPr>
          <w:spacing w:val="-8"/>
        </w:rPr>
        <w:t> </w:t>
      </w:r>
      <w:r>
        <w:rPr/>
        <w:t>accept</w:t>
      </w:r>
      <w:r>
        <w:rPr>
          <w:spacing w:val="-8"/>
        </w:rPr>
        <w:t> </w:t>
      </w:r>
      <w:r>
        <w:rPr/>
        <w:t>or</w:t>
      </w:r>
      <w:r>
        <w:rPr>
          <w:spacing w:val="-4"/>
        </w:rPr>
        <w:t> </w:t>
      </w:r>
      <w:r>
        <w:rPr/>
        <w:t>assume</w:t>
      </w:r>
      <w:r>
        <w:rPr>
          <w:spacing w:val="-8"/>
        </w:rPr>
        <w:t> </w:t>
      </w:r>
      <w:r>
        <w:rPr/>
        <w:t>responsibility</w:t>
      </w:r>
      <w:r>
        <w:rPr>
          <w:spacing w:val="-6"/>
        </w:rPr>
        <w:t> </w:t>
      </w:r>
      <w:r>
        <w:rPr/>
        <w:t>to</w:t>
      </w:r>
      <w:r>
        <w:rPr>
          <w:spacing w:val="-8"/>
        </w:rPr>
        <w:t> </w:t>
      </w:r>
      <w:r>
        <w:rPr/>
        <w:t>anyone</w:t>
      </w:r>
      <w:r>
        <w:rPr>
          <w:spacing w:val="-8"/>
        </w:rPr>
        <w:t> </w:t>
      </w:r>
      <w:r>
        <w:rPr/>
        <w:t>other</w:t>
      </w:r>
      <w:r>
        <w:rPr>
          <w:spacing w:val="-4"/>
        </w:rPr>
        <w:t> </w:t>
      </w:r>
      <w:r>
        <w:rPr/>
        <w:t>than</w:t>
      </w:r>
      <w:r>
        <w:rPr>
          <w:spacing w:val="-8"/>
        </w:rPr>
        <w:t> </w:t>
      </w:r>
      <w:r>
        <w:rPr/>
        <w:t>the</w:t>
      </w:r>
      <w:r>
        <w:rPr>
          <w:spacing w:val="-6"/>
        </w:rPr>
        <w:t> </w:t>
      </w:r>
      <w:r>
        <w:rPr/>
        <w:t>Corporation</w:t>
      </w:r>
      <w:r>
        <w:rPr>
          <w:spacing w:val="-6"/>
        </w:rPr>
        <w:t> </w:t>
      </w:r>
      <w:r>
        <w:rPr/>
        <w:t>of Hull</w:t>
      </w:r>
      <w:r>
        <w:rPr>
          <w:spacing w:val="-6"/>
        </w:rPr>
        <w:t> </w:t>
      </w:r>
      <w:r>
        <w:rPr/>
        <w:t>College</w:t>
      </w:r>
      <w:r>
        <w:rPr>
          <w:spacing w:val="-4"/>
        </w:rPr>
        <w:t> </w:t>
      </w:r>
      <w:r>
        <w:rPr/>
        <w:t>and</w:t>
      </w:r>
      <w:r>
        <w:rPr>
          <w:spacing w:val="-4"/>
        </w:rPr>
        <w:t> </w:t>
      </w:r>
      <w:r>
        <w:rPr/>
        <w:t>the</w:t>
      </w:r>
      <w:r>
        <w:rPr>
          <w:spacing w:val="-4"/>
        </w:rPr>
        <w:t> </w:t>
      </w:r>
      <w:r>
        <w:rPr/>
        <w:t>Secretary</w:t>
      </w:r>
      <w:r>
        <w:rPr>
          <w:spacing w:val="-5"/>
        </w:rPr>
        <w:t> </w:t>
      </w:r>
      <w:r>
        <w:rPr/>
        <w:t>of</w:t>
      </w:r>
      <w:r>
        <w:rPr>
          <w:spacing w:val="-4"/>
        </w:rPr>
        <w:t> </w:t>
      </w:r>
      <w:r>
        <w:rPr/>
        <w:t>State</w:t>
      </w:r>
      <w:r>
        <w:rPr>
          <w:spacing w:val="-4"/>
        </w:rPr>
        <w:t> </w:t>
      </w:r>
      <w:r>
        <w:rPr/>
        <w:t>for</w:t>
      </w:r>
      <w:r>
        <w:rPr>
          <w:spacing w:val="-3"/>
        </w:rPr>
        <w:t> </w:t>
      </w:r>
      <w:r>
        <w:rPr/>
        <w:t>Education</w:t>
      </w:r>
      <w:r>
        <w:rPr>
          <w:spacing w:val="-4"/>
        </w:rPr>
        <w:t> </w:t>
      </w:r>
      <w:r>
        <w:rPr/>
        <w:t>acting</w:t>
      </w:r>
      <w:r>
        <w:rPr>
          <w:spacing w:val="-4"/>
        </w:rPr>
        <w:t> </w:t>
      </w:r>
      <w:r>
        <w:rPr/>
        <w:t>through</w:t>
      </w:r>
      <w:r>
        <w:rPr>
          <w:spacing w:val="-4"/>
        </w:rPr>
        <w:t> </w:t>
      </w:r>
      <w:r>
        <w:rPr/>
        <w:t>the</w:t>
      </w:r>
      <w:r>
        <w:rPr>
          <w:spacing w:val="-4"/>
        </w:rPr>
        <w:t> </w:t>
      </w:r>
      <w:r>
        <w:rPr/>
        <w:t>ESFA</w:t>
      </w:r>
      <w:r>
        <w:rPr>
          <w:spacing w:val="-5"/>
        </w:rPr>
        <w:t> </w:t>
      </w:r>
      <w:r>
        <w:rPr/>
        <w:t>for</w:t>
      </w:r>
      <w:r>
        <w:rPr>
          <w:spacing w:val="-1"/>
        </w:rPr>
        <w:t> </w:t>
      </w:r>
      <w:r>
        <w:rPr/>
        <w:t>our</w:t>
      </w:r>
      <w:r>
        <w:rPr>
          <w:spacing w:val="-5"/>
        </w:rPr>
        <w:t> </w:t>
      </w:r>
      <w:r>
        <w:rPr/>
        <w:t>work,</w:t>
      </w:r>
      <w:r>
        <w:rPr>
          <w:spacing w:val="-6"/>
        </w:rPr>
        <w:t> </w:t>
      </w:r>
      <w:r>
        <w:rPr/>
        <w:t>for</w:t>
      </w:r>
      <w:r>
        <w:rPr>
          <w:spacing w:val="-3"/>
        </w:rPr>
        <w:t> </w:t>
      </w:r>
      <w:r>
        <w:rPr/>
        <w:t>this</w:t>
      </w:r>
      <w:r>
        <w:rPr>
          <w:spacing w:val="-5"/>
        </w:rPr>
        <w:t> </w:t>
      </w:r>
      <w:r>
        <w:rPr/>
        <w:t>report, or for the conclusion we have formed.</w:t>
      </w:r>
    </w:p>
    <w:p>
      <w:pPr>
        <w:pStyle w:val="BodyText"/>
      </w:pPr>
    </w:p>
    <w:p>
      <w:pPr>
        <w:pStyle w:val="BodyText"/>
      </w:pPr>
    </w:p>
    <w:p>
      <w:pPr>
        <w:pStyle w:val="BodyText"/>
        <w:spacing w:before="26"/>
      </w:pPr>
      <w:r>
        <w:rPr/>
        <w:drawing>
          <wp:anchor distT="0" distB="0" distL="0" distR="0" allowOverlap="1" layoutInCell="1" locked="0" behindDoc="1" simplePos="0" relativeHeight="487610880">
            <wp:simplePos x="0" y="0"/>
            <wp:positionH relativeFrom="page">
              <wp:posOffset>1016167</wp:posOffset>
            </wp:positionH>
            <wp:positionV relativeFrom="paragraph">
              <wp:posOffset>177789</wp:posOffset>
            </wp:positionV>
            <wp:extent cx="3744712" cy="665321"/>
            <wp:effectExtent l="0" t="0" r="0" b="0"/>
            <wp:wrapTopAndBottom/>
            <wp:docPr id="139" name="Image 139"/>
            <wp:cNvGraphicFramePr>
              <a:graphicFrameLocks/>
            </wp:cNvGraphicFramePr>
            <a:graphic>
              <a:graphicData uri="http://schemas.openxmlformats.org/drawingml/2006/picture">
                <pic:pic>
                  <pic:nvPicPr>
                    <pic:cNvPr id="139" name="Image 139"/>
                    <pic:cNvPicPr/>
                  </pic:nvPicPr>
                  <pic:blipFill>
                    <a:blip r:embed="rId29" cstate="print"/>
                    <a:stretch>
                      <a:fillRect/>
                    </a:stretch>
                  </pic:blipFill>
                  <pic:spPr>
                    <a:xfrm>
                      <a:off x="0" y="0"/>
                      <a:ext cx="3744712" cy="665321"/>
                    </a:xfrm>
                    <a:prstGeom prst="rect">
                      <a:avLst/>
                    </a:prstGeom>
                  </pic:spPr>
                </pic:pic>
              </a:graphicData>
            </a:graphic>
          </wp:anchor>
        </w:drawing>
      </w:r>
    </w:p>
    <w:p>
      <w:pPr>
        <w:pStyle w:val="BodyText"/>
        <w:spacing w:before="50"/>
      </w:pPr>
    </w:p>
    <w:p>
      <w:pPr>
        <w:pStyle w:val="BodyText"/>
        <w:ind w:left="165"/>
        <w:jc w:val="both"/>
      </w:pPr>
      <w:r>
        <w:rPr/>
        <w:t>RSM</w:t>
      </w:r>
      <w:r>
        <w:rPr>
          <w:spacing w:val="-5"/>
        </w:rPr>
        <w:t> </w:t>
      </w:r>
      <w:r>
        <w:rPr/>
        <w:t>UK</w:t>
      </w:r>
      <w:r>
        <w:rPr>
          <w:spacing w:val="-4"/>
        </w:rPr>
        <w:t> </w:t>
      </w:r>
      <w:r>
        <w:rPr/>
        <w:t>AUDIT</w:t>
      </w:r>
      <w:r>
        <w:rPr>
          <w:spacing w:val="-4"/>
        </w:rPr>
        <w:t> </w:t>
      </w:r>
      <w:r>
        <w:rPr>
          <w:spacing w:val="-5"/>
        </w:rPr>
        <w:t>LLP</w:t>
      </w:r>
    </w:p>
    <w:p>
      <w:pPr>
        <w:pStyle w:val="BodyText"/>
        <w:spacing w:before="1"/>
        <w:ind w:left="165" w:right="7473"/>
      </w:pPr>
      <w:r>
        <w:rPr/>
        <w:t>Chartered</w:t>
      </w:r>
      <w:r>
        <w:rPr>
          <w:spacing w:val="-14"/>
        </w:rPr>
        <w:t> </w:t>
      </w:r>
      <w:r>
        <w:rPr/>
        <w:t>Accountants First Floor</w:t>
      </w:r>
    </w:p>
    <w:p>
      <w:pPr>
        <w:pStyle w:val="BodyText"/>
        <w:spacing w:before="1"/>
        <w:ind w:left="165" w:right="7473"/>
      </w:pPr>
      <w:r>
        <w:rPr/>
        <w:t>Two Humber Quays Wellington</w:t>
      </w:r>
      <w:r>
        <w:rPr>
          <w:spacing w:val="-14"/>
        </w:rPr>
        <w:t> </w:t>
      </w:r>
      <w:r>
        <w:rPr/>
        <w:t>Street</w:t>
      </w:r>
      <w:r>
        <w:rPr>
          <w:spacing w:val="-14"/>
        </w:rPr>
        <w:t> </w:t>
      </w:r>
      <w:r>
        <w:rPr/>
        <w:t>West </w:t>
      </w:r>
      <w:r>
        <w:rPr>
          <w:spacing w:val="-4"/>
        </w:rPr>
        <w:t>Hull</w:t>
      </w:r>
    </w:p>
    <w:p>
      <w:pPr>
        <w:pStyle w:val="BodyText"/>
        <w:spacing w:line="229" w:lineRule="exact"/>
        <w:ind w:left="165"/>
      </w:pPr>
      <w:r>
        <w:rPr/>
        <w:t>HU1</w:t>
      </w:r>
      <w:r>
        <w:rPr>
          <w:spacing w:val="-7"/>
        </w:rPr>
        <w:t> </w:t>
      </w:r>
      <w:r>
        <w:rPr>
          <w:spacing w:val="-5"/>
        </w:rPr>
        <w:t>2BN</w:t>
      </w:r>
    </w:p>
    <w:p>
      <w:pPr>
        <w:pStyle w:val="BodyText"/>
        <w:spacing w:before="1"/>
      </w:pPr>
    </w:p>
    <w:p>
      <w:pPr>
        <w:pStyle w:val="BodyText"/>
        <w:ind w:left="165"/>
      </w:pPr>
      <w:r>
        <w:rPr/>
        <w:t>29</w:t>
      </w:r>
      <w:r>
        <w:rPr>
          <w:spacing w:val="-8"/>
        </w:rPr>
        <w:t> </w:t>
      </w:r>
      <w:r>
        <w:rPr/>
        <w:t>February</w:t>
      </w:r>
      <w:r>
        <w:rPr>
          <w:spacing w:val="-6"/>
        </w:rPr>
        <w:t> </w:t>
      </w:r>
      <w:r>
        <w:rPr>
          <w:spacing w:val="-4"/>
        </w:rPr>
        <w:t>2024</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3"/>
      </w:pPr>
      <w:r>
        <w:rPr/>
        <mc:AlternateContent>
          <mc:Choice Requires="wps">
            <w:drawing>
              <wp:anchor distT="0" distB="0" distL="0" distR="0" allowOverlap="1" layoutInCell="1" locked="0" behindDoc="1" simplePos="0" relativeHeight="487611392">
                <wp:simplePos x="0" y="0"/>
                <wp:positionH relativeFrom="page">
                  <wp:posOffset>896111</wp:posOffset>
                </wp:positionH>
                <wp:positionV relativeFrom="paragraph">
                  <wp:posOffset>201298</wp:posOffset>
                </wp:positionV>
                <wp:extent cx="5980430" cy="635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850307pt;width:470.88pt;height:.48pt;mso-position-horizontal-relative:page;mso-position-vertical-relative:paragraph;z-index:-15705088;mso-wrap-distance-left:0;mso-wrap-distance-right:0" id="docshape129" filled="true" fillcolor="#000000" stroked="false">
                <v:fill type="solid"/>
                <w10:wrap type="topAndBottom"/>
              </v:rect>
            </w:pict>
          </mc:Fallback>
        </mc:AlternateContent>
      </w:r>
    </w:p>
    <w:sectPr>
      <w:headerReference w:type="default" r:id="rId54"/>
      <w:footerReference w:type="default" r:id="rId55"/>
      <w:pgSz w:w="12240" w:h="15840"/>
      <w:pgMar w:header="0" w:footer="0" w:top="6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78816">
              <wp:simplePos x="0" y="0"/>
              <wp:positionH relativeFrom="page">
                <wp:posOffset>882396</wp:posOffset>
              </wp:positionH>
              <wp:positionV relativeFrom="page">
                <wp:posOffset>10070591</wp:posOffset>
              </wp:positionV>
              <wp:extent cx="588772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887720" cy="6350"/>
                      </a:xfrm>
                      <a:custGeom>
                        <a:avLst/>
                        <a:gdLst/>
                        <a:ahLst/>
                        <a:cxnLst/>
                        <a:rect l="l" t="t" r="r" b="b"/>
                        <a:pathLst>
                          <a:path w="5887720" h="6350">
                            <a:moveTo>
                              <a:pt x="5887211" y="0"/>
                            </a:moveTo>
                            <a:lnTo>
                              <a:pt x="0" y="0"/>
                            </a:lnTo>
                            <a:lnTo>
                              <a:pt x="0" y="6096"/>
                            </a:lnTo>
                            <a:lnTo>
                              <a:pt x="5887211" y="6096"/>
                            </a:lnTo>
                            <a:lnTo>
                              <a:pt x="58872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63.56pt;height:.48pt;mso-position-horizontal-relative:page;mso-position-vertical-relative:page;z-index:-20337664" id="docshape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79328">
              <wp:simplePos x="0" y="0"/>
              <wp:positionH relativeFrom="page">
                <wp:posOffset>3752088</wp:posOffset>
              </wp:positionH>
              <wp:positionV relativeFrom="page">
                <wp:posOffset>10080542</wp:posOffset>
              </wp:positionV>
              <wp:extent cx="159385"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9385" cy="16700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295.440002pt;margin-top:793.743469pt;width:12.55pt;height:13.15pt;mso-position-horizontal-relative:page;mso-position-vertical-relative:page;z-index:-20337152" type="#_x0000_t202" id="docshape4"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4688">
              <wp:simplePos x="0" y="0"/>
              <wp:positionH relativeFrom="page">
                <wp:posOffset>882396</wp:posOffset>
              </wp:positionH>
              <wp:positionV relativeFrom="page">
                <wp:posOffset>10070591</wp:posOffset>
              </wp:positionV>
              <wp:extent cx="5556885" cy="635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321792" id="docshape3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95200">
              <wp:simplePos x="0" y="0"/>
              <wp:positionH relativeFrom="page">
                <wp:posOffset>3550920</wp:posOffset>
              </wp:positionH>
              <wp:positionV relativeFrom="page">
                <wp:posOffset>10080542</wp:posOffset>
              </wp:positionV>
              <wp:extent cx="229235" cy="16700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05pt;height:13.15pt;mso-position-horizontal-relative:page;mso-position-vertical-relative:page;z-index:-20321280" type="#_x0000_t202" id="docshape40"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7248">
              <wp:simplePos x="0" y="0"/>
              <wp:positionH relativeFrom="page">
                <wp:posOffset>882396</wp:posOffset>
              </wp:positionH>
              <wp:positionV relativeFrom="page">
                <wp:posOffset>10070591</wp:posOffset>
              </wp:positionV>
              <wp:extent cx="5760720" cy="63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760720" cy="6350"/>
                      </a:xfrm>
                      <a:custGeom>
                        <a:avLst/>
                        <a:gdLst/>
                        <a:ahLst/>
                        <a:cxnLst/>
                        <a:rect l="l" t="t" r="r" b="b"/>
                        <a:pathLst>
                          <a:path w="5760720" h="6350">
                            <a:moveTo>
                              <a:pt x="5760720" y="0"/>
                            </a:move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3.6pt;height:.48pt;mso-position-horizontal-relative:page;mso-position-vertical-relative:page;z-index:-20319232" id="docshape4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97760">
              <wp:simplePos x="0" y="0"/>
              <wp:positionH relativeFrom="page">
                <wp:posOffset>3653028</wp:posOffset>
              </wp:positionH>
              <wp:positionV relativeFrom="page">
                <wp:posOffset>10080542</wp:posOffset>
              </wp:positionV>
              <wp:extent cx="229235" cy="16700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 style="position:absolute;margin-left:287.640015pt;margin-top:793.743469pt;width:18.05pt;height:13.15pt;mso-position-horizontal-relative:page;mso-position-vertical-relative:page;z-index:-20318720" type="#_x0000_t202" id="docshape45"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9808">
              <wp:simplePos x="0" y="0"/>
              <wp:positionH relativeFrom="page">
                <wp:posOffset>882396</wp:posOffset>
              </wp:positionH>
              <wp:positionV relativeFrom="page">
                <wp:posOffset>10070591</wp:posOffset>
              </wp:positionV>
              <wp:extent cx="5760720" cy="63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760720" cy="6350"/>
                      </a:xfrm>
                      <a:custGeom>
                        <a:avLst/>
                        <a:gdLst/>
                        <a:ahLst/>
                        <a:cxnLst/>
                        <a:rect l="l" t="t" r="r" b="b"/>
                        <a:pathLst>
                          <a:path w="5760720" h="6350">
                            <a:moveTo>
                              <a:pt x="5760720" y="0"/>
                            </a:move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3.6pt;height:.48pt;mso-position-horizontal-relative:page;mso-position-vertical-relative:page;z-index:-20316672" id="docshape4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00320">
              <wp:simplePos x="0" y="0"/>
              <wp:positionH relativeFrom="page">
                <wp:posOffset>3653028</wp:posOffset>
              </wp:positionH>
              <wp:positionV relativeFrom="page">
                <wp:posOffset>10080542</wp:posOffset>
              </wp:positionV>
              <wp:extent cx="229235" cy="16700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 style="position:absolute;margin-left:287.640015pt;margin-top:793.743469pt;width:18.05pt;height:13.15pt;mso-position-horizontal-relative:page;mso-position-vertical-relative:page;z-index:-20316160" type="#_x0000_t202" id="docshape50"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36</w:t>
                    </w:r>
                    <w:r>
                      <w:rPr>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01856">
              <wp:simplePos x="0" y="0"/>
              <wp:positionH relativeFrom="page">
                <wp:posOffset>882396</wp:posOffset>
              </wp:positionH>
              <wp:positionV relativeFrom="page">
                <wp:posOffset>10070591</wp:posOffset>
              </wp:positionV>
              <wp:extent cx="5556885" cy="63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314624" id="docshape5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02368">
              <wp:simplePos x="0" y="0"/>
              <wp:positionH relativeFrom="page">
                <wp:posOffset>3550920</wp:posOffset>
              </wp:positionH>
              <wp:positionV relativeFrom="page">
                <wp:posOffset>10080542</wp:posOffset>
              </wp:positionV>
              <wp:extent cx="229235" cy="16700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05pt;height:13.15pt;mso-position-horizontal-relative:page;mso-position-vertical-relative:page;z-index:-20314112" type="#_x0000_t202" id="docshape5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03904">
              <wp:simplePos x="0" y="0"/>
              <wp:positionH relativeFrom="page">
                <wp:posOffset>882396</wp:posOffset>
              </wp:positionH>
              <wp:positionV relativeFrom="page">
                <wp:posOffset>10070591</wp:posOffset>
              </wp:positionV>
              <wp:extent cx="5797550" cy="635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312576" id="docshape6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04416">
              <wp:simplePos x="0" y="0"/>
              <wp:positionH relativeFrom="page">
                <wp:posOffset>3671315</wp:posOffset>
              </wp:positionH>
              <wp:positionV relativeFrom="page">
                <wp:posOffset>10080542</wp:posOffset>
              </wp:positionV>
              <wp:extent cx="229235" cy="16700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312064" type="#_x0000_t202" id="docshape62"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39</w:t>
                    </w:r>
                    <w:r>
                      <w:rPr>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04928">
              <wp:simplePos x="0" y="0"/>
              <wp:positionH relativeFrom="page">
                <wp:posOffset>3777996</wp:posOffset>
              </wp:positionH>
              <wp:positionV relativeFrom="page">
                <wp:posOffset>10106449</wp:posOffset>
              </wp:positionV>
              <wp:extent cx="229235" cy="16700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 style="position:absolute;margin-left:297.480011pt;margin-top:795.783447pt;width:18.05pt;height:13.15pt;mso-position-horizontal-relative:page;mso-position-vertical-relative:page;z-index:-20311552" type="#_x0000_t202" id="docshape63"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46</w:t>
                    </w:r>
                    <w:r>
                      <w:rPr>
                        <w:spacing w:val="-5"/>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06464">
              <wp:simplePos x="0" y="0"/>
              <wp:positionH relativeFrom="page">
                <wp:posOffset>882396</wp:posOffset>
              </wp:positionH>
              <wp:positionV relativeFrom="page">
                <wp:posOffset>10070591</wp:posOffset>
              </wp:positionV>
              <wp:extent cx="5797550" cy="635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310016" id="docshape7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06976">
              <wp:simplePos x="0" y="0"/>
              <wp:positionH relativeFrom="page">
                <wp:posOffset>3671315</wp:posOffset>
              </wp:positionH>
              <wp:positionV relativeFrom="page">
                <wp:posOffset>10080542</wp:posOffset>
              </wp:positionV>
              <wp:extent cx="229235" cy="16700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309504" type="#_x0000_t202" id="docshape77"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08512">
              <wp:simplePos x="0" y="0"/>
              <wp:positionH relativeFrom="page">
                <wp:posOffset>882396</wp:posOffset>
              </wp:positionH>
              <wp:positionV relativeFrom="page">
                <wp:posOffset>10070591</wp:posOffset>
              </wp:positionV>
              <wp:extent cx="5797550" cy="635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307968" id="docshape9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09024">
              <wp:simplePos x="0" y="0"/>
              <wp:positionH relativeFrom="page">
                <wp:posOffset>3671315</wp:posOffset>
              </wp:positionH>
              <wp:positionV relativeFrom="page">
                <wp:posOffset>10080542</wp:posOffset>
              </wp:positionV>
              <wp:extent cx="229235" cy="16700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52</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307456" type="#_x0000_t202" id="docshape95"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52</w:t>
                    </w:r>
                    <w:r>
                      <w:rPr>
                        <w:spacing w:val="-5"/>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10560">
              <wp:simplePos x="0" y="0"/>
              <wp:positionH relativeFrom="page">
                <wp:posOffset>3581400</wp:posOffset>
              </wp:positionH>
              <wp:positionV relativeFrom="page">
                <wp:posOffset>10080542</wp:posOffset>
              </wp:positionV>
              <wp:extent cx="229235" cy="16700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 style="position:absolute;margin-left:282pt;margin-top:793.743469pt;width:18.05pt;height:13.15pt;mso-position-horizontal-relative:page;mso-position-vertical-relative:page;z-index:-20305920" type="#_x0000_t202" id="docshape103"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12096">
              <wp:simplePos x="0" y="0"/>
              <wp:positionH relativeFrom="page">
                <wp:posOffset>882396</wp:posOffset>
              </wp:positionH>
              <wp:positionV relativeFrom="page">
                <wp:posOffset>10070591</wp:posOffset>
              </wp:positionV>
              <wp:extent cx="5797550" cy="635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304384" id="docshape11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12608">
              <wp:simplePos x="0" y="0"/>
              <wp:positionH relativeFrom="page">
                <wp:posOffset>3671315</wp:posOffset>
              </wp:positionH>
              <wp:positionV relativeFrom="page">
                <wp:posOffset>10080542</wp:posOffset>
              </wp:positionV>
              <wp:extent cx="229235" cy="16700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303872" type="#_x0000_t202" id="docshape111"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80864">
              <wp:simplePos x="0" y="0"/>
              <wp:positionH relativeFrom="page">
                <wp:posOffset>882396</wp:posOffset>
              </wp:positionH>
              <wp:positionV relativeFrom="page">
                <wp:posOffset>10262615</wp:posOffset>
              </wp:positionV>
              <wp:extent cx="5556885"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808.079956pt;width:437.52pt;height:.48pt;mso-position-horizontal-relative:page;mso-position-vertical-relative:page;z-index:-20335616" id="docshape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81376">
              <wp:simplePos x="0" y="0"/>
              <wp:positionH relativeFrom="page">
                <wp:posOffset>3576320</wp:posOffset>
              </wp:positionH>
              <wp:positionV relativeFrom="page">
                <wp:posOffset>10272565</wp:posOffset>
              </wp:positionV>
              <wp:extent cx="165735"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5735" cy="167005"/>
                      </a:xfrm>
                      <a:prstGeom prst="rect">
                        <a:avLst/>
                      </a:prstGeom>
                    </wps:spPr>
                    <wps:txbx>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81.600006pt;margin-top:808.863464pt;width:13.05pt;height:13.15pt;mso-position-horizontal-relative:page;mso-position-vertical-relative:page;z-index:-20335104" type="#_x0000_t202" id="docshape8" filled="false" stroked="false">
              <v:textbox inset="0,0,0,0">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14656">
              <wp:simplePos x="0" y="0"/>
              <wp:positionH relativeFrom="page">
                <wp:posOffset>882396</wp:posOffset>
              </wp:positionH>
              <wp:positionV relativeFrom="page">
                <wp:posOffset>10070591</wp:posOffset>
              </wp:positionV>
              <wp:extent cx="5797550" cy="635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301824" id="docshape11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15168">
              <wp:simplePos x="0" y="0"/>
              <wp:positionH relativeFrom="page">
                <wp:posOffset>3671315</wp:posOffset>
              </wp:positionH>
              <wp:positionV relativeFrom="page">
                <wp:posOffset>10080542</wp:posOffset>
              </wp:positionV>
              <wp:extent cx="229235" cy="16700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55</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301312" type="#_x0000_t202" id="docshape11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55</w:t>
                    </w:r>
                    <w:r>
                      <w:rPr>
                        <w:spacing w:val="-5"/>
                      </w:rPr>
                      <w:fldChar w:fldCharType="end"/>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16704">
              <wp:simplePos x="0" y="0"/>
              <wp:positionH relativeFrom="page">
                <wp:posOffset>882396</wp:posOffset>
              </wp:positionH>
              <wp:positionV relativeFrom="page">
                <wp:posOffset>10070591</wp:posOffset>
              </wp:positionV>
              <wp:extent cx="5797550" cy="635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299776" id="docshape12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17216">
              <wp:simplePos x="0" y="0"/>
              <wp:positionH relativeFrom="page">
                <wp:posOffset>3671315</wp:posOffset>
              </wp:positionH>
              <wp:positionV relativeFrom="page">
                <wp:posOffset>10080542</wp:posOffset>
              </wp:positionV>
              <wp:extent cx="229235" cy="16700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299264" type="#_x0000_t202" id="docshape12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57</w:t>
                    </w:r>
                    <w:r>
                      <w:rPr>
                        <w:spacing w:val="-5"/>
                      </w:rPr>
                      <w:fldChar w:fldCharType="end"/>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82912">
              <wp:simplePos x="0" y="0"/>
              <wp:positionH relativeFrom="page">
                <wp:posOffset>882396</wp:posOffset>
              </wp:positionH>
              <wp:positionV relativeFrom="page">
                <wp:posOffset>10262615</wp:posOffset>
              </wp:positionV>
              <wp:extent cx="5556885" cy="63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808.079956pt;width:437.52pt;height:.48pt;mso-position-horizontal-relative:page;mso-position-vertical-relative:page;z-index:-20333568" id="docshape1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83424">
              <wp:simplePos x="0" y="0"/>
              <wp:positionH relativeFrom="page">
                <wp:posOffset>3550920</wp:posOffset>
              </wp:positionH>
              <wp:positionV relativeFrom="page">
                <wp:posOffset>10272565</wp:posOffset>
              </wp:positionV>
              <wp:extent cx="229235" cy="1670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808.863464pt;width:18.05pt;height:13.15pt;mso-position-horizontal-relative:page;mso-position-vertical-relative:page;z-index:-20333056" type="#_x0000_t202" id="docshape12"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84960">
              <wp:simplePos x="0" y="0"/>
              <wp:positionH relativeFrom="page">
                <wp:posOffset>3671315</wp:posOffset>
              </wp:positionH>
              <wp:positionV relativeFrom="page">
                <wp:posOffset>10272565</wp:posOffset>
              </wp:positionV>
              <wp:extent cx="229235" cy="16700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808.863464pt;width:18.05pt;height:13.15pt;mso-position-horizontal-relative:page;mso-position-vertical-relative:page;z-index:-20331520" type="#_x0000_t202" id="docshape1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86496">
              <wp:simplePos x="0" y="0"/>
              <wp:positionH relativeFrom="page">
                <wp:posOffset>3550920</wp:posOffset>
              </wp:positionH>
              <wp:positionV relativeFrom="page">
                <wp:posOffset>10272565</wp:posOffset>
              </wp:positionV>
              <wp:extent cx="229235" cy="16700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808.863464pt;width:18.05pt;height:13.15pt;mso-position-horizontal-relative:page;mso-position-vertical-relative:page;z-index:-20329984" type="#_x0000_t202" id="docshape21"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88032">
              <wp:simplePos x="0" y="0"/>
              <wp:positionH relativeFrom="page">
                <wp:posOffset>882396</wp:posOffset>
              </wp:positionH>
              <wp:positionV relativeFrom="page">
                <wp:posOffset>10070591</wp:posOffset>
              </wp:positionV>
              <wp:extent cx="5556885" cy="63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328448" id="docshape2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88544">
              <wp:simplePos x="0" y="0"/>
              <wp:positionH relativeFrom="page">
                <wp:posOffset>3550920</wp:posOffset>
              </wp:positionH>
              <wp:positionV relativeFrom="page">
                <wp:posOffset>10080542</wp:posOffset>
              </wp:positionV>
              <wp:extent cx="229235" cy="16700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05pt;height:13.15pt;mso-position-horizontal-relative:page;mso-position-vertical-relative:page;z-index:-20327936" type="#_x0000_t202" id="docshape2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20</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0080">
              <wp:simplePos x="0" y="0"/>
              <wp:positionH relativeFrom="page">
                <wp:posOffset>3606800</wp:posOffset>
              </wp:positionH>
              <wp:positionV relativeFrom="page">
                <wp:posOffset>10184173</wp:posOffset>
              </wp:positionV>
              <wp:extent cx="165735" cy="16700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65735" cy="167005"/>
                      </a:xfrm>
                      <a:prstGeom prst="rect">
                        <a:avLst/>
                      </a:prstGeom>
                    </wps:spPr>
                    <wps:txbx>
                      <w:txbxContent>
                        <w:p>
                          <w:pPr>
                            <w:pStyle w:val="BodyText"/>
                            <w:spacing w:before="12"/>
                            <w:ind w:left="20"/>
                          </w:pPr>
                          <w:r>
                            <w:rPr>
                              <w:spacing w:val="-5"/>
                            </w:rPr>
                            <w:t>25</w:t>
                          </w:r>
                        </w:p>
                      </w:txbxContent>
                    </wps:txbx>
                    <wps:bodyPr wrap="square" lIns="0" tIns="0" rIns="0" bIns="0" rtlCol="0">
                      <a:noAutofit/>
                    </wps:bodyPr>
                  </wps:wsp>
                </a:graphicData>
              </a:graphic>
            </wp:anchor>
          </w:drawing>
        </mc:Choice>
        <mc:Fallback>
          <w:pict>
            <v:shape style="position:absolute;margin-left:284pt;margin-top:801.903442pt;width:13.05pt;height:13.15pt;mso-position-horizontal-relative:page;mso-position-vertical-relative:page;z-index:-20326400" type="#_x0000_t202" id="docshape29" filled="false" stroked="false">
              <v:textbox inset="0,0,0,0">
                <w:txbxContent>
                  <w:p>
                    <w:pPr>
                      <w:pStyle w:val="BodyText"/>
                      <w:spacing w:before="12"/>
                      <w:ind w:left="20"/>
                    </w:pPr>
                    <w:r>
                      <w:rPr>
                        <w:spacing w:val="-5"/>
                      </w:rPr>
                      <w:t>25</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1616">
              <wp:simplePos x="0" y="0"/>
              <wp:positionH relativeFrom="page">
                <wp:posOffset>882396</wp:posOffset>
              </wp:positionH>
              <wp:positionV relativeFrom="page">
                <wp:posOffset>10070591</wp:posOffset>
              </wp:positionV>
              <wp:extent cx="5556885" cy="63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324864" id="docshape3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92128">
              <wp:simplePos x="0" y="0"/>
              <wp:positionH relativeFrom="page">
                <wp:posOffset>3550920</wp:posOffset>
              </wp:positionH>
              <wp:positionV relativeFrom="page">
                <wp:posOffset>10080542</wp:posOffset>
              </wp:positionV>
              <wp:extent cx="229235" cy="16700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05pt;height:13.15pt;mso-position-horizontal-relative:page;mso-position-vertical-relative:page;z-index:-20324352" type="#_x0000_t202" id="docshape3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3152">
              <wp:simplePos x="0" y="0"/>
              <wp:positionH relativeFrom="page">
                <wp:posOffset>882396</wp:posOffset>
              </wp:positionH>
              <wp:positionV relativeFrom="page">
                <wp:posOffset>10070591</wp:posOffset>
              </wp:positionV>
              <wp:extent cx="5556885" cy="635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323328" id="docshape3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93664">
              <wp:simplePos x="0" y="0"/>
              <wp:positionH relativeFrom="page">
                <wp:posOffset>3550920</wp:posOffset>
              </wp:positionH>
              <wp:positionV relativeFrom="page">
                <wp:posOffset>10080542</wp:posOffset>
              </wp:positionV>
              <wp:extent cx="229870" cy="16700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29870"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1pt;height:13.15pt;mso-position-horizontal-relative:page;mso-position-vertical-relative:page;z-index:-20322816" type="#_x0000_t202" id="docshape37"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77792">
              <wp:simplePos x="0" y="0"/>
              <wp:positionH relativeFrom="page">
                <wp:posOffset>882396</wp:posOffset>
              </wp:positionH>
              <wp:positionV relativeFrom="page">
                <wp:posOffset>966203</wp:posOffset>
              </wp:positionV>
              <wp:extent cx="588772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887720" cy="6350"/>
                      </a:xfrm>
                      <a:custGeom>
                        <a:avLst/>
                        <a:gdLst/>
                        <a:ahLst/>
                        <a:cxnLst/>
                        <a:rect l="l" t="t" r="r" b="b"/>
                        <a:pathLst>
                          <a:path w="5887720" h="6350">
                            <a:moveTo>
                              <a:pt x="5887211" y="0"/>
                            </a:moveTo>
                            <a:lnTo>
                              <a:pt x="0" y="0"/>
                            </a:lnTo>
                            <a:lnTo>
                              <a:pt x="0" y="6108"/>
                            </a:lnTo>
                            <a:lnTo>
                              <a:pt x="5887211" y="6108"/>
                            </a:lnTo>
                            <a:lnTo>
                              <a:pt x="58872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63.56pt;height:.481pt;mso-position-horizontal-relative:page;mso-position-vertical-relative:page;z-index:-20338688"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78304">
              <wp:simplePos x="0" y="0"/>
              <wp:positionH relativeFrom="page">
                <wp:posOffset>887983</wp:posOffset>
              </wp:positionH>
              <wp:positionV relativeFrom="page">
                <wp:posOffset>449198</wp:posOffset>
              </wp:positionV>
              <wp:extent cx="3700145" cy="5175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700145"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19998pt;margin-top:35.369938pt;width:291.350pt;height:40.75pt;mso-position-horizontal-relative:page;mso-position-vertical-relative:page;z-index:-20338176" type="#_x0000_t202" id="docshape2"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4176">
              <wp:simplePos x="0" y="0"/>
              <wp:positionH relativeFrom="page">
                <wp:posOffset>887983</wp:posOffset>
              </wp:positionH>
              <wp:positionV relativeFrom="page">
                <wp:posOffset>449792</wp:posOffset>
              </wp:positionV>
              <wp:extent cx="5546725" cy="37147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5546725" cy="371475"/>
                      </a:xfrm>
                      <a:prstGeom prst="rect">
                        <a:avLst/>
                      </a:prstGeom>
                    </wps:spPr>
                    <wps:txbx>
                      <w:txbxContent>
                        <w:p>
                          <w:pPr>
                            <w:spacing w:before="12"/>
                            <w:ind w:left="20" w:right="0" w:firstLine="0"/>
                            <w:jc w:val="left"/>
                            <w:rPr>
                              <w:b/>
                              <w:sz w:val="24"/>
                            </w:rPr>
                          </w:pPr>
                          <w:r>
                            <w:rPr>
                              <w:b/>
                              <w:sz w:val="24"/>
                            </w:rPr>
                            <w:t>Independent</w:t>
                          </w:r>
                          <w:r>
                            <w:rPr>
                              <w:b/>
                              <w:spacing w:val="80"/>
                              <w:w w:val="150"/>
                              <w:sz w:val="24"/>
                            </w:rPr>
                            <w:t> </w:t>
                          </w:r>
                          <w:r>
                            <w:rPr>
                              <w:b/>
                              <w:sz w:val="24"/>
                            </w:rPr>
                            <w:t>Auditors’</w:t>
                          </w:r>
                          <w:r>
                            <w:rPr>
                              <w:b/>
                              <w:spacing w:val="80"/>
                              <w:w w:val="150"/>
                              <w:sz w:val="24"/>
                            </w:rPr>
                            <w:t> </w:t>
                          </w:r>
                          <w:r>
                            <w:rPr>
                              <w:b/>
                              <w:sz w:val="24"/>
                            </w:rPr>
                            <w:t>Report</w:t>
                          </w:r>
                          <w:r>
                            <w:rPr>
                              <w:b/>
                              <w:spacing w:val="80"/>
                              <w:w w:val="150"/>
                              <w:sz w:val="24"/>
                            </w:rPr>
                            <w:t> </w:t>
                          </w:r>
                          <w:r>
                            <w:rPr>
                              <w:b/>
                              <w:sz w:val="24"/>
                            </w:rPr>
                            <w:t>to</w:t>
                          </w:r>
                          <w:r>
                            <w:rPr>
                              <w:b/>
                              <w:spacing w:val="80"/>
                              <w:w w:val="150"/>
                              <w:sz w:val="24"/>
                            </w:rPr>
                            <w:t> </w:t>
                          </w:r>
                          <w:r>
                            <w:rPr>
                              <w:b/>
                              <w:sz w:val="24"/>
                            </w:rPr>
                            <w:t>the</w:t>
                          </w:r>
                          <w:r>
                            <w:rPr>
                              <w:b/>
                              <w:spacing w:val="80"/>
                              <w:sz w:val="24"/>
                            </w:rPr>
                            <w:t> </w:t>
                          </w:r>
                          <w:r>
                            <w:rPr>
                              <w:b/>
                              <w:sz w:val="24"/>
                            </w:rPr>
                            <w:t>Hull</w:t>
                          </w:r>
                          <w:r>
                            <w:rPr>
                              <w:b/>
                              <w:spacing w:val="80"/>
                              <w:w w:val="150"/>
                              <w:sz w:val="24"/>
                            </w:rPr>
                            <w:t> </w:t>
                          </w:r>
                          <w:r>
                            <w:rPr>
                              <w:b/>
                              <w:sz w:val="24"/>
                            </w:rPr>
                            <w:t>College</w:t>
                          </w:r>
                          <w:r>
                            <w:rPr>
                              <w:b/>
                              <w:spacing w:val="80"/>
                              <w:w w:val="150"/>
                              <w:sz w:val="24"/>
                            </w:rPr>
                            <w:t> </w:t>
                          </w:r>
                          <w:r>
                            <w:rPr>
                              <w:b/>
                              <w:sz w:val="24"/>
                            </w:rPr>
                            <w:t>Further</w:t>
                          </w:r>
                          <w:r>
                            <w:rPr>
                              <w:b/>
                              <w:spacing w:val="80"/>
                              <w:w w:val="150"/>
                              <w:sz w:val="24"/>
                            </w:rPr>
                            <w:t> </w:t>
                          </w:r>
                          <w:r>
                            <w:rPr>
                              <w:b/>
                              <w:sz w:val="24"/>
                            </w:rPr>
                            <w:t>Education Corporation (continued)</w:t>
                          </w:r>
                        </w:p>
                      </w:txbxContent>
                    </wps:txbx>
                    <wps:bodyPr wrap="square" lIns="0" tIns="0" rIns="0" bIns="0" rtlCol="0">
                      <a:noAutofit/>
                    </wps:bodyPr>
                  </wps:wsp>
                </a:graphicData>
              </a:graphic>
            </wp:anchor>
          </w:drawing>
        </mc:Choice>
        <mc:Fallback>
          <w:pict>
            <v:shape style="position:absolute;margin-left:69.919998pt;margin-top:35.416698pt;width:436.75pt;height:29.25pt;mso-position-horizontal-relative:page;mso-position-vertical-relative:page;z-index:-20322304" type="#_x0000_t202" id="docshape38" filled="false" stroked="false">
              <v:textbox inset="0,0,0,0">
                <w:txbxContent>
                  <w:p>
                    <w:pPr>
                      <w:spacing w:before="12"/>
                      <w:ind w:left="20" w:right="0" w:firstLine="0"/>
                      <w:jc w:val="left"/>
                      <w:rPr>
                        <w:b/>
                        <w:sz w:val="24"/>
                      </w:rPr>
                    </w:pPr>
                    <w:r>
                      <w:rPr>
                        <w:b/>
                        <w:sz w:val="24"/>
                      </w:rPr>
                      <w:t>Independent</w:t>
                    </w:r>
                    <w:r>
                      <w:rPr>
                        <w:b/>
                        <w:spacing w:val="80"/>
                        <w:w w:val="150"/>
                        <w:sz w:val="24"/>
                      </w:rPr>
                      <w:t> </w:t>
                    </w:r>
                    <w:r>
                      <w:rPr>
                        <w:b/>
                        <w:sz w:val="24"/>
                      </w:rPr>
                      <w:t>Auditors’</w:t>
                    </w:r>
                    <w:r>
                      <w:rPr>
                        <w:b/>
                        <w:spacing w:val="80"/>
                        <w:w w:val="150"/>
                        <w:sz w:val="24"/>
                      </w:rPr>
                      <w:t> </w:t>
                    </w:r>
                    <w:r>
                      <w:rPr>
                        <w:b/>
                        <w:sz w:val="24"/>
                      </w:rPr>
                      <w:t>Report</w:t>
                    </w:r>
                    <w:r>
                      <w:rPr>
                        <w:b/>
                        <w:spacing w:val="80"/>
                        <w:w w:val="150"/>
                        <w:sz w:val="24"/>
                      </w:rPr>
                      <w:t> </w:t>
                    </w:r>
                    <w:r>
                      <w:rPr>
                        <w:b/>
                        <w:sz w:val="24"/>
                      </w:rPr>
                      <w:t>to</w:t>
                    </w:r>
                    <w:r>
                      <w:rPr>
                        <w:b/>
                        <w:spacing w:val="80"/>
                        <w:w w:val="150"/>
                        <w:sz w:val="24"/>
                      </w:rPr>
                      <w:t> </w:t>
                    </w:r>
                    <w:r>
                      <w:rPr>
                        <w:b/>
                        <w:sz w:val="24"/>
                      </w:rPr>
                      <w:t>the</w:t>
                    </w:r>
                    <w:r>
                      <w:rPr>
                        <w:b/>
                        <w:spacing w:val="80"/>
                        <w:sz w:val="24"/>
                      </w:rPr>
                      <w:t> </w:t>
                    </w:r>
                    <w:r>
                      <w:rPr>
                        <w:b/>
                        <w:sz w:val="24"/>
                      </w:rPr>
                      <w:t>Hull</w:t>
                    </w:r>
                    <w:r>
                      <w:rPr>
                        <w:b/>
                        <w:spacing w:val="80"/>
                        <w:w w:val="150"/>
                        <w:sz w:val="24"/>
                      </w:rPr>
                      <w:t> </w:t>
                    </w:r>
                    <w:r>
                      <w:rPr>
                        <w:b/>
                        <w:sz w:val="24"/>
                      </w:rPr>
                      <w:t>College</w:t>
                    </w:r>
                    <w:r>
                      <w:rPr>
                        <w:b/>
                        <w:spacing w:val="80"/>
                        <w:w w:val="150"/>
                        <w:sz w:val="24"/>
                      </w:rPr>
                      <w:t> </w:t>
                    </w:r>
                    <w:r>
                      <w:rPr>
                        <w:b/>
                        <w:sz w:val="24"/>
                      </w:rPr>
                      <w:t>Further</w:t>
                    </w:r>
                    <w:r>
                      <w:rPr>
                        <w:b/>
                        <w:spacing w:val="80"/>
                        <w:w w:val="150"/>
                        <w:sz w:val="24"/>
                      </w:rPr>
                      <w:t> </w:t>
                    </w:r>
                    <w:r>
                      <w:rPr>
                        <w:b/>
                        <w:sz w:val="24"/>
                      </w:rPr>
                      <w:t>Education Corporation (continued)</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5712">
              <wp:simplePos x="0" y="0"/>
              <wp:positionH relativeFrom="page">
                <wp:posOffset>882396</wp:posOffset>
              </wp:positionH>
              <wp:positionV relativeFrom="page">
                <wp:posOffset>966203</wp:posOffset>
              </wp:positionV>
              <wp:extent cx="5760720" cy="63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3.6pt;height:.481pt;mso-position-horizontal-relative:page;mso-position-vertical-relative:page;z-index:-20320768" id="docshape4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96224">
              <wp:simplePos x="0" y="0"/>
              <wp:positionH relativeFrom="page">
                <wp:posOffset>887983</wp:posOffset>
              </wp:positionH>
              <wp:positionV relativeFrom="page">
                <wp:posOffset>449198</wp:posOffset>
              </wp:positionV>
              <wp:extent cx="3700779" cy="51752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20256" type="#_x0000_t202" id="docshape42"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r>
      <w:rPr/>
      <mc:AlternateContent>
        <mc:Choice Requires="wps">
          <w:drawing>
            <wp:anchor distT="0" distB="0" distL="0" distR="0" allowOverlap="1" layoutInCell="1" locked="0" behindDoc="1" simplePos="0" relativeHeight="482996736">
              <wp:simplePos x="0" y="0"/>
              <wp:positionH relativeFrom="page">
                <wp:posOffset>887983</wp:posOffset>
              </wp:positionH>
              <wp:positionV relativeFrom="page">
                <wp:posOffset>1140164</wp:posOffset>
              </wp:positionV>
              <wp:extent cx="5657215" cy="19621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5657215" cy="196215"/>
                      </a:xfrm>
                      <a:prstGeom prst="rect">
                        <a:avLst/>
                      </a:prstGeom>
                    </wps:spPr>
                    <wps:txbx>
                      <w:txbxContent>
                        <w:p>
                          <w:pPr>
                            <w:spacing w:before="12"/>
                            <w:ind w:left="20" w:right="0" w:firstLine="0"/>
                            <w:jc w:val="left"/>
                            <w:rPr>
                              <w:b/>
                              <w:sz w:val="24"/>
                            </w:rPr>
                          </w:pPr>
                          <w:r>
                            <w:rPr>
                              <w:b/>
                              <w:sz w:val="24"/>
                            </w:rPr>
                            <w:t>CONSOLIDATED</w:t>
                          </w:r>
                          <w:r>
                            <w:rPr>
                              <w:b/>
                              <w:spacing w:val="-4"/>
                              <w:sz w:val="24"/>
                            </w:rPr>
                            <w:t> </w:t>
                          </w:r>
                          <w:r>
                            <w:rPr>
                              <w:b/>
                              <w:sz w:val="24"/>
                            </w:rPr>
                            <w:t>AND</w:t>
                          </w:r>
                          <w:r>
                            <w:rPr>
                              <w:b/>
                              <w:spacing w:val="-4"/>
                              <w:sz w:val="24"/>
                            </w:rPr>
                            <w:t> </w:t>
                          </w:r>
                          <w:r>
                            <w:rPr>
                              <w:b/>
                              <w:sz w:val="24"/>
                            </w:rPr>
                            <w:t>COLLEGE</w:t>
                          </w:r>
                          <w:r>
                            <w:rPr>
                              <w:b/>
                              <w:spacing w:val="-3"/>
                              <w:sz w:val="24"/>
                            </w:rPr>
                            <w:t> </w:t>
                          </w:r>
                          <w:r>
                            <w:rPr>
                              <w:b/>
                              <w:sz w:val="24"/>
                            </w:rPr>
                            <w:t>STATEMENT</w:t>
                          </w:r>
                          <w:r>
                            <w:rPr>
                              <w:b/>
                              <w:spacing w:val="-2"/>
                              <w:sz w:val="24"/>
                            </w:rPr>
                            <w:t> </w:t>
                          </w:r>
                          <w:r>
                            <w:rPr>
                              <w:b/>
                              <w:sz w:val="24"/>
                            </w:rPr>
                            <w:t>OF</w:t>
                          </w:r>
                          <w:r>
                            <w:rPr>
                              <w:b/>
                              <w:spacing w:val="-7"/>
                              <w:sz w:val="24"/>
                            </w:rPr>
                            <w:t> </w:t>
                          </w:r>
                          <w:r>
                            <w:rPr>
                              <w:b/>
                              <w:sz w:val="24"/>
                            </w:rPr>
                            <w:t>COMPREHENSIVE</w:t>
                          </w:r>
                          <w:r>
                            <w:rPr>
                              <w:b/>
                              <w:spacing w:val="-2"/>
                              <w:sz w:val="24"/>
                            </w:rPr>
                            <w:t> INCOME</w:t>
                          </w:r>
                        </w:p>
                      </w:txbxContent>
                    </wps:txbx>
                    <wps:bodyPr wrap="square" lIns="0" tIns="0" rIns="0" bIns="0" rtlCol="0">
                      <a:noAutofit/>
                    </wps:bodyPr>
                  </wps:wsp>
                </a:graphicData>
              </a:graphic>
            </wp:anchor>
          </w:drawing>
        </mc:Choice>
        <mc:Fallback>
          <w:pict>
            <v:shape style="position:absolute;margin-left:69.919998pt;margin-top:89.776695pt;width:445.45pt;height:15.45pt;mso-position-horizontal-relative:page;mso-position-vertical-relative:page;z-index:-20319744" type="#_x0000_t202" id="docshape43" filled="false" stroked="false">
              <v:textbox inset="0,0,0,0">
                <w:txbxContent>
                  <w:p>
                    <w:pPr>
                      <w:spacing w:before="12"/>
                      <w:ind w:left="20" w:right="0" w:firstLine="0"/>
                      <w:jc w:val="left"/>
                      <w:rPr>
                        <w:b/>
                        <w:sz w:val="24"/>
                      </w:rPr>
                    </w:pPr>
                    <w:r>
                      <w:rPr>
                        <w:b/>
                        <w:sz w:val="24"/>
                      </w:rPr>
                      <w:t>CONSOLIDATED</w:t>
                    </w:r>
                    <w:r>
                      <w:rPr>
                        <w:b/>
                        <w:spacing w:val="-4"/>
                        <w:sz w:val="24"/>
                      </w:rPr>
                      <w:t> </w:t>
                    </w:r>
                    <w:r>
                      <w:rPr>
                        <w:b/>
                        <w:sz w:val="24"/>
                      </w:rPr>
                      <w:t>AND</w:t>
                    </w:r>
                    <w:r>
                      <w:rPr>
                        <w:b/>
                        <w:spacing w:val="-4"/>
                        <w:sz w:val="24"/>
                      </w:rPr>
                      <w:t> </w:t>
                    </w:r>
                    <w:r>
                      <w:rPr>
                        <w:b/>
                        <w:sz w:val="24"/>
                      </w:rPr>
                      <w:t>COLLEGE</w:t>
                    </w:r>
                    <w:r>
                      <w:rPr>
                        <w:b/>
                        <w:spacing w:val="-3"/>
                        <w:sz w:val="24"/>
                      </w:rPr>
                      <w:t> </w:t>
                    </w:r>
                    <w:r>
                      <w:rPr>
                        <w:b/>
                        <w:sz w:val="24"/>
                      </w:rPr>
                      <w:t>STATEMENT</w:t>
                    </w:r>
                    <w:r>
                      <w:rPr>
                        <w:b/>
                        <w:spacing w:val="-2"/>
                        <w:sz w:val="24"/>
                      </w:rPr>
                      <w:t> </w:t>
                    </w:r>
                    <w:r>
                      <w:rPr>
                        <w:b/>
                        <w:sz w:val="24"/>
                      </w:rPr>
                      <w:t>OF</w:t>
                    </w:r>
                    <w:r>
                      <w:rPr>
                        <w:b/>
                        <w:spacing w:val="-7"/>
                        <w:sz w:val="24"/>
                      </w:rPr>
                      <w:t> </w:t>
                    </w:r>
                    <w:r>
                      <w:rPr>
                        <w:b/>
                        <w:sz w:val="24"/>
                      </w:rPr>
                      <w:t>COMPREHENSIVE</w:t>
                    </w:r>
                    <w:r>
                      <w:rPr>
                        <w:b/>
                        <w:spacing w:val="-2"/>
                        <w:sz w:val="24"/>
                      </w:rPr>
                      <w:t> INCOME</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8272">
              <wp:simplePos x="0" y="0"/>
              <wp:positionH relativeFrom="page">
                <wp:posOffset>882396</wp:posOffset>
              </wp:positionH>
              <wp:positionV relativeFrom="page">
                <wp:posOffset>966203</wp:posOffset>
              </wp:positionV>
              <wp:extent cx="5760720" cy="635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3.6pt;height:.481pt;mso-position-horizontal-relative:page;mso-position-vertical-relative:page;z-index:-20318208" id="docshape4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98784">
              <wp:simplePos x="0" y="0"/>
              <wp:positionH relativeFrom="page">
                <wp:posOffset>887983</wp:posOffset>
              </wp:positionH>
              <wp:positionV relativeFrom="page">
                <wp:posOffset>449198</wp:posOffset>
              </wp:positionV>
              <wp:extent cx="3700779" cy="51752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17696" type="#_x0000_t202" id="docshape47"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r>
      <w:rPr/>
      <mc:AlternateContent>
        <mc:Choice Requires="wps">
          <w:drawing>
            <wp:anchor distT="0" distB="0" distL="0" distR="0" allowOverlap="1" layoutInCell="1" locked="0" behindDoc="1" simplePos="0" relativeHeight="482999296">
              <wp:simplePos x="0" y="0"/>
              <wp:positionH relativeFrom="page">
                <wp:posOffset>887983</wp:posOffset>
              </wp:positionH>
              <wp:positionV relativeFrom="page">
                <wp:posOffset>1140164</wp:posOffset>
              </wp:positionV>
              <wp:extent cx="5260340" cy="19621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5260340" cy="196215"/>
                      </a:xfrm>
                      <a:prstGeom prst="rect">
                        <a:avLst/>
                      </a:prstGeom>
                    </wps:spPr>
                    <wps:txbx>
                      <w:txbxContent>
                        <w:p>
                          <w:pPr>
                            <w:spacing w:before="12"/>
                            <w:ind w:left="20" w:right="0" w:firstLine="0"/>
                            <w:jc w:val="left"/>
                            <w:rPr>
                              <w:b/>
                              <w:sz w:val="24"/>
                            </w:rPr>
                          </w:pPr>
                          <w:r>
                            <w:rPr>
                              <w:b/>
                              <w:sz w:val="24"/>
                            </w:rPr>
                            <w:t>CONSOLIDATED</w:t>
                          </w:r>
                          <w:r>
                            <w:rPr>
                              <w:b/>
                              <w:spacing w:val="-3"/>
                              <w:sz w:val="24"/>
                            </w:rPr>
                            <w:t> </w:t>
                          </w:r>
                          <w:r>
                            <w:rPr>
                              <w:b/>
                              <w:sz w:val="24"/>
                            </w:rPr>
                            <w:t>AND</w:t>
                          </w:r>
                          <w:r>
                            <w:rPr>
                              <w:b/>
                              <w:spacing w:val="-3"/>
                              <w:sz w:val="24"/>
                            </w:rPr>
                            <w:t> </w:t>
                          </w:r>
                          <w:r>
                            <w:rPr>
                              <w:b/>
                              <w:sz w:val="24"/>
                            </w:rPr>
                            <w:t>COLLEGE</w:t>
                          </w:r>
                          <w:r>
                            <w:rPr>
                              <w:b/>
                              <w:spacing w:val="-2"/>
                              <w:sz w:val="24"/>
                            </w:rPr>
                            <w:t> </w:t>
                          </w:r>
                          <w:r>
                            <w:rPr>
                              <w:b/>
                              <w:sz w:val="24"/>
                            </w:rPr>
                            <w:t>BALANCE</w:t>
                          </w:r>
                          <w:r>
                            <w:rPr>
                              <w:b/>
                              <w:spacing w:val="-2"/>
                              <w:sz w:val="24"/>
                            </w:rPr>
                            <w:t> </w:t>
                          </w:r>
                          <w:r>
                            <w:rPr>
                              <w:b/>
                              <w:sz w:val="24"/>
                            </w:rPr>
                            <w:t>SHEET AS</w:t>
                          </w:r>
                          <w:r>
                            <w:rPr>
                              <w:b/>
                              <w:spacing w:val="-2"/>
                              <w:sz w:val="24"/>
                            </w:rPr>
                            <w:t> </w:t>
                          </w:r>
                          <w:r>
                            <w:rPr>
                              <w:b/>
                              <w:sz w:val="24"/>
                            </w:rPr>
                            <w:t>AT</w:t>
                          </w:r>
                          <w:r>
                            <w:rPr>
                              <w:b/>
                              <w:spacing w:val="-3"/>
                              <w:sz w:val="24"/>
                            </w:rPr>
                            <w:t> </w:t>
                          </w:r>
                          <w:r>
                            <w:rPr>
                              <w:b/>
                              <w:sz w:val="24"/>
                            </w:rPr>
                            <w:t>31</w:t>
                          </w:r>
                          <w:r>
                            <w:rPr>
                              <w:b/>
                              <w:spacing w:val="-4"/>
                              <w:sz w:val="24"/>
                            </w:rPr>
                            <w:t> </w:t>
                          </w:r>
                          <w:r>
                            <w:rPr>
                              <w:b/>
                              <w:sz w:val="24"/>
                            </w:rPr>
                            <w:t>JULY</w:t>
                          </w:r>
                          <w:r>
                            <w:rPr>
                              <w:b/>
                              <w:spacing w:val="-1"/>
                              <w:sz w:val="24"/>
                            </w:rPr>
                            <w:t> </w:t>
                          </w:r>
                          <w:r>
                            <w:rPr>
                              <w:b/>
                              <w:spacing w:val="-4"/>
                              <w:sz w:val="24"/>
                            </w:rPr>
                            <w:t>2023</w:t>
                          </w:r>
                        </w:p>
                      </w:txbxContent>
                    </wps:txbx>
                    <wps:bodyPr wrap="square" lIns="0" tIns="0" rIns="0" bIns="0" rtlCol="0">
                      <a:noAutofit/>
                    </wps:bodyPr>
                  </wps:wsp>
                </a:graphicData>
              </a:graphic>
            </wp:anchor>
          </w:drawing>
        </mc:Choice>
        <mc:Fallback>
          <w:pict>
            <v:shape style="position:absolute;margin-left:69.919998pt;margin-top:89.776695pt;width:414.2pt;height:15.45pt;mso-position-horizontal-relative:page;mso-position-vertical-relative:page;z-index:-20317184" type="#_x0000_t202" id="docshape48" filled="false" stroked="false">
              <v:textbox inset="0,0,0,0">
                <w:txbxContent>
                  <w:p>
                    <w:pPr>
                      <w:spacing w:before="12"/>
                      <w:ind w:left="20" w:right="0" w:firstLine="0"/>
                      <w:jc w:val="left"/>
                      <w:rPr>
                        <w:b/>
                        <w:sz w:val="24"/>
                      </w:rPr>
                    </w:pPr>
                    <w:r>
                      <w:rPr>
                        <w:b/>
                        <w:sz w:val="24"/>
                      </w:rPr>
                      <w:t>CONSOLIDATED</w:t>
                    </w:r>
                    <w:r>
                      <w:rPr>
                        <w:b/>
                        <w:spacing w:val="-3"/>
                        <w:sz w:val="24"/>
                      </w:rPr>
                      <w:t> </w:t>
                    </w:r>
                    <w:r>
                      <w:rPr>
                        <w:b/>
                        <w:sz w:val="24"/>
                      </w:rPr>
                      <w:t>AND</w:t>
                    </w:r>
                    <w:r>
                      <w:rPr>
                        <w:b/>
                        <w:spacing w:val="-3"/>
                        <w:sz w:val="24"/>
                      </w:rPr>
                      <w:t> </w:t>
                    </w:r>
                    <w:r>
                      <w:rPr>
                        <w:b/>
                        <w:sz w:val="24"/>
                      </w:rPr>
                      <w:t>COLLEGE</w:t>
                    </w:r>
                    <w:r>
                      <w:rPr>
                        <w:b/>
                        <w:spacing w:val="-2"/>
                        <w:sz w:val="24"/>
                      </w:rPr>
                      <w:t> </w:t>
                    </w:r>
                    <w:r>
                      <w:rPr>
                        <w:b/>
                        <w:sz w:val="24"/>
                      </w:rPr>
                      <w:t>BALANCE</w:t>
                    </w:r>
                    <w:r>
                      <w:rPr>
                        <w:b/>
                        <w:spacing w:val="-2"/>
                        <w:sz w:val="24"/>
                      </w:rPr>
                      <w:t> </w:t>
                    </w:r>
                    <w:r>
                      <w:rPr>
                        <w:b/>
                        <w:sz w:val="24"/>
                      </w:rPr>
                      <w:t>SHEET AS</w:t>
                    </w:r>
                    <w:r>
                      <w:rPr>
                        <w:b/>
                        <w:spacing w:val="-2"/>
                        <w:sz w:val="24"/>
                      </w:rPr>
                      <w:t> </w:t>
                    </w:r>
                    <w:r>
                      <w:rPr>
                        <w:b/>
                        <w:sz w:val="24"/>
                      </w:rPr>
                      <w:t>AT</w:t>
                    </w:r>
                    <w:r>
                      <w:rPr>
                        <w:b/>
                        <w:spacing w:val="-3"/>
                        <w:sz w:val="24"/>
                      </w:rPr>
                      <w:t> </w:t>
                    </w:r>
                    <w:r>
                      <w:rPr>
                        <w:b/>
                        <w:sz w:val="24"/>
                      </w:rPr>
                      <w:t>31</w:t>
                    </w:r>
                    <w:r>
                      <w:rPr>
                        <w:b/>
                        <w:spacing w:val="-4"/>
                        <w:sz w:val="24"/>
                      </w:rPr>
                      <w:t> </w:t>
                    </w:r>
                    <w:r>
                      <w:rPr>
                        <w:b/>
                        <w:sz w:val="24"/>
                      </w:rPr>
                      <w:t>JULY</w:t>
                    </w:r>
                    <w:r>
                      <w:rPr>
                        <w:b/>
                        <w:spacing w:val="-1"/>
                        <w:sz w:val="24"/>
                      </w:rPr>
                      <w:t> </w:t>
                    </w:r>
                    <w:r>
                      <w:rPr>
                        <w:b/>
                        <w:spacing w:val="-4"/>
                        <w:sz w:val="24"/>
                      </w:rPr>
                      <w:t>2023</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00832">
              <wp:simplePos x="0" y="0"/>
              <wp:positionH relativeFrom="page">
                <wp:posOffset>882396</wp:posOffset>
              </wp:positionH>
              <wp:positionV relativeFrom="page">
                <wp:posOffset>966203</wp:posOffset>
              </wp:positionV>
              <wp:extent cx="5556885" cy="63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315648" id="docshape5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01344">
              <wp:simplePos x="0" y="0"/>
              <wp:positionH relativeFrom="page">
                <wp:posOffset>887983</wp:posOffset>
              </wp:positionH>
              <wp:positionV relativeFrom="page">
                <wp:posOffset>449198</wp:posOffset>
              </wp:positionV>
              <wp:extent cx="3700779" cy="51752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8"/>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7"/>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15136" type="#_x0000_t202" id="docshape52" filled="false" stroked="false">
              <v:textbox inset="0,0,0,0">
                <w:txbxContent>
                  <w:p>
                    <w:pPr>
                      <w:spacing w:before="11"/>
                      <w:ind w:left="20" w:right="0" w:firstLine="0"/>
                      <w:jc w:val="left"/>
                      <w:rPr>
                        <w:b/>
                        <w:sz w:val="28"/>
                      </w:rPr>
                    </w:pPr>
                    <w:r>
                      <w:rPr>
                        <w:b/>
                        <w:sz w:val="28"/>
                      </w:rPr>
                      <w:t>Hull</w:t>
                    </w:r>
                    <w:r>
                      <w:rPr>
                        <w:b/>
                        <w:spacing w:val="-8"/>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7"/>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02880">
              <wp:simplePos x="0" y="0"/>
              <wp:positionH relativeFrom="page">
                <wp:posOffset>882396</wp:posOffset>
              </wp:positionH>
              <wp:positionV relativeFrom="page">
                <wp:posOffset>966203</wp:posOffset>
              </wp:positionV>
              <wp:extent cx="5797550" cy="635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313600" id="docshape5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03392">
              <wp:simplePos x="0" y="0"/>
              <wp:positionH relativeFrom="page">
                <wp:posOffset>887983</wp:posOffset>
              </wp:positionH>
              <wp:positionV relativeFrom="page">
                <wp:posOffset>449198</wp:posOffset>
              </wp:positionV>
              <wp:extent cx="3700779" cy="51752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13088" type="#_x0000_t202" id="docshape60"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05440">
              <wp:simplePos x="0" y="0"/>
              <wp:positionH relativeFrom="page">
                <wp:posOffset>882396</wp:posOffset>
              </wp:positionH>
              <wp:positionV relativeFrom="page">
                <wp:posOffset>966203</wp:posOffset>
              </wp:positionV>
              <wp:extent cx="5797550" cy="635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311040" id="docshape7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05952">
              <wp:simplePos x="0" y="0"/>
              <wp:positionH relativeFrom="page">
                <wp:posOffset>887983</wp:posOffset>
              </wp:positionH>
              <wp:positionV relativeFrom="page">
                <wp:posOffset>449198</wp:posOffset>
              </wp:positionV>
              <wp:extent cx="3700779" cy="51752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10528" type="#_x0000_t202" id="docshape75"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07488">
              <wp:simplePos x="0" y="0"/>
              <wp:positionH relativeFrom="page">
                <wp:posOffset>887983</wp:posOffset>
              </wp:positionH>
              <wp:positionV relativeFrom="page">
                <wp:posOffset>449198</wp:posOffset>
              </wp:positionV>
              <wp:extent cx="3700779" cy="51752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08992" type="#_x0000_t202" id="docshape92"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r>
      <w:rPr/>
      <mc:AlternateContent>
        <mc:Choice Requires="wps">
          <w:drawing>
            <wp:anchor distT="0" distB="0" distL="0" distR="0" allowOverlap="1" layoutInCell="1" locked="0" behindDoc="1" simplePos="0" relativeHeight="483008000">
              <wp:simplePos x="0" y="0"/>
              <wp:positionH relativeFrom="page">
                <wp:posOffset>887983</wp:posOffset>
              </wp:positionH>
              <wp:positionV relativeFrom="page">
                <wp:posOffset>1140164</wp:posOffset>
              </wp:positionV>
              <wp:extent cx="3962400" cy="19621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3962400" cy="196215"/>
                      </a:xfrm>
                      <a:prstGeom prst="rect">
                        <a:avLst/>
                      </a:prstGeom>
                    </wps:spPr>
                    <wps:txbx>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69.919998pt;margin-top:89.776695pt;width:312pt;height:15.45pt;mso-position-horizontal-relative:page;mso-position-vertical-relative:page;z-index:-20308480" type="#_x0000_t202" id="docshape93" filled="false" stroked="false">
              <v:textbox inset="0,0,0,0">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09536">
              <wp:simplePos x="0" y="0"/>
              <wp:positionH relativeFrom="page">
                <wp:posOffset>887983</wp:posOffset>
              </wp:positionH>
              <wp:positionV relativeFrom="page">
                <wp:posOffset>449198</wp:posOffset>
              </wp:positionV>
              <wp:extent cx="3700779" cy="51752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06944" type="#_x0000_t202" id="docshape101"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r>
      <w:rPr/>
      <mc:AlternateContent>
        <mc:Choice Requires="wps">
          <w:drawing>
            <wp:anchor distT="0" distB="0" distL="0" distR="0" allowOverlap="1" layoutInCell="1" locked="0" behindDoc="1" simplePos="0" relativeHeight="483010048">
              <wp:simplePos x="0" y="0"/>
              <wp:positionH relativeFrom="page">
                <wp:posOffset>887983</wp:posOffset>
              </wp:positionH>
              <wp:positionV relativeFrom="page">
                <wp:posOffset>1140164</wp:posOffset>
              </wp:positionV>
              <wp:extent cx="3962400" cy="19621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3962400" cy="196215"/>
                      </a:xfrm>
                      <a:prstGeom prst="rect">
                        <a:avLst/>
                      </a:prstGeom>
                    </wps:spPr>
                    <wps:txbx>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69.919998pt;margin-top:89.776695pt;width:312pt;height:15.45pt;mso-position-horizontal-relative:page;mso-position-vertical-relative:page;z-index:-20306432" type="#_x0000_t202" id="docshape102" filled="false" stroked="false">
              <v:textbox inset="0,0,0,0">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11072">
              <wp:simplePos x="0" y="0"/>
              <wp:positionH relativeFrom="page">
                <wp:posOffset>882396</wp:posOffset>
              </wp:positionH>
              <wp:positionV relativeFrom="page">
                <wp:posOffset>966203</wp:posOffset>
              </wp:positionV>
              <wp:extent cx="5797550" cy="635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305408" id="docshape10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11584">
              <wp:simplePos x="0" y="0"/>
              <wp:positionH relativeFrom="page">
                <wp:posOffset>887983</wp:posOffset>
              </wp:positionH>
              <wp:positionV relativeFrom="page">
                <wp:posOffset>449198</wp:posOffset>
              </wp:positionV>
              <wp:extent cx="3700779" cy="51752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04896" type="#_x0000_t202" id="docshape109"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79840">
              <wp:simplePos x="0" y="0"/>
              <wp:positionH relativeFrom="page">
                <wp:posOffset>882396</wp:posOffset>
              </wp:positionH>
              <wp:positionV relativeFrom="page">
                <wp:posOffset>966203</wp:posOffset>
              </wp:positionV>
              <wp:extent cx="555688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336640" id="docshape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80352">
              <wp:simplePos x="0" y="0"/>
              <wp:positionH relativeFrom="page">
                <wp:posOffset>887983</wp:posOffset>
              </wp:positionH>
              <wp:positionV relativeFrom="page">
                <wp:posOffset>449198</wp:posOffset>
              </wp:positionV>
              <wp:extent cx="3700779" cy="5175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36128" type="#_x0000_t202" id="docshape6"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13120">
              <wp:simplePos x="0" y="0"/>
              <wp:positionH relativeFrom="page">
                <wp:posOffset>882396</wp:posOffset>
              </wp:positionH>
              <wp:positionV relativeFrom="page">
                <wp:posOffset>966203</wp:posOffset>
              </wp:positionV>
              <wp:extent cx="5797550" cy="635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303360" id="docshape11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13632">
              <wp:simplePos x="0" y="0"/>
              <wp:positionH relativeFrom="page">
                <wp:posOffset>887983</wp:posOffset>
              </wp:positionH>
              <wp:positionV relativeFrom="page">
                <wp:posOffset>449198</wp:posOffset>
              </wp:positionV>
              <wp:extent cx="3700779" cy="51752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02848" type="#_x0000_t202" id="docshape113"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r>
      <w:rPr/>
      <mc:AlternateContent>
        <mc:Choice Requires="wps">
          <w:drawing>
            <wp:anchor distT="0" distB="0" distL="0" distR="0" allowOverlap="1" layoutInCell="1" locked="0" behindDoc="1" simplePos="0" relativeHeight="483014144">
              <wp:simplePos x="0" y="0"/>
              <wp:positionH relativeFrom="page">
                <wp:posOffset>887983</wp:posOffset>
              </wp:positionH>
              <wp:positionV relativeFrom="page">
                <wp:posOffset>1140164</wp:posOffset>
              </wp:positionV>
              <wp:extent cx="3962400" cy="19621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3962400" cy="196215"/>
                      </a:xfrm>
                      <a:prstGeom prst="rect">
                        <a:avLst/>
                      </a:prstGeom>
                    </wps:spPr>
                    <wps:txbx>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69.919998pt;margin-top:89.776695pt;width:312pt;height:15.45pt;mso-position-horizontal-relative:page;mso-position-vertical-relative:page;z-index:-20302336" type="#_x0000_t202" id="docshape114" filled="false" stroked="false">
              <v:textbox inset="0,0,0,0">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15680">
              <wp:simplePos x="0" y="0"/>
              <wp:positionH relativeFrom="page">
                <wp:posOffset>882396</wp:posOffset>
              </wp:positionH>
              <wp:positionV relativeFrom="page">
                <wp:posOffset>966203</wp:posOffset>
              </wp:positionV>
              <wp:extent cx="5797550" cy="6350"/>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300800" id="docshape12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16192">
              <wp:simplePos x="0" y="0"/>
              <wp:positionH relativeFrom="page">
                <wp:posOffset>887983</wp:posOffset>
              </wp:positionH>
              <wp:positionV relativeFrom="page">
                <wp:posOffset>449198</wp:posOffset>
              </wp:positionV>
              <wp:extent cx="3700779" cy="51752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00288" type="#_x0000_t202" id="docshape122"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017728">
              <wp:simplePos x="0" y="0"/>
              <wp:positionH relativeFrom="page">
                <wp:posOffset>901700</wp:posOffset>
              </wp:positionH>
              <wp:positionV relativeFrom="page">
                <wp:posOffset>442172</wp:posOffset>
              </wp:positionV>
              <wp:extent cx="5757545" cy="54673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5757545" cy="546735"/>
                      </a:xfrm>
                      <a:prstGeom prst="rect">
                        <a:avLst/>
                      </a:prstGeom>
                    </wps:spPr>
                    <wps:txbx>
                      <w:txbxContent>
                        <w:p>
                          <w:pPr>
                            <w:spacing w:before="12"/>
                            <w:ind w:left="20" w:right="18" w:firstLine="0"/>
                            <w:jc w:val="both"/>
                            <w:rPr>
                              <w:b/>
                              <w:sz w:val="24"/>
                            </w:rPr>
                          </w:pPr>
                          <w:r>
                            <w:rPr>
                              <w:b/>
                              <w:sz w:val="24"/>
                            </w:rPr>
                            <w:t>INDEPENDENT REPORTING ACCOUNTANT’S REPORT ON REGULARITY TO HULL</w:t>
                          </w:r>
                          <w:r>
                            <w:rPr>
                              <w:b/>
                              <w:spacing w:val="-17"/>
                              <w:sz w:val="24"/>
                            </w:rPr>
                            <w:t> </w:t>
                          </w:r>
                          <w:r>
                            <w:rPr>
                              <w:b/>
                              <w:sz w:val="24"/>
                            </w:rPr>
                            <w:t>COLLEGE</w:t>
                          </w:r>
                          <w:r>
                            <w:rPr>
                              <w:b/>
                              <w:spacing w:val="-17"/>
                              <w:sz w:val="24"/>
                            </w:rPr>
                            <w:t> </w:t>
                          </w:r>
                          <w:r>
                            <w:rPr>
                              <w:b/>
                              <w:sz w:val="24"/>
                            </w:rPr>
                            <w:t>FURTHER</w:t>
                          </w:r>
                          <w:r>
                            <w:rPr>
                              <w:b/>
                              <w:spacing w:val="-16"/>
                              <w:sz w:val="24"/>
                            </w:rPr>
                            <w:t> </w:t>
                          </w:r>
                          <w:r>
                            <w:rPr>
                              <w:b/>
                              <w:sz w:val="24"/>
                            </w:rPr>
                            <w:t>EDUCATION</w:t>
                          </w:r>
                          <w:r>
                            <w:rPr>
                              <w:b/>
                              <w:spacing w:val="-17"/>
                              <w:sz w:val="24"/>
                            </w:rPr>
                            <w:t> </w:t>
                          </w:r>
                          <w:r>
                            <w:rPr>
                              <w:b/>
                              <w:sz w:val="24"/>
                            </w:rPr>
                            <w:t>CORPORATION</w:t>
                          </w:r>
                          <w:r>
                            <w:rPr>
                              <w:b/>
                              <w:spacing w:val="-17"/>
                              <w:sz w:val="24"/>
                            </w:rPr>
                            <w:t> </w:t>
                          </w:r>
                          <w:r>
                            <w:rPr>
                              <w:b/>
                              <w:sz w:val="24"/>
                            </w:rPr>
                            <w:t>AND</w:t>
                          </w:r>
                          <w:r>
                            <w:rPr>
                              <w:b/>
                              <w:spacing w:val="-17"/>
                              <w:sz w:val="24"/>
                            </w:rPr>
                            <w:t> </w:t>
                          </w:r>
                          <w:r>
                            <w:rPr>
                              <w:b/>
                              <w:sz w:val="24"/>
                            </w:rPr>
                            <w:t>THE</w:t>
                          </w:r>
                          <w:r>
                            <w:rPr>
                              <w:b/>
                              <w:spacing w:val="-16"/>
                              <w:sz w:val="24"/>
                            </w:rPr>
                            <w:t> </w:t>
                          </w:r>
                          <w:r>
                            <w:rPr>
                              <w:b/>
                              <w:sz w:val="24"/>
                            </w:rPr>
                            <w:t>SECRETARY OF</w:t>
                          </w:r>
                          <w:r>
                            <w:rPr>
                              <w:b/>
                              <w:spacing w:val="-9"/>
                              <w:sz w:val="24"/>
                            </w:rPr>
                            <w:t> </w:t>
                          </w:r>
                          <w:r>
                            <w:rPr>
                              <w:b/>
                              <w:sz w:val="24"/>
                            </w:rPr>
                            <w:t>STATE</w:t>
                          </w:r>
                          <w:r>
                            <w:rPr>
                              <w:b/>
                              <w:spacing w:val="-6"/>
                              <w:sz w:val="24"/>
                            </w:rPr>
                            <w:t> </w:t>
                          </w:r>
                          <w:r>
                            <w:rPr>
                              <w:b/>
                              <w:sz w:val="24"/>
                            </w:rPr>
                            <w:t>FOR</w:t>
                          </w:r>
                          <w:r>
                            <w:rPr>
                              <w:b/>
                              <w:spacing w:val="-7"/>
                              <w:sz w:val="24"/>
                            </w:rPr>
                            <w:t> </w:t>
                          </w:r>
                          <w:r>
                            <w:rPr>
                              <w:b/>
                              <w:sz w:val="24"/>
                            </w:rPr>
                            <w:t>EDUCATION</w:t>
                          </w:r>
                          <w:r>
                            <w:rPr>
                              <w:b/>
                              <w:spacing w:val="-7"/>
                              <w:sz w:val="24"/>
                            </w:rPr>
                            <w:t> </w:t>
                          </w:r>
                          <w:r>
                            <w:rPr>
                              <w:b/>
                              <w:sz w:val="24"/>
                            </w:rPr>
                            <w:t>ACTING</w:t>
                          </w:r>
                          <w:r>
                            <w:rPr>
                              <w:b/>
                              <w:spacing w:val="-9"/>
                              <w:sz w:val="24"/>
                            </w:rPr>
                            <w:t> </w:t>
                          </w:r>
                          <w:r>
                            <w:rPr>
                              <w:b/>
                              <w:sz w:val="24"/>
                            </w:rPr>
                            <w:t>THROUGH</w:t>
                          </w:r>
                          <w:r>
                            <w:rPr>
                              <w:b/>
                              <w:spacing w:val="-8"/>
                              <w:sz w:val="24"/>
                            </w:rPr>
                            <w:t> </w:t>
                          </w:r>
                          <w:r>
                            <w:rPr>
                              <w:b/>
                              <w:sz w:val="24"/>
                            </w:rPr>
                            <w:t>THE</w:t>
                          </w:r>
                          <w:r>
                            <w:rPr>
                              <w:b/>
                              <w:spacing w:val="-6"/>
                              <w:sz w:val="24"/>
                            </w:rPr>
                            <w:t> </w:t>
                          </w:r>
                          <w:r>
                            <w:rPr>
                              <w:b/>
                              <w:sz w:val="24"/>
                            </w:rPr>
                            <w:t>EDUCATION</w:t>
                          </w:r>
                          <w:r>
                            <w:rPr>
                              <w:b/>
                              <w:spacing w:val="-7"/>
                              <w:sz w:val="24"/>
                            </w:rPr>
                            <w:t> </w:t>
                          </w:r>
                          <w:r>
                            <w:rPr>
                              <w:b/>
                              <w:sz w:val="24"/>
                            </w:rPr>
                            <w:t>AND</w:t>
                          </w:r>
                          <w:r>
                            <w:rPr>
                              <w:b/>
                              <w:spacing w:val="-6"/>
                              <w:sz w:val="24"/>
                            </w:rPr>
                            <w:t> </w:t>
                          </w:r>
                          <w:r>
                            <w:rPr>
                              <w:b/>
                              <w:spacing w:val="-2"/>
                              <w:sz w:val="24"/>
                            </w:rPr>
                            <w:t>SKILLS</w:t>
                          </w:r>
                        </w:p>
                      </w:txbxContent>
                    </wps:txbx>
                    <wps:bodyPr wrap="square" lIns="0" tIns="0" rIns="0" bIns="0" rtlCol="0">
                      <a:noAutofit/>
                    </wps:bodyPr>
                  </wps:wsp>
                </a:graphicData>
              </a:graphic>
            </wp:anchor>
          </w:drawing>
        </mc:Choice>
        <mc:Fallback>
          <w:pict>
            <v:shape style="position:absolute;margin-left:71pt;margin-top:34.816696pt;width:453.35pt;height:43.05pt;mso-position-horizontal-relative:page;mso-position-vertical-relative:page;z-index:-20298752" type="#_x0000_t202" id="docshape127" filled="false" stroked="false">
              <v:textbox inset="0,0,0,0">
                <w:txbxContent>
                  <w:p>
                    <w:pPr>
                      <w:spacing w:before="12"/>
                      <w:ind w:left="20" w:right="18" w:firstLine="0"/>
                      <w:jc w:val="both"/>
                      <w:rPr>
                        <w:b/>
                        <w:sz w:val="24"/>
                      </w:rPr>
                    </w:pPr>
                    <w:r>
                      <w:rPr>
                        <w:b/>
                        <w:sz w:val="24"/>
                      </w:rPr>
                      <w:t>INDEPENDENT REPORTING ACCOUNTANT’S REPORT ON REGULARITY TO HULL</w:t>
                    </w:r>
                    <w:r>
                      <w:rPr>
                        <w:b/>
                        <w:spacing w:val="-17"/>
                        <w:sz w:val="24"/>
                      </w:rPr>
                      <w:t> </w:t>
                    </w:r>
                    <w:r>
                      <w:rPr>
                        <w:b/>
                        <w:sz w:val="24"/>
                      </w:rPr>
                      <w:t>COLLEGE</w:t>
                    </w:r>
                    <w:r>
                      <w:rPr>
                        <w:b/>
                        <w:spacing w:val="-17"/>
                        <w:sz w:val="24"/>
                      </w:rPr>
                      <w:t> </w:t>
                    </w:r>
                    <w:r>
                      <w:rPr>
                        <w:b/>
                        <w:sz w:val="24"/>
                      </w:rPr>
                      <w:t>FURTHER</w:t>
                    </w:r>
                    <w:r>
                      <w:rPr>
                        <w:b/>
                        <w:spacing w:val="-16"/>
                        <w:sz w:val="24"/>
                      </w:rPr>
                      <w:t> </w:t>
                    </w:r>
                    <w:r>
                      <w:rPr>
                        <w:b/>
                        <w:sz w:val="24"/>
                      </w:rPr>
                      <w:t>EDUCATION</w:t>
                    </w:r>
                    <w:r>
                      <w:rPr>
                        <w:b/>
                        <w:spacing w:val="-17"/>
                        <w:sz w:val="24"/>
                      </w:rPr>
                      <w:t> </w:t>
                    </w:r>
                    <w:r>
                      <w:rPr>
                        <w:b/>
                        <w:sz w:val="24"/>
                      </w:rPr>
                      <w:t>CORPORATION</w:t>
                    </w:r>
                    <w:r>
                      <w:rPr>
                        <w:b/>
                        <w:spacing w:val="-17"/>
                        <w:sz w:val="24"/>
                      </w:rPr>
                      <w:t> </w:t>
                    </w:r>
                    <w:r>
                      <w:rPr>
                        <w:b/>
                        <w:sz w:val="24"/>
                      </w:rPr>
                      <w:t>AND</w:t>
                    </w:r>
                    <w:r>
                      <w:rPr>
                        <w:b/>
                        <w:spacing w:val="-17"/>
                        <w:sz w:val="24"/>
                      </w:rPr>
                      <w:t> </w:t>
                    </w:r>
                    <w:r>
                      <w:rPr>
                        <w:b/>
                        <w:sz w:val="24"/>
                      </w:rPr>
                      <w:t>THE</w:t>
                    </w:r>
                    <w:r>
                      <w:rPr>
                        <w:b/>
                        <w:spacing w:val="-16"/>
                        <w:sz w:val="24"/>
                      </w:rPr>
                      <w:t> </w:t>
                    </w:r>
                    <w:r>
                      <w:rPr>
                        <w:b/>
                        <w:sz w:val="24"/>
                      </w:rPr>
                      <w:t>SECRETARY OF</w:t>
                    </w:r>
                    <w:r>
                      <w:rPr>
                        <w:b/>
                        <w:spacing w:val="-9"/>
                        <w:sz w:val="24"/>
                      </w:rPr>
                      <w:t> </w:t>
                    </w:r>
                    <w:r>
                      <w:rPr>
                        <w:b/>
                        <w:sz w:val="24"/>
                      </w:rPr>
                      <w:t>STATE</w:t>
                    </w:r>
                    <w:r>
                      <w:rPr>
                        <w:b/>
                        <w:spacing w:val="-6"/>
                        <w:sz w:val="24"/>
                      </w:rPr>
                      <w:t> </w:t>
                    </w:r>
                    <w:r>
                      <w:rPr>
                        <w:b/>
                        <w:sz w:val="24"/>
                      </w:rPr>
                      <w:t>FOR</w:t>
                    </w:r>
                    <w:r>
                      <w:rPr>
                        <w:b/>
                        <w:spacing w:val="-7"/>
                        <w:sz w:val="24"/>
                      </w:rPr>
                      <w:t> </w:t>
                    </w:r>
                    <w:r>
                      <w:rPr>
                        <w:b/>
                        <w:sz w:val="24"/>
                      </w:rPr>
                      <w:t>EDUCATION</w:t>
                    </w:r>
                    <w:r>
                      <w:rPr>
                        <w:b/>
                        <w:spacing w:val="-7"/>
                        <w:sz w:val="24"/>
                      </w:rPr>
                      <w:t> </w:t>
                    </w:r>
                    <w:r>
                      <w:rPr>
                        <w:b/>
                        <w:sz w:val="24"/>
                      </w:rPr>
                      <w:t>ACTING</w:t>
                    </w:r>
                    <w:r>
                      <w:rPr>
                        <w:b/>
                        <w:spacing w:val="-9"/>
                        <w:sz w:val="24"/>
                      </w:rPr>
                      <w:t> </w:t>
                    </w:r>
                    <w:r>
                      <w:rPr>
                        <w:b/>
                        <w:sz w:val="24"/>
                      </w:rPr>
                      <w:t>THROUGH</w:t>
                    </w:r>
                    <w:r>
                      <w:rPr>
                        <w:b/>
                        <w:spacing w:val="-8"/>
                        <w:sz w:val="24"/>
                      </w:rPr>
                      <w:t> </w:t>
                    </w:r>
                    <w:r>
                      <w:rPr>
                        <w:b/>
                        <w:sz w:val="24"/>
                      </w:rPr>
                      <w:t>THE</w:t>
                    </w:r>
                    <w:r>
                      <w:rPr>
                        <w:b/>
                        <w:spacing w:val="-6"/>
                        <w:sz w:val="24"/>
                      </w:rPr>
                      <w:t> </w:t>
                    </w:r>
                    <w:r>
                      <w:rPr>
                        <w:b/>
                        <w:sz w:val="24"/>
                      </w:rPr>
                      <w:t>EDUCATION</w:t>
                    </w:r>
                    <w:r>
                      <w:rPr>
                        <w:b/>
                        <w:spacing w:val="-7"/>
                        <w:sz w:val="24"/>
                      </w:rPr>
                      <w:t> </w:t>
                    </w:r>
                    <w:r>
                      <w:rPr>
                        <w:b/>
                        <w:sz w:val="24"/>
                      </w:rPr>
                      <w:t>AND</w:t>
                    </w:r>
                    <w:r>
                      <w:rPr>
                        <w:b/>
                        <w:spacing w:val="-6"/>
                        <w:sz w:val="24"/>
                      </w:rPr>
                      <w:t> </w:t>
                    </w:r>
                    <w:r>
                      <w:rPr>
                        <w:b/>
                        <w:spacing w:val="-2"/>
                        <w:sz w:val="24"/>
                      </w:rPr>
                      <w:t>SKILLS</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81888">
              <wp:simplePos x="0" y="0"/>
              <wp:positionH relativeFrom="page">
                <wp:posOffset>887983</wp:posOffset>
              </wp:positionH>
              <wp:positionV relativeFrom="page">
                <wp:posOffset>449198</wp:posOffset>
              </wp:positionV>
              <wp:extent cx="3700779" cy="5175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34592" type="#_x0000_t202" id="docshape9"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r>
      <w:rPr/>
      <mc:AlternateContent>
        <mc:Choice Requires="wps">
          <w:drawing>
            <wp:anchor distT="0" distB="0" distL="0" distR="0" allowOverlap="1" layoutInCell="1" locked="0" behindDoc="1" simplePos="0" relativeHeight="482982400">
              <wp:simplePos x="0" y="0"/>
              <wp:positionH relativeFrom="page">
                <wp:posOffset>887983</wp:posOffset>
              </wp:positionH>
              <wp:positionV relativeFrom="page">
                <wp:posOffset>1140164</wp:posOffset>
              </wp:positionV>
              <wp:extent cx="4023360" cy="1962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023360" cy="196215"/>
                      </a:xfrm>
                      <a:prstGeom prst="rect">
                        <a:avLst/>
                      </a:prstGeom>
                    </wps:spPr>
                    <wps:txbx>
                      <w:txbxContent>
                        <w:p>
                          <w:pPr>
                            <w:spacing w:before="12"/>
                            <w:ind w:left="20" w:right="0" w:firstLine="0"/>
                            <w:jc w:val="left"/>
                            <w:rPr>
                              <w:b/>
                              <w:sz w:val="24"/>
                            </w:rPr>
                          </w:pPr>
                          <w:r>
                            <w:rPr>
                              <w:b/>
                              <w:sz w:val="24"/>
                            </w:rPr>
                            <w:t>REPORT</w:t>
                          </w:r>
                          <w:r>
                            <w:rPr>
                              <w:b/>
                              <w:spacing w:val="-4"/>
                              <w:sz w:val="24"/>
                            </w:rPr>
                            <w:t> </w:t>
                          </w:r>
                          <w:r>
                            <w:rPr>
                              <w:b/>
                              <w:sz w:val="24"/>
                            </w:rPr>
                            <w:t>OF</w:t>
                          </w:r>
                          <w:r>
                            <w:rPr>
                              <w:b/>
                              <w:spacing w:val="-4"/>
                              <w:sz w:val="24"/>
                            </w:rPr>
                            <w:t> </w:t>
                          </w:r>
                          <w:r>
                            <w:rPr>
                              <w:b/>
                              <w:sz w:val="24"/>
                            </w:rPr>
                            <w:t>THE</w:t>
                          </w:r>
                          <w:r>
                            <w:rPr>
                              <w:b/>
                              <w:spacing w:val="-1"/>
                              <w:sz w:val="24"/>
                            </w:rPr>
                            <w:t> </w:t>
                          </w:r>
                          <w:r>
                            <w:rPr>
                              <w:b/>
                              <w:sz w:val="24"/>
                            </w:rPr>
                            <w:t>BOARD</w:t>
                          </w:r>
                          <w:r>
                            <w:rPr>
                              <w:b/>
                              <w:spacing w:val="-1"/>
                              <w:sz w:val="24"/>
                            </w:rPr>
                            <w:t> </w:t>
                          </w:r>
                          <w:r>
                            <w:rPr>
                              <w:b/>
                              <w:sz w:val="24"/>
                            </w:rPr>
                            <w:t>OF</w:t>
                          </w:r>
                          <w:r>
                            <w:rPr>
                              <w:b/>
                              <w:spacing w:val="-2"/>
                              <w:sz w:val="24"/>
                            </w:rPr>
                            <w:t> </w:t>
                          </w:r>
                          <w:r>
                            <w:rPr>
                              <w:b/>
                              <w:sz w:val="24"/>
                            </w:rPr>
                            <w:t>GOVERNORS</w:t>
                          </w:r>
                          <w:r>
                            <w:rPr>
                              <w:b/>
                              <w:spacing w:val="-1"/>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69.919998pt;margin-top:89.776695pt;width:316.8pt;height:15.45pt;mso-position-horizontal-relative:page;mso-position-vertical-relative:page;z-index:-20334080" type="#_x0000_t202" id="docshape10" filled="false" stroked="false">
              <v:textbox inset="0,0,0,0">
                <w:txbxContent>
                  <w:p>
                    <w:pPr>
                      <w:spacing w:before="12"/>
                      <w:ind w:left="20" w:right="0" w:firstLine="0"/>
                      <w:jc w:val="left"/>
                      <w:rPr>
                        <w:b/>
                        <w:sz w:val="24"/>
                      </w:rPr>
                    </w:pPr>
                    <w:r>
                      <w:rPr>
                        <w:b/>
                        <w:sz w:val="24"/>
                      </w:rPr>
                      <w:t>REPORT</w:t>
                    </w:r>
                    <w:r>
                      <w:rPr>
                        <w:b/>
                        <w:spacing w:val="-4"/>
                        <w:sz w:val="24"/>
                      </w:rPr>
                      <w:t> </w:t>
                    </w:r>
                    <w:r>
                      <w:rPr>
                        <w:b/>
                        <w:sz w:val="24"/>
                      </w:rPr>
                      <w:t>OF</w:t>
                    </w:r>
                    <w:r>
                      <w:rPr>
                        <w:b/>
                        <w:spacing w:val="-4"/>
                        <w:sz w:val="24"/>
                      </w:rPr>
                      <w:t> </w:t>
                    </w:r>
                    <w:r>
                      <w:rPr>
                        <w:b/>
                        <w:sz w:val="24"/>
                      </w:rPr>
                      <w:t>THE</w:t>
                    </w:r>
                    <w:r>
                      <w:rPr>
                        <w:b/>
                        <w:spacing w:val="-1"/>
                        <w:sz w:val="24"/>
                      </w:rPr>
                      <w:t> </w:t>
                    </w:r>
                    <w:r>
                      <w:rPr>
                        <w:b/>
                        <w:sz w:val="24"/>
                      </w:rPr>
                      <w:t>BOARD</w:t>
                    </w:r>
                    <w:r>
                      <w:rPr>
                        <w:b/>
                        <w:spacing w:val="-1"/>
                        <w:sz w:val="24"/>
                      </w:rPr>
                      <w:t> </w:t>
                    </w:r>
                    <w:r>
                      <w:rPr>
                        <w:b/>
                        <w:sz w:val="24"/>
                      </w:rPr>
                      <w:t>OF</w:t>
                    </w:r>
                    <w:r>
                      <w:rPr>
                        <w:b/>
                        <w:spacing w:val="-2"/>
                        <w:sz w:val="24"/>
                      </w:rPr>
                      <w:t> </w:t>
                    </w:r>
                    <w:r>
                      <w:rPr>
                        <w:b/>
                        <w:sz w:val="24"/>
                      </w:rPr>
                      <w:t>GOVERNORS</w:t>
                    </w:r>
                    <w:r>
                      <w:rPr>
                        <w:b/>
                        <w:spacing w:val="-1"/>
                        <w:sz w:val="24"/>
                      </w:rPr>
                      <w:t> </w:t>
                    </w:r>
                    <w:r>
                      <w:rPr>
                        <w:b/>
                        <w:spacing w:val="-2"/>
                        <w:sz w:val="24"/>
                      </w:rPr>
                      <w:t>(continued)</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83936">
              <wp:simplePos x="0" y="0"/>
              <wp:positionH relativeFrom="page">
                <wp:posOffset>887983</wp:posOffset>
              </wp:positionH>
              <wp:positionV relativeFrom="page">
                <wp:posOffset>449198</wp:posOffset>
              </wp:positionV>
              <wp:extent cx="3700779" cy="51752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32544" type="#_x0000_t202" id="docshape14"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r>
      <w:rPr/>
      <mc:AlternateContent>
        <mc:Choice Requires="wps">
          <w:drawing>
            <wp:anchor distT="0" distB="0" distL="0" distR="0" allowOverlap="1" layoutInCell="1" locked="0" behindDoc="1" simplePos="0" relativeHeight="482984448">
              <wp:simplePos x="0" y="0"/>
              <wp:positionH relativeFrom="page">
                <wp:posOffset>887983</wp:posOffset>
              </wp:positionH>
              <wp:positionV relativeFrom="page">
                <wp:posOffset>1140164</wp:posOffset>
              </wp:positionV>
              <wp:extent cx="4023360" cy="1962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023360" cy="196215"/>
                      </a:xfrm>
                      <a:prstGeom prst="rect">
                        <a:avLst/>
                      </a:prstGeom>
                    </wps:spPr>
                    <wps:txbx>
                      <w:txbxContent>
                        <w:p>
                          <w:pPr>
                            <w:spacing w:before="12"/>
                            <w:ind w:left="20" w:right="0" w:firstLine="0"/>
                            <w:jc w:val="left"/>
                            <w:rPr>
                              <w:b/>
                              <w:sz w:val="24"/>
                            </w:rPr>
                          </w:pPr>
                          <w:r>
                            <w:rPr>
                              <w:b/>
                              <w:sz w:val="24"/>
                            </w:rPr>
                            <w:t>REPORT</w:t>
                          </w:r>
                          <w:r>
                            <w:rPr>
                              <w:b/>
                              <w:spacing w:val="-4"/>
                              <w:sz w:val="24"/>
                            </w:rPr>
                            <w:t> </w:t>
                          </w:r>
                          <w:r>
                            <w:rPr>
                              <w:b/>
                              <w:sz w:val="24"/>
                            </w:rPr>
                            <w:t>OF</w:t>
                          </w:r>
                          <w:r>
                            <w:rPr>
                              <w:b/>
                              <w:spacing w:val="-4"/>
                              <w:sz w:val="24"/>
                            </w:rPr>
                            <w:t> </w:t>
                          </w:r>
                          <w:r>
                            <w:rPr>
                              <w:b/>
                              <w:sz w:val="24"/>
                            </w:rPr>
                            <w:t>THE</w:t>
                          </w:r>
                          <w:r>
                            <w:rPr>
                              <w:b/>
                              <w:spacing w:val="-1"/>
                              <w:sz w:val="24"/>
                            </w:rPr>
                            <w:t> </w:t>
                          </w:r>
                          <w:r>
                            <w:rPr>
                              <w:b/>
                              <w:sz w:val="24"/>
                            </w:rPr>
                            <w:t>BOARD</w:t>
                          </w:r>
                          <w:r>
                            <w:rPr>
                              <w:b/>
                              <w:spacing w:val="-1"/>
                              <w:sz w:val="24"/>
                            </w:rPr>
                            <w:t> </w:t>
                          </w:r>
                          <w:r>
                            <w:rPr>
                              <w:b/>
                              <w:sz w:val="24"/>
                            </w:rPr>
                            <w:t>OF</w:t>
                          </w:r>
                          <w:r>
                            <w:rPr>
                              <w:b/>
                              <w:spacing w:val="-2"/>
                              <w:sz w:val="24"/>
                            </w:rPr>
                            <w:t> </w:t>
                          </w:r>
                          <w:r>
                            <w:rPr>
                              <w:b/>
                              <w:sz w:val="24"/>
                            </w:rPr>
                            <w:t>GOVERNORS</w:t>
                          </w:r>
                          <w:r>
                            <w:rPr>
                              <w:b/>
                              <w:spacing w:val="-1"/>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69.919998pt;margin-top:89.776695pt;width:316.8pt;height:15.45pt;mso-position-horizontal-relative:page;mso-position-vertical-relative:page;z-index:-20332032" type="#_x0000_t202" id="docshape15" filled="false" stroked="false">
              <v:textbox inset="0,0,0,0">
                <w:txbxContent>
                  <w:p>
                    <w:pPr>
                      <w:spacing w:before="12"/>
                      <w:ind w:left="20" w:right="0" w:firstLine="0"/>
                      <w:jc w:val="left"/>
                      <w:rPr>
                        <w:b/>
                        <w:sz w:val="24"/>
                      </w:rPr>
                    </w:pPr>
                    <w:r>
                      <w:rPr>
                        <w:b/>
                        <w:sz w:val="24"/>
                      </w:rPr>
                      <w:t>REPORT</w:t>
                    </w:r>
                    <w:r>
                      <w:rPr>
                        <w:b/>
                        <w:spacing w:val="-4"/>
                        <w:sz w:val="24"/>
                      </w:rPr>
                      <w:t> </w:t>
                    </w:r>
                    <w:r>
                      <w:rPr>
                        <w:b/>
                        <w:sz w:val="24"/>
                      </w:rPr>
                      <w:t>OF</w:t>
                    </w:r>
                    <w:r>
                      <w:rPr>
                        <w:b/>
                        <w:spacing w:val="-4"/>
                        <w:sz w:val="24"/>
                      </w:rPr>
                      <w:t> </w:t>
                    </w:r>
                    <w:r>
                      <w:rPr>
                        <w:b/>
                        <w:sz w:val="24"/>
                      </w:rPr>
                      <w:t>THE</w:t>
                    </w:r>
                    <w:r>
                      <w:rPr>
                        <w:b/>
                        <w:spacing w:val="-1"/>
                        <w:sz w:val="24"/>
                      </w:rPr>
                      <w:t> </w:t>
                    </w:r>
                    <w:r>
                      <w:rPr>
                        <w:b/>
                        <w:sz w:val="24"/>
                      </w:rPr>
                      <w:t>BOARD</w:t>
                    </w:r>
                    <w:r>
                      <w:rPr>
                        <w:b/>
                        <w:spacing w:val="-1"/>
                        <w:sz w:val="24"/>
                      </w:rPr>
                      <w:t> </w:t>
                    </w:r>
                    <w:r>
                      <w:rPr>
                        <w:b/>
                        <w:sz w:val="24"/>
                      </w:rPr>
                      <w:t>OF</w:t>
                    </w:r>
                    <w:r>
                      <w:rPr>
                        <w:b/>
                        <w:spacing w:val="-2"/>
                        <w:sz w:val="24"/>
                      </w:rPr>
                      <w:t> </w:t>
                    </w:r>
                    <w:r>
                      <w:rPr>
                        <w:b/>
                        <w:sz w:val="24"/>
                      </w:rPr>
                      <w:t>GOVERNORS</w:t>
                    </w:r>
                    <w:r>
                      <w:rPr>
                        <w:b/>
                        <w:spacing w:val="-1"/>
                        <w:sz w:val="24"/>
                      </w:rPr>
                      <w:t> </w:t>
                    </w:r>
                    <w:r>
                      <w:rPr>
                        <w:b/>
                        <w:spacing w:val="-2"/>
                        <w:sz w:val="24"/>
                      </w:rPr>
                      <w:t>(continued)</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85472">
              <wp:simplePos x="0" y="0"/>
              <wp:positionH relativeFrom="page">
                <wp:posOffset>882396</wp:posOffset>
              </wp:positionH>
              <wp:positionV relativeFrom="page">
                <wp:posOffset>966203</wp:posOffset>
              </wp:positionV>
              <wp:extent cx="5556885" cy="63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331008" id="docshape1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85984">
              <wp:simplePos x="0" y="0"/>
              <wp:positionH relativeFrom="page">
                <wp:posOffset>887983</wp:posOffset>
              </wp:positionH>
              <wp:positionV relativeFrom="page">
                <wp:posOffset>449198</wp:posOffset>
              </wp:positionV>
              <wp:extent cx="3700779" cy="51752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30496" type="#_x0000_t202" id="docshape20"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87008">
              <wp:simplePos x="0" y="0"/>
              <wp:positionH relativeFrom="page">
                <wp:posOffset>882396</wp:posOffset>
              </wp:positionH>
              <wp:positionV relativeFrom="page">
                <wp:posOffset>966203</wp:posOffset>
              </wp:positionV>
              <wp:extent cx="5556885" cy="63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329472" id="docshape2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87520">
              <wp:simplePos x="0" y="0"/>
              <wp:positionH relativeFrom="page">
                <wp:posOffset>887983</wp:posOffset>
              </wp:positionH>
              <wp:positionV relativeFrom="page">
                <wp:posOffset>449198</wp:posOffset>
              </wp:positionV>
              <wp:extent cx="3700779" cy="51752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28960" type="#_x0000_t202" id="docshape24"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89056">
              <wp:simplePos x="0" y="0"/>
              <wp:positionH relativeFrom="page">
                <wp:posOffset>882396</wp:posOffset>
              </wp:positionH>
              <wp:positionV relativeFrom="page">
                <wp:posOffset>966203</wp:posOffset>
              </wp:positionV>
              <wp:extent cx="5617845" cy="63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617845" cy="6350"/>
                      </a:xfrm>
                      <a:custGeom>
                        <a:avLst/>
                        <a:gdLst/>
                        <a:ahLst/>
                        <a:cxnLst/>
                        <a:rect l="l" t="t" r="r" b="b"/>
                        <a:pathLst>
                          <a:path w="5617845" h="6350">
                            <a:moveTo>
                              <a:pt x="5617464" y="0"/>
                            </a:moveTo>
                            <a:lnTo>
                              <a:pt x="0" y="0"/>
                            </a:lnTo>
                            <a:lnTo>
                              <a:pt x="0" y="6108"/>
                            </a:lnTo>
                            <a:lnTo>
                              <a:pt x="5617464" y="6108"/>
                            </a:lnTo>
                            <a:lnTo>
                              <a:pt x="5617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42.32pt;height:.481pt;mso-position-horizontal-relative:page;mso-position-vertical-relative:page;z-index:-20327424" id="docshape2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89568">
              <wp:simplePos x="0" y="0"/>
              <wp:positionH relativeFrom="page">
                <wp:posOffset>887983</wp:posOffset>
              </wp:positionH>
              <wp:positionV relativeFrom="page">
                <wp:posOffset>449198</wp:posOffset>
              </wp:positionV>
              <wp:extent cx="3700779" cy="51752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26912" type="#_x0000_t202" id="docshape28"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0592">
              <wp:simplePos x="0" y="0"/>
              <wp:positionH relativeFrom="page">
                <wp:posOffset>882396</wp:posOffset>
              </wp:positionH>
              <wp:positionV relativeFrom="page">
                <wp:posOffset>966203</wp:posOffset>
              </wp:positionV>
              <wp:extent cx="5556885" cy="63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325888" id="docshape3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991104">
              <wp:simplePos x="0" y="0"/>
              <wp:positionH relativeFrom="page">
                <wp:posOffset>887983</wp:posOffset>
              </wp:positionH>
              <wp:positionV relativeFrom="page">
                <wp:posOffset>449198</wp:posOffset>
              </wp:positionV>
              <wp:extent cx="3700779" cy="51752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325376" type="#_x0000_t202" id="docshape32"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2023</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992640">
              <wp:simplePos x="0" y="0"/>
              <wp:positionH relativeFrom="page">
                <wp:posOffset>887983</wp:posOffset>
              </wp:positionH>
              <wp:positionV relativeFrom="page">
                <wp:posOffset>625052</wp:posOffset>
              </wp:positionV>
              <wp:extent cx="5546725" cy="19621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546725" cy="196215"/>
                      </a:xfrm>
                      <a:prstGeom prst="rect">
                        <a:avLst/>
                      </a:prstGeom>
                    </wps:spPr>
                    <wps:txbx>
                      <w:txbxContent>
                        <w:p>
                          <w:pPr>
                            <w:spacing w:before="12"/>
                            <w:ind w:left="20" w:right="0" w:firstLine="0"/>
                            <w:jc w:val="left"/>
                            <w:rPr>
                              <w:b/>
                              <w:sz w:val="24"/>
                            </w:rPr>
                          </w:pPr>
                          <w:r>
                            <w:rPr>
                              <w:b/>
                              <w:sz w:val="24"/>
                            </w:rPr>
                            <w:t>Independent</w:t>
                          </w:r>
                          <w:r>
                            <w:rPr>
                              <w:b/>
                              <w:spacing w:val="26"/>
                              <w:sz w:val="24"/>
                            </w:rPr>
                            <w:t>  </w:t>
                          </w:r>
                          <w:r>
                            <w:rPr>
                              <w:b/>
                              <w:sz w:val="24"/>
                            </w:rPr>
                            <w:t>Auditors’</w:t>
                          </w:r>
                          <w:r>
                            <w:rPr>
                              <w:b/>
                              <w:spacing w:val="28"/>
                              <w:sz w:val="24"/>
                            </w:rPr>
                            <w:t>  </w:t>
                          </w:r>
                          <w:r>
                            <w:rPr>
                              <w:b/>
                              <w:sz w:val="24"/>
                            </w:rPr>
                            <w:t>Report</w:t>
                          </w:r>
                          <w:r>
                            <w:rPr>
                              <w:b/>
                              <w:spacing w:val="27"/>
                              <w:sz w:val="24"/>
                            </w:rPr>
                            <w:t>  </w:t>
                          </w:r>
                          <w:r>
                            <w:rPr>
                              <w:b/>
                              <w:sz w:val="24"/>
                            </w:rPr>
                            <w:t>to</w:t>
                          </w:r>
                          <w:r>
                            <w:rPr>
                              <w:b/>
                              <w:spacing w:val="27"/>
                              <w:sz w:val="24"/>
                            </w:rPr>
                            <w:t>  </w:t>
                          </w:r>
                          <w:r>
                            <w:rPr>
                              <w:b/>
                              <w:sz w:val="24"/>
                            </w:rPr>
                            <w:t>the</w:t>
                          </w:r>
                          <w:r>
                            <w:rPr>
                              <w:b/>
                              <w:spacing w:val="26"/>
                              <w:sz w:val="24"/>
                            </w:rPr>
                            <w:t>  </w:t>
                          </w:r>
                          <w:r>
                            <w:rPr>
                              <w:b/>
                              <w:sz w:val="24"/>
                            </w:rPr>
                            <w:t>Hull</w:t>
                          </w:r>
                          <w:r>
                            <w:rPr>
                              <w:b/>
                              <w:spacing w:val="27"/>
                              <w:sz w:val="24"/>
                            </w:rPr>
                            <w:t>  </w:t>
                          </w:r>
                          <w:r>
                            <w:rPr>
                              <w:b/>
                              <w:sz w:val="24"/>
                            </w:rPr>
                            <w:t>College</w:t>
                          </w:r>
                          <w:r>
                            <w:rPr>
                              <w:b/>
                              <w:spacing w:val="28"/>
                              <w:sz w:val="24"/>
                            </w:rPr>
                            <w:t>  </w:t>
                          </w:r>
                          <w:r>
                            <w:rPr>
                              <w:b/>
                              <w:sz w:val="24"/>
                            </w:rPr>
                            <w:t>Further</w:t>
                          </w:r>
                          <w:r>
                            <w:rPr>
                              <w:b/>
                              <w:spacing w:val="28"/>
                              <w:sz w:val="24"/>
                            </w:rPr>
                            <w:t>  </w:t>
                          </w:r>
                          <w:r>
                            <w:rPr>
                              <w:b/>
                              <w:spacing w:val="-2"/>
                              <w:sz w:val="24"/>
                            </w:rPr>
                            <w:t>Education</w:t>
                          </w:r>
                        </w:p>
                      </w:txbxContent>
                    </wps:txbx>
                    <wps:bodyPr wrap="square" lIns="0" tIns="0" rIns="0" bIns="0" rtlCol="0">
                      <a:noAutofit/>
                    </wps:bodyPr>
                  </wps:wsp>
                </a:graphicData>
              </a:graphic>
            </wp:anchor>
          </w:drawing>
        </mc:Choice>
        <mc:Fallback>
          <w:pict>
            <v:shape style="position:absolute;margin-left:69.919998pt;margin-top:49.216698pt;width:436.75pt;height:15.45pt;mso-position-horizontal-relative:page;mso-position-vertical-relative:page;z-index:-20323840" type="#_x0000_t202" id="docshape35" filled="false" stroked="false">
              <v:textbox inset="0,0,0,0">
                <w:txbxContent>
                  <w:p>
                    <w:pPr>
                      <w:spacing w:before="12"/>
                      <w:ind w:left="20" w:right="0" w:firstLine="0"/>
                      <w:jc w:val="left"/>
                      <w:rPr>
                        <w:b/>
                        <w:sz w:val="24"/>
                      </w:rPr>
                    </w:pPr>
                    <w:r>
                      <w:rPr>
                        <w:b/>
                        <w:sz w:val="24"/>
                      </w:rPr>
                      <w:t>Independent</w:t>
                    </w:r>
                    <w:r>
                      <w:rPr>
                        <w:b/>
                        <w:spacing w:val="26"/>
                        <w:sz w:val="24"/>
                      </w:rPr>
                      <w:t>  </w:t>
                    </w:r>
                    <w:r>
                      <w:rPr>
                        <w:b/>
                        <w:sz w:val="24"/>
                      </w:rPr>
                      <w:t>Auditors’</w:t>
                    </w:r>
                    <w:r>
                      <w:rPr>
                        <w:b/>
                        <w:spacing w:val="28"/>
                        <w:sz w:val="24"/>
                      </w:rPr>
                      <w:t>  </w:t>
                    </w:r>
                    <w:r>
                      <w:rPr>
                        <w:b/>
                        <w:sz w:val="24"/>
                      </w:rPr>
                      <w:t>Report</w:t>
                    </w:r>
                    <w:r>
                      <w:rPr>
                        <w:b/>
                        <w:spacing w:val="27"/>
                        <w:sz w:val="24"/>
                      </w:rPr>
                      <w:t>  </w:t>
                    </w:r>
                    <w:r>
                      <w:rPr>
                        <w:b/>
                        <w:sz w:val="24"/>
                      </w:rPr>
                      <w:t>to</w:t>
                    </w:r>
                    <w:r>
                      <w:rPr>
                        <w:b/>
                        <w:spacing w:val="27"/>
                        <w:sz w:val="24"/>
                      </w:rPr>
                      <w:t>  </w:t>
                    </w:r>
                    <w:r>
                      <w:rPr>
                        <w:b/>
                        <w:sz w:val="24"/>
                      </w:rPr>
                      <w:t>the</w:t>
                    </w:r>
                    <w:r>
                      <w:rPr>
                        <w:b/>
                        <w:spacing w:val="26"/>
                        <w:sz w:val="24"/>
                      </w:rPr>
                      <w:t>  </w:t>
                    </w:r>
                    <w:r>
                      <w:rPr>
                        <w:b/>
                        <w:sz w:val="24"/>
                      </w:rPr>
                      <w:t>Hull</w:t>
                    </w:r>
                    <w:r>
                      <w:rPr>
                        <w:b/>
                        <w:spacing w:val="27"/>
                        <w:sz w:val="24"/>
                      </w:rPr>
                      <w:t>  </w:t>
                    </w:r>
                    <w:r>
                      <w:rPr>
                        <w:b/>
                        <w:sz w:val="24"/>
                      </w:rPr>
                      <w:t>College</w:t>
                    </w:r>
                    <w:r>
                      <w:rPr>
                        <w:b/>
                        <w:spacing w:val="28"/>
                        <w:sz w:val="24"/>
                      </w:rPr>
                      <w:t>  </w:t>
                    </w:r>
                    <w:r>
                      <w:rPr>
                        <w:b/>
                        <w:sz w:val="24"/>
                      </w:rPr>
                      <w:t>Further</w:t>
                    </w:r>
                    <w:r>
                      <w:rPr>
                        <w:b/>
                        <w:spacing w:val="28"/>
                        <w:sz w:val="24"/>
                      </w:rPr>
                      <w:t>  </w:t>
                    </w:r>
                    <w:r>
                      <w:rPr>
                        <w:b/>
                        <w:spacing w:val="-2"/>
                        <w:sz w:val="24"/>
                      </w:rPr>
                      <w:t>Education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8"/>
      <w:numFmt w:val="decimal"/>
      <w:lvlText w:val="%1."/>
      <w:lvlJc w:val="left"/>
      <w:pPr>
        <w:ind w:left="852" w:hanging="428"/>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560" w:hanging="708"/>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568" w:hanging="708"/>
      </w:pPr>
      <w:rPr>
        <w:rFonts w:hint="default"/>
        <w:lang w:val="en-US" w:eastAsia="en-US" w:bidi="ar-SA"/>
      </w:rPr>
    </w:lvl>
    <w:lvl w:ilvl="3">
      <w:start w:val="0"/>
      <w:numFmt w:val="bullet"/>
      <w:lvlText w:val="•"/>
      <w:lvlJc w:val="left"/>
      <w:pPr>
        <w:ind w:left="3576" w:hanging="708"/>
      </w:pPr>
      <w:rPr>
        <w:rFonts w:hint="default"/>
        <w:lang w:val="en-US" w:eastAsia="en-US" w:bidi="ar-SA"/>
      </w:rPr>
    </w:lvl>
    <w:lvl w:ilvl="4">
      <w:start w:val="0"/>
      <w:numFmt w:val="bullet"/>
      <w:lvlText w:val="•"/>
      <w:lvlJc w:val="left"/>
      <w:pPr>
        <w:ind w:left="4584" w:hanging="708"/>
      </w:pPr>
      <w:rPr>
        <w:rFonts w:hint="default"/>
        <w:lang w:val="en-US" w:eastAsia="en-US" w:bidi="ar-SA"/>
      </w:rPr>
    </w:lvl>
    <w:lvl w:ilvl="5">
      <w:start w:val="0"/>
      <w:numFmt w:val="bullet"/>
      <w:lvlText w:val="•"/>
      <w:lvlJc w:val="left"/>
      <w:pPr>
        <w:ind w:left="5592" w:hanging="708"/>
      </w:pPr>
      <w:rPr>
        <w:rFonts w:hint="default"/>
        <w:lang w:val="en-US" w:eastAsia="en-US" w:bidi="ar-SA"/>
      </w:rPr>
    </w:lvl>
    <w:lvl w:ilvl="6">
      <w:start w:val="0"/>
      <w:numFmt w:val="bullet"/>
      <w:lvlText w:val="•"/>
      <w:lvlJc w:val="left"/>
      <w:pPr>
        <w:ind w:left="6600" w:hanging="708"/>
      </w:pPr>
      <w:rPr>
        <w:rFonts w:hint="default"/>
        <w:lang w:val="en-US" w:eastAsia="en-US" w:bidi="ar-SA"/>
      </w:rPr>
    </w:lvl>
    <w:lvl w:ilvl="7">
      <w:start w:val="0"/>
      <w:numFmt w:val="bullet"/>
      <w:lvlText w:val="•"/>
      <w:lvlJc w:val="left"/>
      <w:pPr>
        <w:ind w:left="7608" w:hanging="708"/>
      </w:pPr>
      <w:rPr>
        <w:rFonts w:hint="default"/>
        <w:lang w:val="en-US" w:eastAsia="en-US" w:bidi="ar-SA"/>
      </w:rPr>
    </w:lvl>
    <w:lvl w:ilvl="8">
      <w:start w:val="0"/>
      <w:numFmt w:val="bullet"/>
      <w:lvlText w:val="•"/>
      <w:lvlJc w:val="left"/>
      <w:pPr>
        <w:ind w:left="8616" w:hanging="708"/>
      </w:pPr>
      <w:rPr>
        <w:rFonts w:hint="default"/>
        <w:lang w:val="en-US" w:eastAsia="en-US" w:bidi="ar-SA"/>
      </w:rPr>
    </w:lvl>
  </w:abstractNum>
  <w:abstractNum w:abstractNumId="15">
    <w:multiLevelType w:val="hybridMultilevel"/>
    <w:lvl w:ilvl="0">
      <w:start w:val="11"/>
      <w:numFmt w:val="decimal"/>
      <w:lvlText w:val="%1."/>
      <w:lvlJc w:val="left"/>
      <w:pPr>
        <w:ind w:left="852" w:hanging="428"/>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837" w:hanging="428"/>
      </w:pPr>
      <w:rPr>
        <w:rFonts w:hint="default"/>
        <w:lang w:val="en-US" w:eastAsia="en-US" w:bidi="ar-SA"/>
      </w:rPr>
    </w:lvl>
    <w:lvl w:ilvl="2">
      <w:start w:val="0"/>
      <w:numFmt w:val="bullet"/>
      <w:lvlText w:val="•"/>
      <w:lvlJc w:val="left"/>
      <w:pPr>
        <w:ind w:left="2814" w:hanging="428"/>
      </w:pPr>
      <w:rPr>
        <w:rFonts w:hint="default"/>
        <w:lang w:val="en-US" w:eastAsia="en-US" w:bidi="ar-SA"/>
      </w:rPr>
    </w:lvl>
    <w:lvl w:ilvl="3">
      <w:start w:val="0"/>
      <w:numFmt w:val="bullet"/>
      <w:lvlText w:val="•"/>
      <w:lvlJc w:val="left"/>
      <w:pPr>
        <w:ind w:left="3791" w:hanging="428"/>
      </w:pPr>
      <w:rPr>
        <w:rFonts w:hint="default"/>
        <w:lang w:val="en-US" w:eastAsia="en-US" w:bidi="ar-SA"/>
      </w:rPr>
    </w:lvl>
    <w:lvl w:ilvl="4">
      <w:start w:val="0"/>
      <w:numFmt w:val="bullet"/>
      <w:lvlText w:val="•"/>
      <w:lvlJc w:val="left"/>
      <w:pPr>
        <w:ind w:left="4768" w:hanging="428"/>
      </w:pPr>
      <w:rPr>
        <w:rFonts w:hint="default"/>
        <w:lang w:val="en-US" w:eastAsia="en-US" w:bidi="ar-SA"/>
      </w:rPr>
    </w:lvl>
    <w:lvl w:ilvl="5">
      <w:start w:val="0"/>
      <w:numFmt w:val="bullet"/>
      <w:lvlText w:val="•"/>
      <w:lvlJc w:val="left"/>
      <w:pPr>
        <w:ind w:left="5746"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700" w:hanging="428"/>
      </w:pPr>
      <w:rPr>
        <w:rFonts w:hint="default"/>
        <w:lang w:val="en-US" w:eastAsia="en-US" w:bidi="ar-SA"/>
      </w:rPr>
    </w:lvl>
    <w:lvl w:ilvl="8">
      <w:start w:val="0"/>
      <w:numFmt w:val="bullet"/>
      <w:lvlText w:val="•"/>
      <w:lvlJc w:val="left"/>
      <w:pPr>
        <w:ind w:left="8677" w:hanging="428"/>
      </w:pPr>
      <w:rPr>
        <w:rFonts w:hint="default"/>
        <w:lang w:val="en-US" w:eastAsia="en-US" w:bidi="ar-SA"/>
      </w:rPr>
    </w:lvl>
  </w:abstractNum>
  <w:abstractNum w:abstractNumId="14">
    <w:multiLevelType w:val="hybridMultilevel"/>
    <w:lvl w:ilvl="0">
      <w:start w:val="7"/>
      <w:numFmt w:val="decimal"/>
      <w:lvlText w:val="%1."/>
      <w:lvlJc w:val="left"/>
      <w:pPr>
        <w:ind w:left="852" w:hanging="428"/>
        <w:jc w:val="left"/>
      </w:pPr>
      <w:rPr>
        <w:rFonts w:hint="default"/>
        <w:spacing w:val="-1"/>
        <w:w w:val="100"/>
        <w:lang w:val="en-US" w:eastAsia="en-US" w:bidi="ar-SA"/>
      </w:rPr>
    </w:lvl>
    <w:lvl w:ilvl="1">
      <w:start w:val="0"/>
      <w:numFmt w:val="bullet"/>
      <w:lvlText w:val="•"/>
      <w:lvlJc w:val="left"/>
      <w:pPr>
        <w:ind w:left="1837" w:hanging="428"/>
      </w:pPr>
      <w:rPr>
        <w:rFonts w:hint="default"/>
        <w:lang w:val="en-US" w:eastAsia="en-US" w:bidi="ar-SA"/>
      </w:rPr>
    </w:lvl>
    <w:lvl w:ilvl="2">
      <w:start w:val="0"/>
      <w:numFmt w:val="bullet"/>
      <w:lvlText w:val="•"/>
      <w:lvlJc w:val="left"/>
      <w:pPr>
        <w:ind w:left="2814" w:hanging="428"/>
      </w:pPr>
      <w:rPr>
        <w:rFonts w:hint="default"/>
        <w:lang w:val="en-US" w:eastAsia="en-US" w:bidi="ar-SA"/>
      </w:rPr>
    </w:lvl>
    <w:lvl w:ilvl="3">
      <w:start w:val="0"/>
      <w:numFmt w:val="bullet"/>
      <w:lvlText w:val="•"/>
      <w:lvlJc w:val="left"/>
      <w:pPr>
        <w:ind w:left="3791" w:hanging="428"/>
      </w:pPr>
      <w:rPr>
        <w:rFonts w:hint="default"/>
        <w:lang w:val="en-US" w:eastAsia="en-US" w:bidi="ar-SA"/>
      </w:rPr>
    </w:lvl>
    <w:lvl w:ilvl="4">
      <w:start w:val="0"/>
      <w:numFmt w:val="bullet"/>
      <w:lvlText w:val="•"/>
      <w:lvlJc w:val="left"/>
      <w:pPr>
        <w:ind w:left="4768" w:hanging="428"/>
      </w:pPr>
      <w:rPr>
        <w:rFonts w:hint="default"/>
        <w:lang w:val="en-US" w:eastAsia="en-US" w:bidi="ar-SA"/>
      </w:rPr>
    </w:lvl>
    <w:lvl w:ilvl="5">
      <w:start w:val="0"/>
      <w:numFmt w:val="bullet"/>
      <w:lvlText w:val="•"/>
      <w:lvlJc w:val="left"/>
      <w:pPr>
        <w:ind w:left="5746"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700" w:hanging="428"/>
      </w:pPr>
      <w:rPr>
        <w:rFonts w:hint="default"/>
        <w:lang w:val="en-US" w:eastAsia="en-US" w:bidi="ar-SA"/>
      </w:rPr>
    </w:lvl>
    <w:lvl w:ilvl="8">
      <w:start w:val="0"/>
      <w:numFmt w:val="bullet"/>
      <w:lvlText w:val="•"/>
      <w:lvlJc w:val="left"/>
      <w:pPr>
        <w:ind w:left="8677" w:hanging="428"/>
      </w:pPr>
      <w:rPr>
        <w:rFonts w:hint="default"/>
        <w:lang w:val="en-US" w:eastAsia="en-US" w:bidi="ar-SA"/>
      </w:rPr>
    </w:lvl>
  </w:abstractNum>
  <w:abstractNum w:abstractNumId="13">
    <w:multiLevelType w:val="hybridMultilevel"/>
    <w:lvl w:ilvl="0">
      <w:start w:val="0"/>
      <w:numFmt w:val="bullet"/>
      <w:lvlText w:val="-"/>
      <w:lvlJc w:val="left"/>
      <w:pPr>
        <w:ind w:left="15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2413" w:hanging="123"/>
      </w:pPr>
      <w:rPr>
        <w:rFonts w:hint="default"/>
        <w:lang w:val="en-US" w:eastAsia="en-US" w:bidi="ar-SA"/>
      </w:rPr>
    </w:lvl>
    <w:lvl w:ilvl="2">
      <w:start w:val="0"/>
      <w:numFmt w:val="bullet"/>
      <w:lvlText w:val="•"/>
      <w:lvlJc w:val="left"/>
      <w:pPr>
        <w:ind w:left="3326" w:hanging="123"/>
      </w:pPr>
      <w:rPr>
        <w:rFonts w:hint="default"/>
        <w:lang w:val="en-US" w:eastAsia="en-US" w:bidi="ar-SA"/>
      </w:rPr>
    </w:lvl>
    <w:lvl w:ilvl="3">
      <w:start w:val="0"/>
      <w:numFmt w:val="bullet"/>
      <w:lvlText w:val="•"/>
      <w:lvlJc w:val="left"/>
      <w:pPr>
        <w:ind w:left="4239" w:hanging="123"/>
      </w:pPr>
      <w:rPr>
        <w:rFonts w:hint="default"/>
        <w:lang w:val="en-US" w:eastAsia="en-US" w:bidi="ar-SA"/>
      </w:rPr>
    </w:lvl>
    <w:lvl w:ilvl="4">
      <w:start w:val="0"/>
      <w:numFmt w:val="bullet"/>
      <w:lvlText w:val="•"/>
      <w:lvlJc w:val="left"/>
      <w:pPr>
        <w:ind w:left="5152" w:hanging="123"/>
      </w:pPr>
      <w:rPr>
        <w:rFonts w:hint="default"/>
        <w:lang w:val="en-US" w:eastAsia="en-US" w:bidi="ar-SA"/>
      </w:rPr>
    </w:lvl>
    <w:lvl w:ilvl="5">
      <w:start w:val="0"/>
      <w:numFmt w:val="bullet"/>
      <w:lvlText w:val="•"/>
      <w:lvlJc w:val="left"/>
      <w:pPr>
        <w:ind w:left="6066" w:hanging="123"/>
      </w:pPr>
      <w:rPr>
        <w:rFonts w:hint="default"/>
        <w:lang w:val="en-US" w:eastAsia="en-US" w:bidi="ar-SA"/>
      </w:rPr>
    </w:lvl>
    <w:lvl w:ilvl="6">
      <w:start w:val="0"/>
      <w:numFmt w:val="bullet"/>
      <w:lvlText w:val="•"/>
      <w:lvlJc w:val="left"/>
      <w:pPr>
        <w:ind w:left="6979" w:hanging="123"/>
      </w:pPr>
      <w:rPr>
        <w:rFonts w:hint="default"/>
        <w:lang w:val="en-US" w:eastAsia="en-US" w:bidi="ar-SA"/>
      </w:rPr>
    </w:lvl>
    <w:lvl w:ilvl="7">
      <w:start w:val="0"/>
      <w:numFmt w:val="bullet"/>
      <w:lvlText w:val="•"/>
      <w:lvlJc w:val="left"/>
      <w:pPr>
        <w:ind w:left="7892" w:hanging="123"/>
      </w:pPr>
      <w:rPr>
        <w:rFonts w:hint="default"/>
        <w:lang w:val="en-US" w:eastAsia="en-US" w:bidi="ar-SA"/>
      </w:rPr>
    </w:lvl>
    <w:lvl w:ilvl="8">
      <w:start w:val="0"/>
      <w:numFmt w:val="bullet"/>
      <w:lvlText w:val="•"/>
      <w:lvlJc w:val="left"/>
      <w:pPr>
        <w:ind w:left="8805" w:hanging="123"/>
      </w:pPr>
      <w:rPr>
        <w:rFonts w:hint="default"/>
        <w:lang w:val="en-US" w:eastAsia="en-US" w:bidi="ar-SA"/>
      </w:rPr>
    </w:lvl>
  </w:abstractNum>
  <w:abstractNum w:abstractNumId="12">
    <w:multiLevelType w:val="hybridMultilevel"/>
    <w:lvl w:ilvl="0">
      <w:start w:val="3"/>
      <w:numFmt w:val="decimal"/>
      <w:lvlText w:val="%1."/>
      <w:lvlJc w:val="left"/>
      <w:pPr>
        <w:ind w:left="566" w:hanging="428"/>
        <w:jc w:val="righ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567" w:hanging="428"/>
      </w:pPr>
      <w:rPr>
        <w:rFonts w:hint="default"/>
        <w:lang w:val="en-US" w:eastAsia="en-US" w:bidi="ar-SA"/>
      </w:rPr>
    </w:lvl>
    <w:lvl w:ilvl="2">
      <w:start w:val="0"/>
      <w:numFmt w:val="bullet"/>
      <w:lvlText w:val="•"/>
      <w:lvlJc w:val="left"/>
      <w:pPr>
        <w:ind w:left="2574" w:hanging="428"/>
      </w:pPr>
      <w:rPr>
        <w:rFonts w:hint="default"/>
        <w:lang w:val="en-US" w:eastAsia="en-US" w:bidi="ar-SA"/>
      </w:rPr>
    </w:lvl>
    <w:lvl w:ilvl="3">
      <w:start w:val="0"/>
      <w:numFmt w:val="bullet"/>
      <w:lvlText w:val="•"/>
      <w:lvlJc w:val="left"/>
      <w:pPr>
        <w:ind w:left="3581" w:hanging="428"/>
      </w:pPr>
      <w:rPr>
        <w:rFonts w:hint="default"/>
        <w:lang w:val="en-US" w:eastAsia="en-US" w:bidi="ar-SA"/>
      </w:rPr>
    </w:lvl>
    <w:lvl w:ilvl="4">
      <w:start w:val="0"/>
      <w:numFmt w:val="bullet"/>
      <w:lvlText w:val="•"/>
      <w:lvlJc w:val="left"/>
      <w:pPr>
        <w:ind w:left="4588" w:hanging="428"/>
      </w:pPr>
      <w:rPr>
        <w:rFonts w:hint="default"/>
        <w:lang w:val="en-US" w:eastAsia="en-US" w:bidi="ar-SA"/>
      </w:rPr>
    </w:lvl>
    <w:lvl w:ilvl="5">
      <w:start w:val="0"/>
      <w:numFmt w:val="bullet"/>
      <w:lvlText w:val="•"/>
      <w:lvlJc w:val="left"/>
      <w:pPr>
        <w:ind w:left="5596" w:hanging="428"/>
      </w:pPr>
      <w:rPr>
        <w:rFonts w:hint="default"/>
        <w:lang w:val="en-US" w:eastAsia="en-US" w:bidi="ar-SA"/>
      </w:rPr>
    </w:lvl>
    <w:lvl w:ilvl="6">
      <w:start w:val="0"/>
      <w:numFmt w:val="bullet"/>
      <w:lvlText w:val="•"/>
      <w:lvlJc w:val="left"/>
      <w:pPr>
        <w:ind w:left="6603" w:hanging="428"/>
      </w:pPr>
      <w:rPr>
        <w:rFonts w:hint="default"/>
        <w:lang w:val="en-US" w:eastAsia="en-US" w:bidi="ar-SA"/>
      </w:rPr>
    </w:lvl>
    <w:lvl w:ilvl="7">
      <w:start w:val="0"/>
      <w:numFmt w:val="bullet"/>
      <w:lvlText w:val="•"/>
      <w:lvlJc w:val="left"/>
      <w:pPr>
        <w:ind w:left="7610" w:hanging="428"/>
      </w:pPr>
      <w:rPr>
        <w:rFonts w:hint="default"/>
        <w:lang w:val="en-US" w:eastAsia="en-US" w:bidi="ar-SA"/>
      </w:rPr>
    </w:lvl>
    <w:lvl w:ilvl="8">
      <w:start w:val="0"/>
      <w:numFmt w:val="bullet"/>
      <w:lvlText w:val="•"/>
      <w:lvlJc w:val="left"/>
      <w:pPr>
        <w:ind w:left="8617" w:hanging="428"/>
      </w:pPr>
      <w:rPr>
        <w:rFonts w:hint="default"/>
        <w:lang w:val="en-US" w:eastAsia="en-US" w:bidi="ar-SA"/>
      </w:rPr>
    </w:lvl>
  </w:abstractNum>
  <w:abstractNum w:abstractNumId="11">
    <w:multiLevelType w:val="hybridMultilevel"/>
    <w:lvl w:ilvl="0">
      <w:start w:val="1"/>
      <w:numFmt w:val="decimal"/>
      <w:lvlText w:val="%1"/>
      <w:lvlJc w:val="left"/>
      <w:pPr>
        <w:ind w:left="852" w:hanging="428"/>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1279" w:hanging="428"/>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319" w:hanging="428"/>
      </w:pPr>
      <w:rPr>
        <w:rFonts w:hint="default"/>
        <w:lang w:val="en-US" w:eastAsia="en-US" w:bidi="ar-SA"/>
      </w:rPr>
    </w:lvl>
    <w:lvl w:ilvl="3">
      <w:start w:val="0"/>
      <w:numFmt w:val="bullet"/>
      <w:lvlText w:val="•"/>
      <w:lvlJc w:val="left"/>
      <w:pPr>
        <w:ind w:left="3358" w:hanging="428"/>
      </w:pPr>
      <w:rPr>
        <w:rFonts w:hint="default"/>
        <w:lang w:val="en-US" w:eastAsia="en-US" w:bidi="ar-SA"/>
      </w:rPr>
    </w:lvl>
    <w:lvl w:ilvl="4">
      <w:start w:val="0"/>
      <w:numFmt w:val="bullet"/>
      <w:lvlText w:val="•"/>
      <w:lvlJc w:val="left"/>
      <w:pPr>
        <w:ind w:left="4397" w:hanging="428"/>
      </w:pPr>
      <w:rPr>
        <w:rFonts w:hint="default"/>
        <w:lang w:val="en-US" w:eastAsia="en-US" w:bidi="ar-SA"/>
      </w:rPr>
    </w:lvl>
    <w:lvl w:ilvl="5">
      <w:start w:val="0"/>
      <w:numFmt w:val="bullet"/>
      <w:lvlText w:val="•"/>
      <w:lvlJc w:val="left"/>
      <w:pPr>
        <w:ind w:left="5436" w:hanging="428"/>
      </w:pPr>
      <w:rPr>
        <w:rFonts w:hint="default"/>
        <w:lang w:val="en-US" w:eastAsia="en-US" w:bidi="ar-SA"/>
      </w:rPr>
    </w:lvl>
    <w:lvl w:ilvl="6">
      <w:start w:val="0"/>
      <w:numFmt w:val="bullet"/>
      <w:lvlText w:val="•"/>
      <w:lvlJc w:val="left"/>
      <w:pPr>
        <w:ind w:left="6475" w:hanging="428"/>
      </w:pPr>
      <w:rPr>
        <w:rFonts w:hint="default"/>
        <w:lang w:val="en-US" w:eastAsia="en-US" w:bidi="ar-SA"/>
      </w:rPr>
    </w:lvl>
    <w:lvl w:ilvl="7">
      <w:start w:val="0"/>
      <w:numFmt w:val="bullet"/>
      <w:lvlText w:val="•"/>
      <w:lvlJc w:val="left"/>
      <w:pPr>
        <w:ind w:left="7514" w:hanging="428"/>
      </w:pPr>
      <w:rPr>
        <w:rFonts w:hint="default"/>
        <w:lang w:val="en-US" w:eastAsia="en-US" w:bidi="ar-SA"/>
      </w:rPr>
    </w:lvl>
    <w:lvl w:ilvl="8">
      <w:start w:val="0"/>
      <w:numFmt w:val="bullet"/>
      <w:lvlText w:val="•"/>
      <w:lvlJc w:val="left"/>
      <w:pPr>
        <w:ind w:left="8554" w:hanging="428"/>
      </w:pPr>
      <w:rPr>
        <w:rFonts w:hint="default"/>
        <w:lang w:val="en-US" w:eastAsia="en-US" w:bidi="ar-SA"/>
      </w:rPr>
    </w:lvl>
  </w:abstractNum>
  <w:abstractNum w:abstractNumId="10">
    <w:multiLevelType w:val="hybridMultilevel"/>
    <w:lvl w:ilvl="0">
      <w:start w:val="1"/>
      <w:numFmt w:val="decimal"/>
      <w:lvlText w:val="%1"/>
      <w:lvlJc w:val="left"/>
      <w:pPr>
        <w:ind w:left="852" w:hanging="428"/>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1837" w:hanging="428"/>
      </w:pPr>
      <w:rPr>
        <w:rFonts w:hint="default"/>
        <w:lang w:val="en-US" w:eastAsia="en-US" w:bidi="ar-SA"/>
      </w:rPr>
    </w:lvl>
    <w:lvl w:ilvl="2">
      <w:start w:val="0"/>
      <w:numFmt w:val="bullet"/>
      <w:lvlText w:val="•"/>
      <w:lvlJc w:val="left"/>
      <w:pPr>
        <w:ind w:left="2814" w:hanging="428"/>
      </w:pPr>
      <w:rPr>
        <w:rFonts w:hint="default"/>
        <w:lang w:val="en-US" w:eastAsia="en-US" w:bidi="ar-SA"/>
      </w:rPr>
    </w:lvl>
    <w:lvl w:ilvl="3">
      <w:start w:val="0"/>
      <w:numFmt w:val="bullet"/>
      <w:lvlText w:val="•"/>
      <w:lvlJc w:val="left"/>
      <w:pPr>
        <w:ind w:left="3791" w:hanging="428"/>
      </w:pPr>
      <w:rPr>
        <w:rFonts w:hint="default"/>
        <w:lang w:val="en-US" w:eastAsia="en-US" w:bidi="ar-SA"/>
      </w:rPr>
    </w:lvl>
    <w:lvl w:ilvl="4">
      <w:start w:val="0"/>
      <w:numFmt w:val="bullet"/>
      <w:lvlText w:val="•"/>
      <w:lvlJc w:val="left"/>
      <w:pPr>
        <w:ind w:left="4768" w:hanging="428"/>
      </w:pPr>
      <w:rPr>
        <w:rFonts w:hint="default"/>
        <w:lang w:val="en-US" w:eastAsia="en-US" w:bidi="ar-SA"/>
      </w:rPr>
    </w:lvl>
    <w:lvl w:ilvl="5">
      <w:start w:val="0"/>
      <w:numFmt w:val="bullet"/>
      <w:lvlText w:val="•"/>
      <w:lvlJc w:val="left"/>
      <w:pPr>
        <w:ind w:left="5746"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700" w:hanging="428"/>
      </w:pPr>
      <w:rPr>
        <w:rFonts w:hint="default"/>
        <w:lang w:val="en-US" w:eastAsia="en-US" w:bidi="ar-SA"/>
      </w:rPr>
    </w:lvl>
    <w:lvl w:ilvl="8">
      <w:start w:val="0"/>
      <w:numFmt w:val="bullet"/>
      <w:lvlText w:val="•"/>
      <w:lvlJc w:val="left"/>
      <w:pPr>
        <w:ind w:left="8677" w:hanging="428"/>
      </w:pPr>
      <w:rPr>
        <w:rFonts w:hint="default"/>
        <w:lang w:val="en-US" w:eastAsia="en-US" w:bidi="ar-SA"/>
      </w:rPr>
    </w:lvl>
  </w:abstractNum>
  <w:abstractNum w:abstractNumId="9">
    <w:multiLevelType w:val="hybridMultilevel"/>
    <w:lvl w:ilvl="0">
      <w:start w:val="0"/>
      <w:numFmt w:val="bullet"/>
      <w:lvlText w:val=""/>
      <w:lvlJc w:val="left"/>
      <w:pPr>
        <w:ind w:left="1279" w:hanging="42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215" w:hanging="428"/>
      </w:pPr>
      <w:rPr>
        <w:rFonts w:hint="default"/>
        <w:lang w:val="en-US" w:eastAsia="en-US" w:bidi="ar-SA"/>
      </w:rPr>
    </w:lvl>
    <w:lvl w:ilvl="2">
      <w:start w:val="0"/>
      <w:numFmt w:val="bullet"/>
      <w:lvlText w:val="•"/>
      <w:lvlJc w:val="left"/>
      <w:pPr>
        <w:ind w:left="3150" w:hanging="428"/>
      </w:pPr>
      <w:rPr>
        <w:rFonts w:hint="default"/>
        <w:lang w:val="en-US" w:eastAsia="en-US" w:bidi="ar-SA"/>
      </w:rPr>
    </w:lvl>
    <w:lvl w:ilvl="3">
      <w:start w:val="0"/>
      <w:numFmt w:val="bullet"/>
      <w:lvlText w:val="•"/>
      <w:lvlJc w:val="left"/>
      <w:pPr>
        <w:ind w:left="4085" w:hanging="428"/>
      </w:pPr>
      <w:rPr>
        <w:rFonts w:hint="default"/>
        <w:lang w:val="en-US" w:eastAsia="en-US" w:bidi="ar-SA"/>
      </w:rPr>
    </w:lvl>
    <w:lvl w:ilvl="4">
      <w:start w:val="0"/>
      <w:numFmt w:val="bullet"/>
      <w:lvlText w:val="•"/>
      <w:lvlJc w:val="left"/>
      <w:pPr>
        <w:ind w:left="5020" w:hanging="428"/>
      </w:pPr>
      <w:rPr>
        <w:rFonts w:hint="default"/>
        <w:lang w:val="en-US" w:eastAsia="en-US" w:bidi="ar-SA"/>
      </w:rPr>
    </w:lvl>
    <w:lvl w:ilvl="5">
      <w:start w:val="0"/>
      <w:numFmt w:val="bullet"/>
      <w:lvlText w:val="•"/>
      <w:lvlJc w:val="left"/>
      <w:pPr>
        <w:ind w:left="5956" w:hanging="428"/>
      </w:pPr>
      <w:rPr>
        <w:rFonts w:hint="default"/>
        <w:lang w:val="en-US" w:eastAsia="en-US" w:bidi="ar-SA"/>
      </w:rPr>
    </w:lvl>
    <w:lvl w:ilvl="6">
      <w:start w:val="0"/>
      <w:numFmt w:val="bullet"/>
      <w:lvlText w:val="•"/>
      <w:lvlJc w:val="left"/>
      <w:pPr>
        <w:ind w:left="6891" w:hanging="428"/>
      </w:pPr>
      <w:rPr>
        <w:rFonts w:hint="default"/>
        <w:lang w:val="en-US" w:eastAsia="en-US" w:bidi="ar-SA"/>
      </w:rPr>
    </w:lvl>
    <w:lvl w:ilvl="7">
      <w:start w:val="0"/>
      <w:numFmt w:val="bullet"/>
      <w:lvlText w:val="•"/>
      <w:lvlJc w:val="left"/>
      <w:pPr>
        <w:ind w:left="7826" w:hanging="428"/>
      </w:pPr>
      <w:rPr>
        <w:rFonts w:hint="default"/>
        <w:lang w:val="en-US" w:eastAsia="en-US" w:bidi="ar-SA"/>
      </w:rPr>
    </w:lvl>
    <w:lvl w:ilvl="8">
      <w:start w:val="0"/>
      <w:numFmt w:val="bullet"/>
      <w:lvlText w:val="•"/>
      <w:lvlJc w:val="left"/>
      <w:pPr>
        <w:ind w:left="8761" w:hanging="428"/>
      </w:pPr>
      <w:rPr>
        <w:rFonts w:hint="default"/>
        <w:lang w:val="en-US" w:eastAsia="en-US" w:bidi="ar-SA"/>
      </w:rPr>
    </w:lvl>
  </w:abstractNum>
  <w:abstractNum w:abstractNumId="8">
    <w:multiLevelType w:val="hybridMultilevel"/>
    <w:lvl w:ilvl="0">
      <w:start w:val="0"/>
      <w:numFmt w:val="bullet"/>
      <w:lvlText w:val=""/>
      <w:lvlJc w:val="left"/>
      <w:pPr>
        <w:ind w:left="19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791" w:hanging="360"/>
      </w:pPr>
      <w:rPr>
        <w:rFonts w:hint="default"/>
        <w:lang w:val="en-US" w:eastAsia="en-US" w:bidi="ar-SA"/>
      </w:rPr>
    </w:lvl>
    <w:lvl w:ilvl="2">
      <w:start w:val="0"/>
      <w:numFmt w:val="bullet"/>
      <w:lvlText w:val="•"/>
      <w:lvlJc w:val="left"/>
      <w:pPr>
        <w:ind w:left="3662" w:hanging="360"/>
      </w:pPr>
      <w:rPr>
        <w:rFonts w:hint="default"/>
        <w:lang w:val="en-US" w:eastAsia="en-US" w:bidi="ar-SA"/>
      </w:rPr>
    </w:lvl>
    <w:lvl w:ilvl="3">
      <w:start w:val="0"/>
      <w:numFmt w:val="bullet"/>
      <w:lvlText w:val="•"/>
      <w:lvlJc w:val="left"/>
      <w:pPr>
        <w:ind w:left="4533" w:hanging="360"/>
      </w:pPr>
      <w:rPr>
        <w:rFonts w:hint="default"/>
        <w:lang w:val="en-US" w:eastAsia="en-US" w:bidi="ar-SA"/>
      </w:rPr>
    </w:lvl>
    <w:lvl w:ilvl="4">
      <w:start w:val="0"/>
      <w:numFmt w:val="bullet"/>
      <w:lvlText w:val="•"/>
      <w:lvlJc w:val="left"/>
      <w:pPr>
        <w:ind w:left="5404" w:hanging="360"/>
      </w:pPr>
      <w:rPr>
        <w:rFonts w:hint="default"/>
        <w:lang w:val="en-US" w:eastAsia="en-US" w:bidi="ar-SA"/>
      </w:rPr>
    </w:lvl>
    <w:lvl w:ilvl="5">
      <w:start w:val="0"/>
      <w:numFmt w:val="bullet"/>
      <w:lvlText w:val="•"/>
      <w:lvlJc w:val="left"/>
      <w:pPr>
        <w:ind w:left="6276" w:hanging="360"/>
      </w:pPr>
      <w:rPr>
        <w:rFonts w:hint="default"/>
        <w:lang w:val="en-US" w:eastAsia="en-US" w:bidi="ar-SA"/>
      </w:rPr>
    </w:lvl>
    <w:lvl w:ilvl="6">
      <w:start w:val="0"/>
      <w:numFmt w:val="bullet"/>
      <w:lvlText w:val="•"/>
      <w:lvlJc w:val="left"/>
      <w:pPr>
        <w:ind w:left="7147" w:hanging="360"/>
      </w:pPr>
      <w:rPr>
        <w:rFonts w:hint="default"/>
        <w:lang w:val="en-US" w:eastAsia="en-US" w:bidi="ar-SA"/>
      </w:rPr>
    </w:lvl>
    <w:lvl w:ilvl="7">
      <w:start w:val="0"/>
      <w:numFmt w:val="bullet"/>
      <w:lvlText w:val="•"/>
      <w:lvlJc w:val="left"/>
      <w:pPr>
        <w:ind w:left="8018" w:hanging="360"/>
      </w:pPr>
      <w:rPr>
        <w:rFonts w:hint="default"/>
        <w:lang w:val="en-US" w:eastAsia="en-US" w:bidi="ar-SA"/>
      </w:rPr>
    </w:lvl>
    <w:lvl w:ilvl="8">
      <w:start w:val="0"/>
      <w:numFmt w:val="bullet"/>
      <w:lvlText w:val="•"/>
      <w:lvlJc w:val="left"/>
      <w:pPr>
        <w:ind w:left="8889" w:hanging="360"/>
      </w:pPr>
      <w:rPr>
        <w:rFonts w:hint="default"/>
        <w:lang w:val="en-US" w:eastAsia="en-US" w:bidi="ar-SA"/>
      </w:rPr>
    </w:lvl>
  </w:abstractNum>
  <w:abstractNum w:abstractNumId="7">
    <w:multiLevelType w:val="hybridMultilevel"/>
    <w:lvl w:ilvl="0">
      <w:start w:val="0"/>
      <w:numFmt w:val="bullet"/>
      <w:lvlText w:val=""/>
      <w:lvlJc w:val="left"/>
      <w:pPr>
        <w:ind w:left="121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2"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591" w:hanging="360"/>
      </w:pPr>
      <w:rPr>
        <w:rFonts w:hint="default"/>
        <w:lang w:val="en-US" w:eastAsia="en-US" w:bidi="ar-SA"/>
      </w:rPr>
    </w:lvl>
    <w:lvl w:ilvl="4">
      <w:start w:val="0"/>
      <w:numFmt w:val="bullet"/>
      <w:lvlText w:val="•"/>
      <w:lvlJc w:val="left"/>
      <w:pPr>
        <w:ind w:left="4597" w:hanging="360"/>
      </w:pPr>
      <w:rPr>
        <w:rFonts w:hint="default"/>
        <w:lang w:val="en-US" w:eastAsia="en-US" w:bidi="ar-SA"/>
      </w:rPr>
    </w:lvl>
    <w:lvl w:ilvl="5">
      <w:start w:val="0"/>
      <w:numFmt w:val="bullet"/>
      <w:lvlText w:val="•"/>
      <w:lvlJc w:val="left"/>
      <w:pPr>
        <w:ind w:left="5603" w:hanging="360"/>
      </w:pPr>
      <w:rPr>
        <w:rFonts w:hint="default"/>
        <w:lang w:val="en-US" w:eastAsia="en-US" w:bidi="ar-SA"/>
      </w:rPr>
    </w:lvl>
    <w:lvl w:ilvl="6">
      <w:start w:val="0"/>
      <w:numFmt w:val="bullet"/>
      <w:lvlText w:val="•"/>
      <w:lvlJc w:val="left"/>
      <w:pPr>
        <w:ind w:left="6609" w:hanging="360"/>
      </w:pPr>
      <w:rPr>
        <w:rFonts w:hint="default"/>
        <w:lang w:val="en-US" w:eastAsia="en-US" w:bidi="ar-SA"/>
      </w:rPr>
    </w:lvl>
    <w:lvl w:ilvl="7">
      <w:start w:val="0"/>
      <w:numFmt w:val="bullet"/>
      <w:lvlText w:val="•"/>
      <w:lvlJc w:val="left"/>
      <w:pPr>
        <w:ind w:left="7614" w:hanging="360"/>
      </w:pPr>
      <w:rPr>
        <w:rFonts w:hint="default"/>
        <w:lang w:val="en-US" w:eastAsia="en-US" w:bidi="ar-SA"/>
      </w:rPr>
    </w:lvl>
    <w:lvl w:ilvl="8">
      <w:start w:val="0"/>
      <w:numFmt w:val="bullet"/>
      <w:lvlText w:val="•"/>
      <w:lvlJc w:val="left"/>
      <w:pPr>
        <w:ind w:left="8620" w:hanging="360"/>
      </w:pPr>
      <w:rPr>
        <w:rFonts w:hint="default"/>
        <w:lang w:val="en-US" w:eastAsia="en-US" w:bidi="ar-SA"/>
      </w:rPr>
    </w:lvl>
  </w:abstractNum>
  <w:abstractNum w:abstractNumId="6">
    <w:multiLevelType w:val="hybridMultilevel"/>
    <w:lvl w:ilvl="0">
      <w:start w:val="0"/>
      <w:numFmt w:val="bullet"/>
      <w:lvlText w:val="•"/>
      <w:lvlJc w:val="left"/>
      <w:pPr>
        <w:ind w:left="1135" w:hanging="284"/>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932" w:hanging="721"/>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905" w:hanging="721"/>
      </w:pPr>
      <w:rPr>
        <w:rFonts w:hint="default"/>
        <w:lang w:val="en-US" w:eastAsia="en-US" w:bidi="ar-SA"/>
      </w:rPr>
    </w:lvl>
    <w:lvl w:ilvl="3">
      <w:start w:val="0"/>
      <w:numFmt w:val="bullet"/>
      <w:lvlText w:val="•"/>
      <w:lvlJc w:val="left"/>
      <w:pPr>
        <w:ind w:left="3871" w:hanging="721"/>
      </w:pPr>
      <w:rPr>
        <w:rFonts w:hint="default"/>
        <w:lang w:val="en-US" w:eastAsia="en-US" w:bidi="ar-SA"/>
      </w:rPr>
    </w:lvl>
    <w:lvl w:ilvl="4">
      <w:start w:val="0"/>
      <w:numFmt w:val="bullet"/>
      <w:lvlText w:val="•"/>
      <w:lvlJc w:val="left"/>
      <w:pPr>
        <w:ind w:left="4837" w:hanging="721"/>
      </w:pPr>
      <w:rPr>
        <w:rFonts w:hint="default"/>
        <w:lang w:val="en-US" w:eastAsia="en-US" w:bidi="ar-SA"/>
      </w:rPr>
    </w:lvl>
    <w:lvl w:ilvl="5">
      <w:start w:val="0"/>
      <w:numFmt w:val="bullet"/>
      <w:lvlText w:val="•"/>
      <w:lvlJc w:val="left"/>
      <w:pPr>
        <w:ind w:left="5803" w:hanging="721"/>
      </w:pPr>
      <w:rPr>
        <w:rFonts w:hint="default"/>
        <w:lang w:val="en-US" w:eastAsia="en-US" w:bidi="ar-SA"/>
      </w:rPr>
    </w:lvl>
    <w:lvl w:ilvl="6">
      <w:start w:val="0"/>
      <w:numFmt w:val="bullet"/>
      <w:lvlText w:val="•"/>
      <w:lvlJc w:val="left"/>
      <w:pPr>
        <w:ind w:left="6769" w:hanging="721"/>
      </w:pPr>
      <w:rPr>
        <w:rFonts w:hint="default"/>
        <w:lang w:val="en-US" w:eastAsia="en-US" w:bidi="ar-SA"/>
      </w:rPr>
    </w:lvl>
    <w:lvl w:ilvl="7">
      <w:start w:val="0"/>
      <w:numFmt w:val="bullet"/>
      <w:lvlText w:val="•"/>
      <w:lvlJc w:val="left"/>
      <w:pPr>
        <w:ind w:left="7734" w:hanging="721"/>
      </w:pPr>
      <w:rPr>
        <w:rFonts w:hint="default"/>
        <w:lang w:val="en-US" w:eastAsia="en-US" w:bidi="ar-SA"/>
      </w:rPr>
    </w:lvl>
    <w:lvl w:ilvl="8">
      <w:start w:val="0"/>
      <w:numFmt w:val="bullet"/>
      <w:lvlText w:val="•"/>
      <w:lvlJc w:val="left"/>
      <w:pPr>
        <w:ind w:left="8700" w:hanging="721"/>
      </w:pPr>
      <w:rPr>
        <w:rFonts w:hint="default"/>
        <w:lang w:val="en-US" w:eastAsia="en-US" w:bidi="ar-SA"/>
      </w:rPr>
    </w:lvl>
  </w:abstractNum>
  <w:abstractNum w:abstractNumId="5">
    <w:multiLevelType w:val="hybridMultilevel"/>
    <w:lvl w:ilvl="0">
      <w:start w:val="0"/>
      <w:numFmt w:val="bullet"/>
      <w:lvlText w:val=""/>
      <w:lvlJc w:val="left"/>
      <w:pPr>
        <w:ind w:left="1985" w:hanging="567"/>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845" w:hanging="567"/>
      </w:pPr>
      <w:rPr>
        <w:rFonts w:hint="default"/>
        <w:lang w:val="en-US" w:eastAsia="en-US" w:bidi="ar-SA"/>
      </w:rPr>
    </w:lvl>
    <w:lvl w:ilvl="2">
      <w:start w:val="0"/>
      <w:numFmt w:val="bullet"/>
      <w:lvlText w:val="•"/>
      <w:lvlJc w:val="left"/>
      <w:pPr>
        <w:ind w:left="3710" w:hanging="567"/>
      </w:pPr>
      <w:rPr>
        <w:rFonts w:hint="default"/>
        <w:lang w:val="en-US" w:eastAsia="en-US" w:bidi="ar-SA"/>
      </w:rPr>
    </w:lvl>
    <w:lvl w:ilvl="3">
      <w:start w:val="0"/>
      <w:numFmt w:val="bullet"/>
      <w:lvlText w:val="•"/>
      <w:lvlJc w:val="left"/>
      <w:pPr>
        <w:ind w:left="4575" w:hanging="567"/>
      </w:pPr>
      <w:rPr>
        <w:rFonts w:hint="default"/>
        <w:lang w:val="en-US" w:eastAsia="en-US" w:bidi="ar-SA"/>
      </w:rPr>
    </w:lvl>
    <w:lvl w:ilvl="4">
      <w:start w:val="0"/>
      <w:numFmt w:val="bullet"/>
      <w:lvlText w:val="•"/>
      <w:lvlJc w:val="left"/>
      <w:pPr>
        <w:ind w:left="5440" w:hanging="567"/>
      </w:pPr>
      <w:rPr>
        <w:rFonts w:hint="default"/>
        <w:lang w:val="en-US" w:eastAsia="en-US" w:bidi="ar-SA"/>
      </w:rPr>
    </w:lvl>
    <w:lvl w:ilvl="5">
      <w:start w:val="0"/>
      <w:numFmt w:val="bullet"/>
      <w:lvlText w:val="•"/>
      <w:lvlJc w:val="left"/>
      <w:pPr>
        <w:ind w:left="6306" w:hanging="567"/>
      </w:pPr>
      <w:rPr>
        <w:rFonts w:hint="default"/>
        <w:lang w:val="en-US" w:eastAsia="en-US" w:bidi="ar-SA"/>
      </w:rPr>
    </w:lvl>
    <w:lvl w:ilvl="6">
      <w:start w:val="0"/>
      <w:numFmt w:val="bullet"/>
      <w:lvlText w:val="•"/>
      <w:lvlJc w:val="left"/>
      <w:pPr>
        <w:ind w:left="7171" w:hanging="567"/>
      </w:pPr>
      <w:rPr>
        <w:rFonts w:hint="default"/>
        <w:lang w:val="en-US" w:eastAsia="en-US" w:bidi="ar-SA"/>
      </w:rPr>
    </w:lvl>
    <w:lvl w:ilvl="7">
      <w:start w:val="0"/>
      <w:numFmt w:val="bullet"/>
      <w:lvlText w:val="•"/>
      <w:lvlJc w:val="left"/>
      <w:pPr>
        <w:ind w:left="8036" w:hanging="567"/>
      </w:pPr>
      <w:rPr>
        <w:rFonts w:hint="default"/>
        <w:lang w:val="en-US" w:eastAsia="en-US" w:bidi="ar-SA"/>
      </w:rPr>
    </w:lvl>
    <w:lvl w:ilvl="8">
      <w:start w:val="0"/>
      <w:numFmt w:val="bullet"/>
      <w:lvlText w:val="•"/>
      <w:lvlJc w:val="left"/>
      <w:pPr>
        <w:ind w:left="8901" w:hanging="567"/>
      </w:pPr>
      <w:rPr>
        <w:rFonts w:hint="default"/>
        <w:lang w:val="en-US" w:eastAsia="en-US" w:bidi="ar-SA"/>
      </w:rPr>
    </w:lvl>
  </w:abstractNum>
  <w:abstractNum w:abstractNumId="4">
    <w:multiLevelType w:val="hybridMultilevel"/>
    <w:lvl w:ilvl="0">
      <w:start w:val="0"/>
      <w:numFmt w:val="bullet"/>
      <w:lvlText w:val=""/>
      <w:lvlJc w:val="left"/>
      <w:pPr>
        <w:ind w:left="157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485" w:hanging="360"/>
      </w:pPr>
      <w:rPr>
        <w:rFonts w:hint="default"/>
        <w:lang w:val="en-US" w:eastAsia="en-US" w:bidi="ar-SA"/>
      </w:rPr>
    </w:lvl>
    <w:lvl w:ilvl="2">
      <w:start w:val="0"/>
      <w:numFmt w:val="bullet"/>
      <w:lvlText w:val="•"/>
      <w:lvlJc w:val="left"/>
      <w:pPr>
        <w:ind w:left="3390" w:hanging="360"/>
      </w:pPr>
      <w:rPr>
        <w:rFonts w:hint="default"/>
        <w:lang w:val="en-US" w:eastAsia="en-US" w:bidi="ar-SA"/>
      </w:rPr>
    </w:lvl>
    <w:lvl w:ilvl="3">
      <w:start w:val="0"/>
      <w:numFmt w:val="bullet"/>
      <w:lvlText w:val="•"/>
      <w:lvlJc w:val="left"/>
      <w:pPr>
        <w:ind w:left="4295"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106" w:hanging="360"/>
      </w:pPr>
      <w:rPr>
        <w:rFonts w:hint="default"/>
        <w:lang w:val="en-US" w:eastAsia="en-US" w:bidi="ar-SA"/>
      </w:rPr>
    </w:lvl>
    <w:lvl w:ilvl="6">
      <w:start w:val="0"/>
      <w:numFmt w:val="bullet"/>
      <w:lvlText w:val="•"/>
      <w:lvlJc w:val="left"/>
      <w:pPr>
        <w:ind w:left="7011" w:hanging="360"/>
      </w:pPr>
      <w:rPr>
        <w:rFonts w:hint="default"/>
        <w:lang w:val="en-US" w:eastAsia="en-US" w:bidi="ar-SA"/>
      </w:rPr>
    </w:lvl>
    <w:lvl w:ilvl="7">
      <w:start w:val="0"/>
      <w:numFmt w:val="bullet"/>
      <w:lvlText w:val="•"/>
      <w:lvlJc w:val="left"/>
      <w:pPr>
        <w:ind w:left="7916" w:hanging="360"/>
      </w:pPr>
      <w:rPr>
        <w:rFonts w:hint="default"/>
        <w:lang w:val="en-US" w:eastAsia="en-US" w:bidi="ar-SA"/>
      </w:rPr>
    </w:lvl>
    <w:lvl w:ilvl="8">
      <w:start w:val="0"/>
      <w:numFmt w:val="bullet"/>
      <w:lvlText w:val="•"/>
      <w:lvlJc w:val="left"/>
      <w:pPr>
        <w:ind w:left="8821" w:hanging="360"/>
      </w:pPr>
      <w:rPr>
        <w:rFonts w:hint="default"/>
        <w:lang w:val="en-US" w:eastAsia="en-US" w:bidi="ar-SA"/>
      </w:rPr>
    </w:lvl>
  </w:abstractNum>
  <w:abstractNum w:abstractNumId="3">
    <w:multiLevelType w:val="hybridMultilevel"/>
    <w:lvl w:ilvl="0">
      <w:start w:val="0"/>
      <w:numFmt w:val="bullet"/>
      <w:lvlText w:val=""/>
      <w:lvlJc w:val="left"/>
      <w:pPr>
        <w:ind w:left="1135" w:hanging="284"/>
      </w:pPr>
      <w:rPr>
        <w:rFonts w:hint="default" w:ascii="Symbol" w:hAnsi="Symbol" w:eastAsia="Symbol" w:cs="Symbol"/>
        <w:spacing w:val="0"/>
        <w:w w:val="99"/>
        <w:lang w:val="en-US" w:eastAsia="en-US" w:bidi="ar-SA"/>
      </w:rPr>
    </w:lvl>
    <w:lvl w:ilvl="1">
      <w:start w:val="0"/>
      <w:numFmt w:val="bullet"/>
      <w:lvlText w:val=""/>
      <w:lvlJc w:val="left"/>
      <w:pPr>
        <w:ind w:left="1572"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591" w:hanging="360"/>
      </w:pPr>
      <w:rPr>
        <w:rFonts w:hint="default"/>
        <w:lang w:val="en-US" w:eastAsia="en-US" w:bidi="ar-SA"/>
      </w:rPr>
    </w:lvl>
    <w:lvl w:ilvl="4">
      <w:start w:val="0"/>
      <w:numFmt w:val="bullet"/>
      <w:lvlText w:val="•"/>
      <w:lvlJc w:val="left"/>
      <w:pPr>
        <w:ind w:left="4597" w:hanging="360"/>
      </w:pPr>
      <w:rPr>
        <w:rFonts w:hint="default"/>
        <w:lang w:val="en-US" w:eastAsia="en-US" w:bidi="ar-SA"/>
      </w:rPr>
    </w:lvl>
    <w:lvl w:ilvl="5">
      <w:start w:val="0"/>
      <w:numFmt w:val="bullet"/>
      <w:lvlText w:val="•"/>
      <w:lvlJc w:val="left"/>
      <w:pPr>
        <w:ind w:left="5603" w:hanging="360"/>
      </w:pPr>
      <w:rPr>
        <w:rFonts w:hint="default"/>
        <w:lang w:val="en-US" w:eastAsia="en-US" w:bidi="ar-SA"/>
      </w:rPr>
    </w:lvl>
    <w:lvl w:ilvl="6">
      <w:start w:val="0"/>
      <w:numFmt w:val="bullet"/>
      <w:lvlText w:val="•"/>
      <w:lvlJc w:val="left"/>
      <w:pPr>
        <w:ind w:left="6609" w:hanging="360"/>
      </w:pPr>
      <w:rPr>
        <w:rFonts w:hint="default"/>
        <w:lang w:val="en-US" w:eastAsia="en-US" w:bidi="ar-SA"/>
      </w:rPr>
    </w:lvl>
    <w:lvl w:ilvl="7">
      <w:start w:val="0"/>
      <w:numFmt w:val="bullet"/>
      <w:lvlText w:val="•"/>
      <w:lvlJc w:val="left"/>
      <w:pPr>
        <w:ind w:left="7614" w:hanging="360"/>
      </w:pPr>
      <w:rPr>
        <w:rFonts w:hint="default"/>
        <w:lang w:val="en-US" w:eastAsia="en-US" w:bidi="ar-SA"/>
      </w:rPr>
    </w:lvl>
    <w:lvl w:ilvl="8">
      <w:start w:val="0"/>
      <w:numFmt w:val="bullet"/>
      <w:lvlText w:val="•"/>
      <w:lvlJc w:val="left"/>
      <w:pPr>
        <w:ind w:left="8620" w:hanging="360"/>
      </w:pPr>
      <w:rPr>
        <w:rFonts w:hint="default"/>
        <w:lang w:val="en-US" w:eastAsia="en-US" w:bidi="ar-SA"/>
      </w:rPr>
    </w:lvl>
  </w:abstractNum>
  <w:abstractNum w:abstractNumId="2">
    <w:multiLevelType w:val="hybridMultilevel"/>
    <w:lvl w:ilvl="0">
      <w:start w:val="0"/>
      <w:numFmt w:val="bullet"/>
      <w:lvlText w:val=""/>
      <w:lvlJc w:val="left"/>
      <w:pPr>
        <w:ind w:left="157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485" w:hanging="360"/>
      </w:pPr>
      <w:rPr>
        <w:rFonts w:hint="default"/>
        <w:lang w:val="en-US" w:eastAsia="en-US" w:bidi="ar-SA"/>
      </w:rPr>
    </w:lvl>
    <w:lvl w:ilvl="2">
      <w:start w:val="0"/>
      <w:numFmt w:val="bullet"/>
      <w:lvlText w:val="•"/>
      <w:lvlJc w:val="left"/>
      <w:pPr>
        <w:ind w:left="3390" w:hanging="360"/>
      </w:pPr>
      <w:rPr>
        <w:rFonts w:hint="default"/>
        <w:lang w:val="en-US" w:eastAsia="en-US" w:bidi="ar-SA"/>
      </w:rPr>
    </w:lvl>
    <w:lvl w:ilvl="3">
      <w:start w:val="0"/>
      <w:numFmt w:val="bullet"/>
      <w:lvlText w:val="•"/>
      <w:lvlJc w:val="left"/>
      <w:pPr>
        <w:ind w:left="4295"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106" w:hanging="360"/>
      </w:pPr>
      <w:rPr>
        <w:rFonts w:hint="default"/>
        <w:lang w:val="en-US" w:eastAsia="en-US" w:bidi="ar-SA"/>
      </w:rPr>
    </w:lvl>
    <w:lvl w:ilvl="6">
      <w:start w:val="0"/>
      <w:numFmt w:val="bullet"/>
      <w:lvlText w:val="•"/>
      <w:lvlJc w:val="left"/>
      <w:pPr>
        <w:ind w:left="7011" w:hanging="360"/>
      </w:pPr>
      <w:rPr>
        <w:rFonts w:hint="default"/>
        <w:lang w:val="en-US" w:eastAsia="en-US" w:bidi="ar-SA"/>
      </w:rPr>
    </w:lvl>
    <w:lvl w:ilvl="7">
      <w:start w:val="0"/>
      <w:numFmt w:val="bullet"/>
      <w:lvlText w:val="•"/>
      <w:lvlJc w:val="left"/>
      <w:pPr>
        <w:ind w:left="7916" w:hanging="360"/>
      </w:pPr>
      <w:rPr>
        <w:rFonts w:hint="default"/>
        <w:lang w:val="en-US" w:eastAsia="en-US" w:bidi="ar-SA"/>
      </w:rPr>
    </w:lvl>
    <w:lvl w:ilvl="8">
      <w:start w:val="0"/>
      <w:numFmt w:val="bullet"/>
      <w:lvlText w:val="•"/>
      <w:lvlJc w:val="left"/>
      <w:pPr>
        <w:ind w:left="8821" w:hanging="360"/>
      </w:pPr>
      <w:rPr>
        <w:rFonts w:hint="default"/>
        <w:lang w:val="en-US" w:eastAsia="en-US" w:bidi="ar-SA"/>
      </w:rPr>
    </w:lvl>
  </w:abstractNum>
  <w:abstractNum w:abstractNumId="1">
    <w:multiLevelType w:val="hybridMultilevel"/>
    <w:lvl w:ilvl="0">
      <w:start w:val="0"/>
      <w:numFmt w:val="bullet"/>
      <w:lvlText w:val=""/>
      <w:lvlJc w:val="left"/>
      <w:pPr>
        <w:ind w:left="1135" w:hanging="284"/>
      </w:pPr>
      <w:rPr>
        <w:rFonts w:hint="default" w:ascii="Symbol" w:hAnsi="Symbol" w:eastAsia="Symbol" w:cs="Symbol"/>
        <w:spacing w:val="0"/>
        <w:w w:val="99"/>
        <w:lang w:val="en-US" w:eastAsia="en-US" w:bidi="ar-SA"/>
      </w:rPr>
    </w:lvl>
    <w:lvl w:ilvl="1">
      <w:start w:val="0"/>
      <w:numFmt w:val="bullet"/>
      <w:lvlText w:val="•"/>
      <w:lvlJc w:val="left"/>
      <w:pPr>
        <w:ind w:left="2089" w:hanging="284"/>
      </w:pPr>
      <w:rPr>
        <w:rFonts w:hint="default"/>
        <w:lang w:val="en-US" w:eastAsia="en-US" w:bidi="ar-SA"/>
      </w:rPr>
    </w:lvl>
    <w:lvl w:ilvl="2">
      <w:start w:val="0"/>
      <w:numFmt w:val="bullet"/>
      <w:lvlText w:val="•"/>
      <w:lvlJc w:val="left"/>
      <w:pPr>
        <w:ind w:left="3038" w:hanging="284"/>
      </w:pPr>
      <w:rPr>
        <w:rFonts w:hint="default"/>
        <w:lang w:val="en-US" w:eastAsia="en-US" w:bidi="ar-SA"/>
      </w:rPr>
    </w:lvl>
    <w:lvl w:ilvl="3">
      <w:start w:val="0"/>
      <w:numFmt w:val="bullet"/>
      <w:lvlText w:val="•"/>
      <w:lvlJc w:val="left"/>
      <w:pPr>
        <w:ind w:left="3987" w:hanging="284"/>
      </w:pPr>
      <w:rPr>
        <w:rFonts w:hint="default"/>
        <w:lang w:val="en-US" w:eastAsia="en-US" w:bidi="ar-SA"/>
      </w:rPr>
    </w:lvl>
    <w:lvl w:ilvl="4">
      <w:start w:val="0"/>
      <w:numFmt w:val="bullet"/>
      <w:lvlText w:val="•"/>
      <w:lvlJc w:val="left"/>
      <w:pPr>
        <w:ind w:left="4936" w:hanging="284"/>
      </w:pPr>
      <w:rPr>
        <w:rFonts w:hint="default"/>
        <w:lang w:val="en-US" w:eastAsia="en-US" w:bidi="ar-SA"/>
      </w:rPr>
    </w:lvl>
    <w:lvl w:ilvl="5">
      <w:start w:val="0"/>
      <w:numFmt w:val="bullet"/>
      <w:lvlText w:val="•"/>
      <w:lvlJc w:val="left"/>
      <w:pPr>
        <w:ind w:left="5886" w:hanging="284"/>
      </w:pPr>
      <w:rPr>
        <w:rFonts w:hint="default"/>
        <w:lang w:val="en-US" w:eastAsia="en-US" w:bidi="ar-SA"/>
      </w:rPr>
    </w:lvl>
    <w:lvl w:ilvl="6">
      <w:start w:val="0"/>
      <w:numFmt w:val="bullet"/>
      <w:lvlText w:val="•"/>
      <w:lvlJc w:val="left"/>
      <w:pPr>
        <w:ind w:left="6835" w:hanging="284"/>
      </w:pPr>
      <w:rPr>
        <w:rFonts w:hint="default"/>
        <w:lang w:val="en-US" w:eastAsia="en-US" w:bidi="ar-SA"/>
      </w:rPr>
    </w:lvl>
    <w:lvl w:ilvl="7">
      <w:start w:val="0"/>
      <w:numFmt w:val="bullet"/>
      <w:lvlText w:val="•"/>
      <w:lvlJc w:val="left"/>
      <w:pPr>
        <w:ind w:left="7784" w:hanging="284"/>
      </w:pPr>
      <w:rPr>
        <w:rFonts w:hint="default"/>
        <w:lang w:val="en-US" w:eastAsia="en-US" w:bidi="ar-SA"/>
      </w:rPr>
    </w:lvl>
    <w:lvl w:ilvl="8">
      <w:start w:val="0"/>
      <w:numFmt w:val="bullet"/>
      <w:lvlText w:val="•"/>
      <w:lvlJc w:val="left"/>
      <w:pPr>
        <w:ind w:left="8733" w:hanging="284"/>
      </w:pPr>
      <w:rPr>
        <w:rFonts w:hint="default"/>
        <w:lang w:val="en-US" w:eastAsia="en-US" w:bidi="ar-SA"/>
      </w:rPr>
    </w:lvl>
  </w:abstractNum>
  <w:abstractNum w:abstractNumId="0">
    <w:multiLevelType w:val="hybridMultilevel"/>
    <w:lvl w:ilvl="0">
      <w:start w:val="0"/>
      <w:numFmt w:val="bullet"/>
      <w:lvlText w:val=""/>
      <w:lvlJc w:val="left"/>
      <w:pPr>
        <w:ind w:left="1572" w:hanging="360"/>
      </w:pPr>
      <w:rPr>
        <w:rFonts w:hint="default" w:ascii="Symbol" w:hAnsi="Symbol" w:eastAsia="Symbol" w:cs="Symbol"/>
        <w:spacing w:val="0"/>
        <w:w w:val="99"/>
        <w:lang w:val="en-US" w:eastAsia="en-US" w:bidi="ar-SA"/>
      </w:rPr>
    </w:lvl>
    <w:lvl w:ilvl="1">
      <w:start w:val="0"/>
      <w:numFmt w:val="bullet"/>
      <w:lvlText w:val="•"/>
      <w:lvlJc w:val="left"/>
      <w:pPr>
        <w:ind w:left="2485" w:hanging="360"/>
      </w:pPr>
      <w:rPr>
        <w:rFonts w:hint="default"/>
        <w:lang w:val="en-US" w:eastAsia="en-US" w:bidi="ar-SA"/>
      </w:rPr>
    </w:lvl>
    <w:lvl w:ilvl="2">
      <w:start w:val="0"/>
      <w:numFmt w:val="bullet"/>
      <w:lvlText w:val="•"/>
      <w:lvlJc w:val="left"/>
      <w:pPr>
        <w:ind w:left="3390" w:hanging="360"/>
      </w:pPr>
      <w:rPr>
        <w:rFonts w:hint="default"/>
        <w:lang w:val="en-US" w:eastAsia="en-US" w:bidi="ar-SA"/>
      </w:rPr>
    </w:lvl>
    <w:lvl w:ilvl="3">
      <w:start w:val="0"/>
      <w:numFmt w:val="bullet"/>
      <w:lvlText w:val="•"/>
      <w:lvlJc w:val="left"/>
      <w:pPr>
        <w:ind w:left="4295"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106" w:hanging="360"/>
      </w:pPr>
      <w:rPr>
        <w:rFonts w:hint="default"/>
        <w:lang w:val="en-US" w:eastAsia="en-US" w:bidi="ar-SA"/>
      </w:rPr>
    </w:lvl>
    <w:lvl w:ilvl="6">
      <w:start w:val="0"/>
      <w:numFmt w:val="bullet"/>
      <w:lvlText w:val="•"/>
      <w:lvlJc w:val="left"/>
      <w:pPr>
        <w:ind w:left="7011" w:hanging="360"/>
      </w:pPr>
      <w:rPr>
        <w:rFonts w:hint="default"/>
        <w:lang w:val="en-US" w:eastAsia="en-US" w:bidi="ar-SA"/>
      </w:rPr>
    </w:lvl>
    <w:lvl w:ilvl="7">
      <w:start w:val="0"/>
      <w:numFmt w:val="bullet"/>
      <w:lvlText w:val="•"/>
      <w:lvlJc w:val="left"/>
      <w:pPr>
        <w:ind w:left="7916" w:hanging="360"/>
      </w:pPr>
      <w:rPr>
        <w:rFonts w:hint="default"/>
        <w:lang w:val="en-US" w:eastAsia="en-US" w:bidi="ar-SA"/>
      </w:rPr>
    </w:lvl>
    <w:lvl w:ilvl="8">
      <w:start w:val="0"/>
      <w:numFmt w:val="bullet"/>
      <w:lvlText w:val="•"/>
      <w:lvlJc w:val="left"/>
      <w:pPr>
        <w:ind w:left="8821" w:hanging="360"/>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31"/>
      <w:ind w:left="852"/>
    </w:pPr>
    <w:rPr>
      <w:rFonts w:ascii="Arial" w:hAnsi="Arial" w:eastAsia="Arial" w:cs="Arial"/>
      <w:sz w:val="20"/>
      <w:szCs w:val="20"/>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1"/>
      <w:ind w:left="2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852"/>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852"/>
      <w:outlineLvl w:val="3"/>
    </w:pPr>
    <w:rPr>
      <w:rFonts w:ascii="Arial" w:hAnsi="Arial" w:eastAsia="Arial" w:cs="Arial"/>
      <w:b/>
      <w:bCs/>
      <w:sz w:val="24"/>
      <w:szCs w:val="24"/>
      <w:lang w:val="en-US" w:eastAsia="en-US" w:bidi="ar-SA"/>
    </w:rPr>
  </w:style>
  <w:style w:styleId="Heading4" w:type="paragraph">
    <w:name w:val="Heading 4"/>
    <w:basedOn w:val="Normal"/>
    <w:uiPriority w:val="1"/>
    <w:qFormat/>
    <w:pPr>
      <w:ind w:left="1985" w:right="2146"/>
      <w:outlineLvl w:val="4"/>
    </w:pPr>
    <w:rPr>
      <w:rFonts w:ascii="Arial" w:hAnsi="Arial" w:eastAsia="Arial" w:cs="Arial"/>
      <w:b/>
      <w:bCs/>
      <w:i/>
      <w:iCs/>
      <w:sz w:val="24"/>
      <w:szCs w:val="24"/>
      <w:lang w:val="en-US" w:eastAsia="en-US" w:bidi="ar-SA"/>
    </w:rPr>
  </w:style>
  <w:style w:styleId="Heading5" w:type="paragraph">
    <w:name w:val="Heading 5"/>
    <w:basedOn w:val="Normal"/>
    <w:uiPriority w:val="1"/>
    <w:qFormat/>
    <w:pPr>
      <w:ind w:left="852"/>
      <w:outlineLvl w:val="5"/>
    </w:pPr>
    <w:rPr>
      <w:rFonts w:ascii="Arial" w:hAnsi="Arial" w:eastAsia="Arial" w:cs="Arial"/>
      <w:b/>
      <w:bCs/>
      <w:sz w:val="22"/>
      <w:szCs w:val="22"/>
      <w:lang w:val="en-US" w:eastAsia="en-US" w:bidi="ar-SA"/>
    </w:rPr>
  </w:style>
  <w:style w:styleId="Heading6" w:type="paragraph">
    <w:name w:val="Heading 6"/>
    <w:basedOn w:val="Normal"/>
    <w:uiPriority w:val="1"/>
    <w:qFormat/>
    <w:pPr>
      <w:ind w:left="852"/>
      <w:jc w:val="both"/>
      <w:outlineLvl w:val="6"/>
    </w:pPr>
    <w:rPr>
      <w:rFonts w:ascii="Arial" w:hAnsi="Arial" w:eastAsia="Arial" w:cs="Arial"/>
      <w:b/>
      <w:bCs/>
      <w:sz w:val="20"/>
      <w:szCs w:val="20"/>
      <w:lang w:val="en-US" w:eastAsia="en-US" w:bidi="ar-SA"/>
    </w:rPr>
  </w:style>
  <w:style w:styleId="Title" w:type="paragraph">
    <w:name w:val="Title"/>
    <w:basedOn w:val="Normal"/>
    <w:uiPriority w:val="1"/>
    <w:qFormat/>
    <w:pPr>
      <w:spacing w:before="1"/>
      <w:ind w:left="874" w:right="2146"/>
    </w:pPr>
    <w:rPr>
      <w:rFonts w:ascii="Arial" w:hAnsi="Arial" w:eastAsia="Arial" w:cs="Arial"/>
      <w:b/>
      <w:bCs/>
      <w:sz w:val="72"/>
      <w:szCs w:val="72"/>
      <w:lang w:val="en-US" w:eastAsia="en-US" w:bidi="ar-SA"/>
    </w:rPr>
  </w:style>
  <w:style w:styleId="ListParagraph" w:type="paragraph">
    <w:name w:val="List Paragraph"/>
    <w:basedOn w:val="Normal"/>
    <w:uiPriority w:val="1"/>
    <w:qFormat/>
    <w:pPr>
      <w:ind w:left="1572"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image" Target="media/image2.jpeg"/><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image" Target="media/image3.jpeg"/><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hyperlink" Target="http://www.frc.org.uk/auditorsresponsibilities" TargetMode="External"/><Relationship Id="rId29" Type="http://schemas.openxmlformats.org/officeDocument/2006/relationships/image" Target="media/image4.jpeg"/><Relationship Id="rId30" Type="http://schemas.openxmlformats.org/officeDocument/2006/relationships/header" Target="header11.xml"/><Relationship Id="rId31" Type="http://schemas.openxmlformats.org/officeDocument/2006/relationships/footer" Target="footer11.xml"/><Relationship Id="rId32" Type="http://schemas.openxmlformats.org/officeDocument/2006/relationships/header" Target="header12.xml"/><Relationship Id="rId33" Type="http://schemas.openxmlformats.org/officeDocument/2006/relationships/footer" Target="footer12.xml"/><Relationship Id="rId34" Type="http://schemas.openxmlformats.org/officeDocument/2006/relationships/header" Target="header13.xml"/><Relationship Id="rId35" Type="http://schemas.openxmlformats.org/officeDocument/2006/relationships/footer" Target="footer13.xml"/><Relationship Id="rId36" Type="http://schemas.openxmlformats.org/officeDocument/2006/relationships/header" Target="header14.xml"/><Relationship Id="rId37" Type="http://schemas.openxmlformats.org/officeDocument/2006/relationships/footer" Target="footer14.xml"/><Relationship Id="rId38" Type="http://schemas.openxmlformats.org/officeDocument/2006/relationships/header" Target="header15.xml"/><Relationship Id="rId39" Type="http://schemas.openxmlformats.org/officeDocument/2006/relationships/footer" Target="footer15.xml"/><Relationship Id="rId40" Type="http://schemas.openxmlformats.org/officeDocument/2006/relationships/header" Target="header16.xml"/><Relationship Id="rId41" Type="http://schemas.openxmlformats.org/officeDocument/2006/relationships/footer" Target="footer16.xml"/><Relationship Id="rId42" Type="http://schemas.openxmlformats.org/officeDocument/2006/relationships/header" Target="header17.xml"/><Relationship Id="rId43" Type="http://schemas.openxmlformats.org/officeDocument/2006/relationships/footer" Target="footer17.xml"/><Relationship Id="rId44" Type="http://schemas.openxmlformats.org/officeDocument/2006/relationships/header" Target="header18.xml"/><Relationship Id="rId45" Type="http://schemas.openxmlformats.org/officeDocument/2006/relationships/footer" Target="footer18.xml"/><Relationship Id="rId46" Type="http://schemas.openxmlformats.org/officeDocument/2006/relationships/header" Target="header19.xml"/><Relationship Id="rId47" Type="http://schemas.openxmlformats.org/officeDocument/2006/relationships/footer" Target="footer19.xml"/><Relationship Id="rId48" Type="http://schemas.openxmlformats.org/officeDocument/2006/relationships/header" Target="header20.xml"/><Relationship Id="rId49" Type="http://schemas.openxmlformats.org/officeDocument/2006/relationships/footer" Target="footer20.xml"/><Relationship Id="rId50" Type="http://schemas.openxmlformats.org/officeDocument/2006/relationships/header" Target="header21.xml"/><Relationship Id="rId51" Type="http://schemas.openxmlformats.org/officeDocument/2006/relationships/footer" Target="footer21.xml"/><Relationship Id="rId52" Type="http://schemas.openxmlformats.org/officeDocument/2006/relationships/header" Target="header22.xml"/><Relationship Id="rId53" Type="http://schemas.openxmlformats.org/officeDocument/2006/relationships/footer" Target="footer22.xml"/><Relationship Id="rId54" Type="http://schemas.openxmlformats.org/officeDocument/2006/relationships/header" Target="header23.xml"/><Relationship Id="rId55" Type="http://schemas.openxmlformats.org/officeDocument/2006/relationships/footer" Target="footer23.xml"/><Relationship Id="rId5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2026-01-08T12:13:41Z</dcterms:created>
  <dcterms:modified xsi:type="dcterms:W3CDTF">2026-01-08T12:13:41Z</dcterms:modified>
</cp:coreProperties>
</file>